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77" w:rsidRPr="00786EEB" w:rsidRDefault="0080667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3001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06677" w:rsidRPr="00762B34" w:rsidRDefault="0080667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06677" w:rsidRPr="00762B34" w:rsidRDefault="0080667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06677" w:rsidRPr="00762B34" w:rsidRDefault="0080667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3</w:t>
      </w:r>
      <w:r>
        <w:rPr>
          <w:rFonts w:ascii="Helvetica" w:hAnsi="Helvetica"/>
          <w:b/>
          <w:lang w:val="es-ES_tradnl"/>
        </w:rPr>
        <w:t>1 DE AGOSTO DE 2016</w:t>
      </w:r>
    </w:p>
    <w:p w:rsidR="00806677" w:rsidRPr="00762B34" w:rsidRDefault="0080667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2015-17-1-0003978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4193/16</w:t>
      </w:r>
      <w:r w:rsidRPr="00762B34">
        <w:rPr>
          <w:rFonts w:ascii="Arial" w:hAnsi="Arial" w:cs="Arial"/>
          <w:b/>
          <w:lang w:val="en-US"/>
        </w:rPr>
        <w:t>)</w:t>
      </w:r>
    </w:p>
    <w:p w:rsidR="00806677" w:rsidRDefault="00806677" w:rsidP="00B511EF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E6554C" w:rsidRDefault="00806677" w:rsidP="00B511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511EF">
        <w:rPr>
          <w:rFonts w:ascii="Arial" w:hAnsi="Arial" w:cs="Arial"/>
          <w:b/>
          <w:bCs/>
          <w:sz w:val="24"/>
          <w:szCs w:val="24"/>
        </w:rPr>
        <w:t>“</w:t>
      </w:r>
      <w:r w:rsidR="00E6554C">
        <w:rPr>
          <w:rFonts w:ascii="Arial" w:hAnsi="Arial" w:cs="Arial"/>
          <w:b/>
          <w:bCs/>
          <w:sz w:val="24"/>
          <w:szCs w:val="24"/>
        </w:rPr>
        <w:t>VISTO:</w:t>
      </w:r>
      <w:r w:rsidR="00E6554C">
        <w:rPr>
          <w:rFonts w:ascii="Arial" w:hAnsi="Arial" w:cs="Arial"/>
          <w:sz w:val="24"/>
          <w:szCs w:val="24"/>
        </w:rPr>
        <w:t xml:space="preserve"> las actuaciones remitidas por la Administración de las Obras Sanitarias del Estado, relacionadas con la ampliación de la Licitación Pública N° 10770 para el arrendamiento  de vehículos sin chofer y mantenimiento de los mismos;</w:t>
      </w:r>
    </w:p>
    <w:p w:rsidR="00E6554C" w:rsidRDefault="00E6554C" w:rsidP="00B511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N° 48/11 de fecha 26/1/2011, el Directorio dispuso adjudicar a </w:t>
      </w:r>
      <w:proofErr w:type="spellStart"/>
      <w:r>
        <w:rPr>
          <w:rFonts w:ascii="Arial" w:hAnsi="Arial" w:cs="Arial"/>
          <w:sz w:val="24"/>
          <w:szCs w:val="24"/>
        </w:rPr>
        <w:t>Celmu</w:t>
      </w:r>
      <w:proofErr w:type="spellEnd"/>
      <w:r>
        <w:rPr>
          <w:rFonts w:ascii="Arial" w:hAnsi="Arial" w:cs="Arial"/>
          <w:sz w:val="24"/>
          <w:szCs w:val="24"/>
        </w:rPr>
        <w:t xml:space="preserve"> S.A., por U$S 6:743.154,72 (incluido IVA y ajuste paramétrico);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 en Sesión de fecha 30 de marzo de 2011, observó el gasto por habérselo comprometido sin contar con disponibilidad suficiente el rubro de imputación, en contravención a lo dispuesto por el </w:t>
      </w:r>
      <w:r w:rsidR="00B511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15 del TOCAF; reiterado el mismo por Resolución R/D N° 436/11 de fecha 14.04.11, se mantuvo la observación por Resolución de fecha 03.11.11;</w:t>
      </w:r>
    </w:p>
    <w:p w:rsidR="00E6554C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N° 582/15 de fecha 03/06/15, el Directorio dispuso dejar sin efecto la Resolución No. 287/15 de fecha 25.03.2015,</w:t>
      </w:r>
      <w:r w:rsidR="00E225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la que se había dispuesto una prórroga por 6 meses, en razón de lo planteado por la adjudicataria, ampliando por el plazo de un año la licitación de referencia, de acuerdo a la oferta aceptada, según el siguiente detalle: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 Camionetas Cabina Simple Nafta 2015- - - - -U$S 237.600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Camionetas Doble Cabina Nafta 2015- - - - -  U$S 636.000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3 Camionetas Doble Cabina </w:t>
      </w:r>
      <w:proofErr w:type="spellStart"/>
      <w:r>
        <w:rPr>
          <w:rFonts w:ascii="Arial" w:hAnsi="Arial" w:cs="Arial"/>
          <w:sz w:val="24"/>
          <w:szCs w:val="24"/>
        </w:rPr>
        <w:t>Diesel</w:t>
      </w:r>
      <w:proofErr w:type="spellEnd"/>
      <w:r>
        <w:rPr>
          <w:rFonts w:ascii="Arial" w:hAnsi="Arial" w:cs="Arial"/>
          <w:sz w:val="24"/>
          <w:szCs w:val="24"/>
        </w:rPr>
        <w:t xml:space="preserve"> 2015- - - - -U$S 57.960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4 Autos Sedan 4 puertas  Nafta 2015- - - -- -  -  U$S 270.000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Ajuste Paramétrico       10% - - - - - - - - - - - - --        U$S 120.156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I.V.A. - - - - - - - - - - - -22% - - - - - - - - - - - - - -         U$S 290.777.52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---------------------------------------------------        U$S 1:612.493,52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este Tribunal,</w:t>
      </w:r>
      <w:r w:rsidR="00B51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sesión de fecha </w:t>
      </w:r>
      <w:proofErr w:type="gramStart"/>
      <w:r>
        <w:rPr>
          <w:rFonts w:ascii="Arial" w:hAnsi="Arial" w:cs="Arial"/>
          <w:sz w:val="24"/>
          <w:szCs w:val="24"/>
        </w:rPr>
        <w:t>15.07.15 ,cometió</w:t>
      </w:r>
      <w:proofErr w:type="gramEnd"/>
      <w:r>
        <w:rPr>
          <w:rFonts w:ascii="Arial" w:hAnsi="Arial" w:cs="Arial"/>
          <w:sz w:val="24"/>
          <w:szCs w:val="24"/>
        </w:rPr>
        <w:t xml:space="preserve"> a la Contadora Delegada la intervención del gasto una vez imputado el mismo al grupo adecuado con disponibilidad suficiente; 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con fecha 29.07.15, la Contadora Delegada intervino el gasto;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en la oportunidad, ante la necesidad expresada por la Gerencia de Servicios Generales, de ampliar la licitación de referencia por un año </w:t>
      </w:r>
      <w:proofErr w:type="gramStart"/>
      <w:r>
        <w:rPr>
          <w:rFonts w:ascii="Arial" w:hAnsi="Arial" w:cs="Arial"/>
          <w:sz w:val="24"/>
          <w:szCs w:val="24"/>
        </w:rPr>
        <w:t>más ,a</w:t>
      </w:r>
      <w:proofErr w:type="gramEnd"/>
      <w:r>
        <w:rPr>
          <w:rFonts w:ascii="Arial" w:hAnsi="Arial" w:cs="Arial"/>
          <w:sz w:val="24"/>
          <w:szCs w:val="24"/>
        </w:rPr>
        <w:t xml:space="preserve"> los efectos de asignar los vehículos arrendados sin chofer a las distintas áreas de la Administración para el mantenimiento de la operativa a nivel nacional, la empresa adjudicataria, </w:t>
      </w:r>
      <w:proofErr w:type="spellStart"/>
      <w:r>
        <w:rPr>
          <w:rFonts w:ascii="Arial" w:hAnsi="Arial" w:cs="Arial"/>
          <w:sz w:val="24"/>
          <w:szCs w:val="24"/>
        </w:rPr>
        <w:t>Celmu</w:t>
      </w:r>
      <w:proofErr w:type="spellEnd"/>
      <w:r>
        <w:rPr>
          <w:rFonts w:ascii="Arial" w:hAnsi="Arial" w:cs="Arial"/>
          <w:sz w:val="24"/>
          <w:szCs w:val="24"/>
        </w:rPr>
        <w:t xml:space="preserve"> S.A., con fecha 31.03.16, presta  su conformidad;</w:t>
      </w:r>
    </w:p>
    <w:p w:rsidR="00E6554C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por Resolución N° 469/16 de fecha 20.04.16, el Directorio dispuso ampliar por un año el servicio contratado por la licitación de referencia de acuerdo  a lo preceptuado por el </w:t>
      </w:r>
      <w:r w:rsidR="00B511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74 del TOCAF, según el siguiente detalle: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 Camionetas Cabina Simple Nafta 2015- - - - -U$S 237.600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Camionetas Doble Cabina Nafta 2015- - - - -  U$S 636.000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3 Camionetas Doble Cabina </w:t>
      </w:r>
      <w:proofErr w:type="spellStart"/>
      <w:r>
        <w:rPr>
          <w:rFonts w:ascii="Arial" w:hAnsi="Arial" w:cs="Arial"/>
          <w:sz w:val="24"/>
          <w:szCs w:val="24"/>
        </w:rPr>
        <w:t>Diesel</w:t>
      </w:r>
      <w:proofErr w:type="spellEnd"/>
      <w:r>
        <w:rPr>
          <w:rFonts w:ascii="Arial" w:hAnsi="Arial" w:cs="Arial"/>
          <w:sz w:val="24"/>
          <w:szCs w:val="24"/>
        </w:rPr>
        <w:t xml:space="preserve"> 2015- - - - -U$S 57.960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4 Autos Sedan 4 puertas  Nafta 2015- - - -- -  -  U$S 270.000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Ajuste Paramétrico       10% - - - - - - - - - - - - --        U$S 120.156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I.V.A. - - - - - - - - - - - -22% - - - - - - - - - - - - - -         U$S 290.777.52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---------------------------------------------------        U$S 1:612.493,52;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el gasto de $ 20.925.408 más IVA correspondiente a U$S 660.858 ($31,664 por dólar) es imputado al Ejercicio 16, </w:t>
      </w:r>
      <w:r>
        <w:rPr>
          <w:rFonts w:ascii="Arial" w:hAnsi="Arial" w:cs="Arial"/>
          <w:sz w:val="24"/>
          <w:szCs w:val="24"/>
        </w:rPr>
        <w:lastRenderedPageBreak/>
        <w:t>Objeto 857, Presupuesto de Compras 2016 con disponibilidad en el Grupo 2 “Servicios No Personales”, con fecha 13.05.16;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este Tribunal, con fecha 10.06.16, devolvió las actuaciones a la Administración, solicitando que se aclarara si la Resolución N°469/16 del 20.04.16 corresponde a la ampliación por un año del servicio contratado con la empresa CELMU S.A., al amparo del </w:t>
      </w:r>
      <w:r w:rsidR="00B511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74 del TOCAF, o al uso del segundo año de la prórroga, previsto en el </w:t>
      </w:r>
      <w:r w:rsidR="00B511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2.1 del Pliego de Condiciones, que rigió el llamado;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en la oportunidad, el Gerente Interino del Departamento Suministros, con fecha 06.07.16, expresa que corresponde sustituir la Resolución N° 469/16 de 20.04.16, ya que en la misma se utilizó el término de “ampliar  la licitación”, cuando correspondía establecer que se trataba de una prórroga, de acuerdo a lo establecido en el </w:t>
      </w:r>
      <w:r w:rsidR="00B511E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2.1 del Pliego de Condiciones;. </w:t>
      </w:r>
    </w:p>
    <w:p w:rsidR="00E6554C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11)</w:t>
      </w:r>
      <w:r>
        <w:rPr>
          <w:rFonts w:ascii="Arial" w:hAnsi="Arial" w:cs="Arial"/>
          <w:sz w:val="24"/>
          <w:szCs w:val="24"/>
        </w:rPr>
        <w:t xml:space="preserve"> que por Resolución N° 887/16 de fecha 06.07.16, el Directorio dispuso dejar sin efecto la R/D N° 469/16 de fecha 20.04.16 y prorrogar por un año el servicio contratado por la licitación,  supeditado a la intervención preventiva de legalidad del Tribunal de Cuentas, según el siguiente detalle: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 Camionetas Cabina Simple Nafta 2015- - - - -    U$S 237.600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Camionetas Doble Cabina Simple Nafta 2015-  U$S 636.000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3 Camionetas Doble Cabina </w:t>
      </w:r>
      <w:proofErr w:type="spellStart"/>
      <w:r>
        <w:rPr>
          <w:rFonts w:ascii="Arial" w:hAnsi="Arial" w:cs="Arial"/>
          <w:sz w:val="24"/>
          <w:szCs w:val="24"/>
        </w:rPr>
        <w:t>Diesel</w:t>
      </w:r>
      <w:proofErr w:type="spellEnd"/>
      <w:r>
        <w:rPr>
          <w:rFonts w:ascii="Arial" w:hAnsi="Arial" w:cs="Arial"/>
          <w:sz w:val="24"/>
          <w:szCs w:val="24"/>
        </w:rPr>
        <w:t xml:space="preserve"> 2015- - - - -    U$S 57.960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4 Autos Sedan 4 puertas  Nafta 2015- - - -- -  -     U$S 270.000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Subtotal - - - - - - - - - - - - - - - - - - - - - - - - - - - - - - -    U$S 1.201.560,00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I.V.A. 22% - - - - - - - - - - - - - - - - - - - - - - - - - -           U$S 264.343,20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- - - - - - - - - - - --  - - -- - -  - - - - - - - - -  -         U$S 1:465.903,20</w:t>
      </w:r>
    </w:p>
    <w:p w:rsidR="00B511EF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12)</w:t>
      </w:r>
      <w:r>
        <w:rPr>
          <w:rFonts w:ascii="Arial" w:hAnsi="Arial" w:cs="Arial"/>
          <w:sz w:val="24"/>
          <w:szCs w:val="24"/>
        </w:rPr>
        <w:t xml:space="preserve"> que con fecha 13.07.16, se notifica vía correo electrónico a la firma adjudicataria de la resolución adoptada;</w:t>
      </w:r>
    </w:p>
    <w:p w:rsidR="00E6554C" w:rsidRDefault="00E6554C" w:rsidP="00B511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13)</w:t>
      </w:r>
      <w:r>
        <w:rPr>
          <w:rFonts w:ascii="Arial" w:hAnsi="Arial" w:cs="Arial"/>
          <w:sz w:val="24"/>
          <w:szCs w:val="24"/>
        </w:rPr>
        <w:t xml:space="preserve"> que la Gerencia Contable, con fecha 03.08.16, imputó el monto de  $ 17.849.174, correspondiente a U$S 600.780 ($ 29,71 por dólar) para el Presupuesto de Compras 2016 con disponibilidad suficiente en el Grupo 2, Servicios Personales, dejándose sin efecto la imputación anterior de fecha 11.05.16; </w:t>
      </w:r>
    </w:p>
    <w:p w:rsidR="00E6554C" w:rsidRDefault="00E6554C" w:rsidP="00B511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</w:t>
      </w:r>
      <w:r w:rsidR="00B511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2.1 del Pliego de Condiciones Particulares que rigió el llamado estable</w:t>
      </w:r>
      <w:r w:rsidR="00B511E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 que el contrato tendrá una duración inicial de cuatro años, pudiendo ser prorrogado en forma total o parcial por parte de OSE, por dos períodos sucesivos de un año cada uno;</w:t>
      </w:r>
    </w:p>
    <w:p w:rsidR="00E6554C" w:rsidRDefault="00B511EF" w:rsidP="00B511E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6554C">
        <w:rPr>
          <w:rFonts w:ascii="Arial" w:hAnsi="Arial" w:cs="Arial"/>
          <w:b/>
          <w:bCs/>
          <w:sz w:val="24"/>
          <w:szCs w:val="24"/>
        </w:rPr>
        <w:t>2)</w:t>
      </w:r>
      <w:r w:rsidR="00E6554C">
        <w:rPr>
          <w:rFonts w:ascii="Arial" w:hAnsi="Arial" w:cs="Arial"/>
          <w:sz w:val="24"/>
          <w:szCs w:val="24"/>
        </w:rPr>
        <w:t xml:space="preserve">  que la prórroga dispuesta en la oportunidad, por un año, se ajusta a lo establecido en el referido </w:t>
      </w:r>
      <w:r w:rsidR="00E22526">
        <w:rPr>
          <w:rFonts w:ascii="Arial" w:hAnsi="Arial" w:cs="Arial"/>
          <w:sz w:val="24"/>
          <w:szCs w:val="24"/>
        </w:rPr>
        <w:t>A</w:t>
      </w:r>
      <w:r w:rsidR="00E6554C">
        <w:rPr>
          <w:rFonts w:ascii="Arial" w:hAnsi="Arial" w:cs="Arial"/>
          <w:sz w:val="24"/>
          <w:szCs w:val="24"/>
        </w:rPr>
        <w:t>rt</w:t>
      </w:r>
      <w:r w:rsidR="00E22526">
        <w:rPr>
          <w:rFonts w:ascii="Arial" w:hAnsi="Arial" w:cs="Arial"/>
          <w:sz w:val="24"/>
          <w:szCs w:val="24"/>
        </w:rPr>
        <w:t>í</w:t>
      </w:r>
      <w:r w:rsidR="00E6554C">
        <w:rPr>
          <w:rFonts w:ascii="Arial" w:hAnsi="Arial" w:cs="Arial"/>
          <w:sz w:val="24"/>
          <w:szCs w:val="24"/>
        </w:rPr>
        <w:t>culo;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E22526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E22526">
        <w:rPr>
          <w:rFonts w:ascii="Arial" w:hAnsi="Arial" w:cs="Arial"/>
          <w:sz w:val="24"/>
          <w:szCs w:val="24"/>
        </w:rPr>
        <w:t>Literal</w:t>
      </w:r>
      <w:r>
        <w:rPr>
          <w:rFonts w:ascii="Arial" w:hAnsi="Arial" w:cs="Arial"/>
          <w:sz w:val="24"/>
          <w:szCs w:val="24"/>
        </w:rPr>
        <w:t xml:space="preserve"> B) de la Constitución de la Republica; </w:t>
      </w:r>
    </w:p>
    <w:p w:rsidR="00E6554C" w:rsidRDefault="00E6554C" w:rsidP="00B511E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Intervenir preventivamente el gasto de $ 17.849.174, equivalentes a U$S600.780 ($ 29,71 por dólar), correspondiente al Ejercicio 2016</w:t>
      </w:r>
      <w:r w:rsidR="00E22526">
        <w:rPr>
          <w:rFonts w:ascii="Arial" w:hAnsi="Arial" w:cs="Arial"/>
          <w:sz w:val="24"/>
          <w:szCs w:val="24"/>
        </w:rPr>
        <w:t>;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Cometer a la Contadora Delegada la intervención del saldo, una vez efectuada la imputación del mismo  y verificada la disponibilidad del rubro en el ejercicio 2017</w:t>
      </w:r>
      <w:r w:rsidR="00E2252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 la Contadora Delegada; y</w:t>
      </w:r>
    </w:p>
    <w:p w:rsidR="00E6554C" w:rsidRDefault="00E6554C" w:rsidP="00B511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Devolver las actuaciones.</w:t>
      </w:r>
      <w:r w:rsidR="00E22526">
        <w:rPr>
          <w:rFonts w:ascii="Arial" w:hAnsi="Arial" w:cs="Arial"/>
          <w:sz w:val="24"/>
          <w:szCs w:val="24"/>
        </w:rPr>
        <w:t>”</w:t>
      </w:r>
    </w:p>
    <w:p w:rsidR="00E22526" w:rsidRDefault="00E22526" w:rsidP="00E2252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22526" w:rsidRDefault="00E22526" w:rsidP="00E2252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22526" w:rsidRDefault="00E22526" w:rsidP="00E22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E22526" w:rsidSect="00806677">
      <w:pgSz w:w="11906" w:h="16838" w:code="9"/>
      <w:pgMar w:top="3402" w:right="1701" w:bottom="1276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1ECC"/>
    <w:multiLevelType w:val="hybridMultilevel"/>
    <w:tmpl w:val="8AA69558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9375B44"/>
    <w:multiLevelType w:val="hybridMultilevel"/>
    <w:tmpl w:val="66AE7842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583D5FF0"/>
    <w:multiLevelType w:val="hybridMultilevel"/>
    <w:tmpl w:val="D08E60C0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60D17E6C"/>
    <w:multiLevelType w:val="hybridMultilevel"/>
    <w:tmpl w:val="A5C87854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4C"/>
    <w:rsid w:val="00806677"/>
    <w:rsid w:val="00B511EF"/>
    <w:rsid w:val="00E22526"/>
    <w:rsid w:val="00E6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2015-17-1-0003978</vt:lpstr>
    </vt:vector>
  </TitlesOfParts>
  <Company>Tribunal de Cuentas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2015-17-1-0003978</dc:title>
  <dc:creator>Irene Bucero</dc:creator>
  <cp:lastModifiedBy>Adrian Acosta</cp:lastModifiedBy>
  <cp:revision>2</cp:revision>
  <cp:lastPrinted>2016-09-01T14:27:00Z</cp:lastPrinted>
  <dcterms:created xsi:type="dcterms:W3CDTF">2016-09-01T14:27:00Z</dcterms:created>
  <dcterms:modified xsi:type="dcterms:W3CDTF">2016-09-01T14:27:00Z</dcterms:modified>
</cp:coreProperties>
</file>