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D2" w:rsidRPr="00F05BE7" w:rsidRDefault="009871D2" w:rsidP="009871D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F05BE7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D23E72">
        <w:rPr>
          <w:rFonts w:ascii="Arial" w:hAnsi="Arial" w:cs="Arial"/>
          <w:b/>
          <w:sz w:val="28"/>
          <w:szCs w:val="28"/>
          <w:lang w:val="es-ES_tradnl"/>
        </w:rPr>
        <w:t>3848</w:t>
      </w:r>
      <w:bookmarkStart w:id="0" w:name="_GoBack"/>
      <w:bookmarkEnd w:id="0"/>
      <w:r w:rsidRPr="00F05BE7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871D2" w:rsidRPr="00F05BE7" w:rsidRDefault="009871D2" w:rsidP="009871D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871D2" w:rsidRPr="00F05BE7" w:rsidRDefault="009871D2" w:rsidP="009871D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05BE7">
        <w:rPr>
          <w:rFonts w:ascii="Arial" w:hAnsi="Arial" w:cs="Arial"/>
          <w:b/>
          <w:lang w:val="es-ES_tradnl"/>
        </w:rPr>
        <w:t>RESOLUCION ADOPTADA POR EL</w:t>
      </w:r>
    </w:p>
    <w:p w:rsidR="009871D2" w:rsidRPr="00F05BE7" w:rsidRDefault="009871D2" w:rsidP="009871D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871D2" w:rsidRPr="00F05BE7" w:rsidRDefault="009871D2" w:rsidP="009871D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05BE7">
        <w:rPr>
          <w:rFonts w:ascii="Arial" w:hAnsi="Arial" w:cs="Arial"/>
          <w:b/>
          <w:lang w:val="es-ES_tradnl"/>
        </w:rPr>
        <w:t>TRIBUNAL DE CUENTAS</w:t>
      </w:r>
    </w:p>
    <w:p w:rsidR="009871D2" w:rsidRPr="00F05BE7" w:rsidRDefault="009871D2" w:rsidP="009871D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871D2" w:rsidRPr="00F05BE7" w:rsidRDefault="009871D2" w:rsidP="009871D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05BE7">
        <w:rPr>
          <w:rFonts w:ascii="Arial" w:hAnsi="Arial" w:cs="Arial"/>
          <w:b/>
          <w:lang w:val="es-ES_tradnl"/>
        </w:rPr>
        <w:t>EN SESION DE FECHA 3 DE NOVIEMBRE DE 2016</w:t>
      </w:r>
    </w:p>
    <w:p w:rsidR="009871D2" w:rsidRPr="00F05BE7" w:rsidRDefault="009871D2" w:rsidP="009871D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871D2" w:rsidRPr="00BE1294" w:rsidRDefault="009871D2" w:rsidP="009871D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D23E72">
        <w:rPr>
          <w:rFonts w:ascii="Arial" w:hAnsi="Arial" w:cs="Arial"/>
          <w:b/>
          <w:lang w:val="es-UY"/>
        </w:rPr>
        <w:t xml:space="preserve">(E. E. Nº 2016-17-1-0007139, </w:t>
      </w:r>
      <w:proofErr w:type="spellStart"/>
      <w:r w:rsidRPr="00D23E72">
        <w:rPr>
          <w:rFonts w:ascii="Arial" w:hAnsi="Arial" w:cs="Arial"/>
          <w:b/>
          <w:lang w:val="es-UY"/>
        </w:rPr>
        <w:t>Ent</w:t>
      </w:r>
      <w:proofErr w:type="spellEnd"/>
      <w:r w:rsidRPr="00D23E72">
        <w:rPr>
          <w:rFonts w:ascii="Arial" w:hAnsi="Arial" w:cs="Arial"/>
          <w:b/>
          <w:lang w:val="es-UY"/>
        </w:rPr>
        <w:t xml:space="preserve">. </w:t>
      </w:r>
      <w:r w:rsidRPr="00BE1294">
        <w:rPr>
          <w:rFonts w:ascii="Arial" w:hAnsi="Arial" w:cs="Arial"/>
          <w:b/>
          <w:lang w:val="es-UY"/>
        </w:rPr>
        <w:t>Iniciada)</w:t>
      </w:r>
    </w:p>
    <w:p w:rsidR="009871D2" w:rsidRPr="00BE1294" w:rsidRDefault="009871D2" w:rsidP="0034052C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34052C" w:rsidRDefault="0034052C" w:rsidP="0066688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A15A4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 xml:space="preserve"> un gasto</w:t>
      </w:r>
      <w:r w:rsidR="00AB0F58">
        <w:rPr>
          <w:rFonts w:ascii="Arial" w:hAnsi="Arial" w:cs="Arial"/>
        </w:rPr>
        <w:t xml:space="preserve"> </w:t>
      </w:r>
      <w:r w:rsidR="00A50F91">
        <w:rPr>
          <w:rFonts w:ascii="Arial" w:hAnsi="Arial" w:cs="Arial"/>
        </w:rPr>
        <w:t xml:space="preserve">de </w:t>
      </w:r>
      <w:r w:rsidR="009938A3">
        <w:rPr>
          <w:rFonts w:ascii="Arial" w:hAnsi="Arial" w:cs="Arial"/>
        </w:rPr>
        <w:t>la C</w:t>
      </w:r>
      <w:r w:rsidR="00065EA2">
        <w:rPr>
          <w:rFonts w:ascii="Arial" w:hAnsi="Arial" w:cs="Arial"/>
        </w:rPr>
        <w:t>ámara de Senadores</w:t>
      </w:r>
      <w:r w:rsidR="00A50F91">
        <w:rPr>
          <w:rFonts w:ascii="Arial" w:hAnsi="Arial" w:cs="Arial"/>
        </w:rPr>
        <w:t xml:space="preserve"> realizada</w:t>
      </w:r>
      <w:r w:rsidR="009938A3">
        <w:rPr>
          <w:rFonts w:ascii="Arial" w:hAnsi="Arial" w:cs="Arial"/>
        </w:rPr>
        <w:t xml:space="preserve"> </w:t>
      </w:r>
      <w:r w:rsidR="00A50F91">
        <w:rPr>
          <w:rFonts w:ascii="Arial" w:hAnsi="Arial" w:cs="Arial"/>
        </w:rPr>
        <w:t>en</w:t>
      </w:r>
      <w:r w:rsidR="00625578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>setiembre</w:t>
      </w:r>
      <w:r w:rsidR="0010231B">
        <w:rPr>
          <w:rFonts w:ascii="Arial" w:hAnsi="Arial" w:cs="Arial"/>
        </w:rPr>
        <w:t xml:space="preserve">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9938A3" w:rsidRDefault="0034052C" w:rsidP="0066688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666884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9C01DD">
        <w:rPr>
          <w:rFonts w:ascii="Arial" w:hAnsi="Arial" w:cs="Arial"/>
        </w:rPr>
        <w:t xml:space="preserve">un </w:t>
      </w:r>
      <w:r w:rsidR="002330C5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10231B">
        <w:rPr>
          <w:rFonts w:ascii="Arial" w:hAnsi="Arial" w:cs="Arial"/>
        </w:rPr>
        <w:t xml:space="preserve"> uno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por un monto </w:t>
      </w:r>
      <w:r w:rsidR="00586F7B">
        <w:rPr>
          <w:rFonts w:ascii="Arial" w:hAnsi="Arial" w:cs="Arial"/>
        </w:rPr>
        <w:t xml:space="preserve"> $</w:t>
      </w:r>
      <w:r w:rsidR="0010231B">
        <w:rPr>
          <w:rFonts w:ascii="Arial" w:hAnsi="Arial" w:cs="Arial"/>
        </w:rPr>
        <w:t xml:space="preserve"> 876</w:t>
      </w:r>
      <w:r w:rsidR="006B01B9">
        <w:rPr>
          <w:rFonts w:ascii="Arial" w:hAnsi="Arial" w:cs="Arial"/>
        </w:rPr>
        <w:t>.</w:t>
      </w:r>
      <w:r w:rsidR="0010231B">
        <w:rPr>
          <w:rFonts w:ascii="Arial" w:hAnsi="Arial" w:cs="Arial"/>
        </w:rPr>
        <w:t>792</w:t>
      </w:r>
      <w:r w:rsidR="007911A8">
        <w:rPr>
          <w:rFonts w:ascii="Arial" w:hAnsi="Arial" w:cs="Arial"/>
        </w:rPr>
        <w:t>, por incumplimiento de</w:t>
      </w:r>
      <w:r w:rsidR="00587238">
        <w:rPr>
          <w:rFonts w:ascii="Arial" w:hAnsi="Arial" w:cs="Arial"/>
        </w:rPr>
        <w:t xml:space="preserve">l </w:t>
      </w:r>
      <w:r w:rsidR="00666884">
        <w:rPr>
          <w:rFonts w:ascii="Arial" w:hAnsi="Arial" w:cs="Arial"/>
        </w:rPr>
        <w:t>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D94AAB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 xml:space="preserve">en </w:t>
      </w:r>
      <w:r w:rsidR="002330C5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>setiembre</w:t>
      </w:r>
      <w:r>
        <w:rPr>
          <w:rFonts w:ascii="Arial" w:hAnsi="Arial" w:cs="Arial"/>
        </w:rPr>
        <w:t xml:space="preserve"> de 201</w:t>
      </w:r>
      <w:r w:rsidR="007911A8">
        <w:rPr>
          <w:rFonts w:ascii="Arial" w:hAnsi="Arial" w:cs="Arial"/>
        </w:rPr>
        <w:t>6</w:t>
      </w:r>
      <w:r w:rsidR="00666884">
        <w:rPr>
          <w:rFonts w:ascii="Arial" w:hAnsi="Arial" w:cs="Arial"/>
        </w:rPr>
        <w:t>;</w:t>
      </w:r>
    </w:p>
    <w:p w:rsidR="0034052C" w:rsidRDefault="0034052C" w:rsidP="0066688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</w:t>
      </w:r>
      <w:r w:rsidR="009C01DD">
        <w:rPr>
          <w:rFonts w:ascii="Arial" w:hAnsi="Arial" w:cs="Arial"/>
        </w:rPr>
        <w:t>ón</w:t>
      </w:r>
      <w:r w:rsidR="00377E0F">
        <w:rPr>
          <w:rFonts w:ascii="Arial" w:hAnsi="Arial" w:cs="Arial"/>
        </w:rPr>
        <w:t xml:space="preserve"> de</w:t>
      </w:r>
      <w:r w:rsidR="009C01DD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6708D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6708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6708D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6708D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Pr="00992830" w:rsidRDefault="0034052C" w:rsidP="00A15A48">
      <w:pPr>
        <w:spacing w:line="360" w:lineRule="auto"/>
        <w:ind w:firstLine="2977"/>
        <w:jc w:val="both"/>
        <w:rPr>
          <w:rStyle w:val="nfasis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D94AAB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A15A4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A15A4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A15A48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8C5E5D" w:rsidRDefault="008C5E5D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8C5E5D" w:rsidRDefault="008C5E5D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8C5E5D" w:rsidRDefault="008C5E5D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1436A2" w:rsidP="001436A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436A2"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902791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F14A5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>
        <w:rPr>
          <w:rFonts w:ascii="Arial" w:hAnsi="Arial" w:cs="Arial"/>
        </w:rPr>
        <w:t>destacado ante el Poder Legislativo;</w:t>
      </w:r>
    </w:p>
    <w:p w:rsidR="0034052C" w:rsidRDefault="000C3D5F" w:rsidP="00AA192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0C3D5F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F14A5E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 Contador Auditor </w:t>
      </w:r>
      <w:r w:rsidR="00AA1922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AA1922" w:rsidP="00AA1922">
      <w:pPr>
        <w:spacing w:line="360" w:lineRule="auto"/>
        <w:jc w:val="both"/>
        <w:rPr>
          <w:rFonts w:ascii="Arial" w:hAnsi="Arial" w:cs="Arial"/>
        </w:rPr>
      </w:pPr>
      <w:r w:rsidRPr="00AA192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AA1922" w:rsidRDefault="00AA1922" w:rsidP="00AA1922">
      <w:pPr>
        <w:spacing w:line="360" w:lineRule="auto"/>
        <w:jc w:val="both"/>
        <w:rPr>
          <w:rFonts w:ascii="Arial" w:hAnsi="Arial" w:cs="Arial"/>
        </w:rPr>
      </w:pPr>
    </w:p>
    <w:p w:rsidR="00AA1922" w:rsidRDefault="00AA1922" w:rsidP="00AA192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3E79D0">
      <w:headerReference w:type="even" r:id="rId8"/>
      <w:head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5F" w:rsidRDefault="000C3D5F">
      <w:r>
        <w:separator/>
      </w:r>
    </w:p>
  </w:endnote>
  <w:endnote w:type="continuationSeparator" w:id="0">
    <w:p w:rsidR="000C3D5F" w:rsidRDefault="000C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5F" w:rsidRDefault="000C3D5F">
      <w:r>
        <w:separator/>
      </w:r>
    </w:p>
  </w:footnote>
  <w:footnote w:type="continuationSeparator" w:id="0">
    <w:p w:rsidR="000C3D5F" w:rsidRDefault="000C3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5F" w:rsidRDefault="000C3D5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3D5F" w:rsidRDefault="000C3D5F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5F" w:rsidRDefault="000C3D5F">
    <w:pPr>
      <w:pStyle w:val="Encabezado"/>
      <w:jc w:val="right"/>
    </w:pPr>
  </w:p>
  <w:p w:rsidR="000C3D5F" w:rsidRDefault="000C3D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361CD"/>
    <w:rsid w:val="000555DB"/>
    <w:rsid w:val="00065EA2"/>
    <w:rsid w:val="0008324B"/>
    <w:rsid w:val="0008493E"/>
    <w:rsid w:val="00087149"/>
    <w:rsid w:val="00092266"/>
    <w:rsid w:val="000B13FB"/>
    <w:rsid w:val="000C0BDE"/>
    <w:rsid w:val="000C3D5F"/>
    <w:rsid w:val="000D70B9"/>
    <w:rsid w:val="000E0BE5"/>
    <w:rsid w:val="001011DA"/>
    <w:rsid w:val="0010231B"/>
    <w:rsid w:val="00136893"/>
    <w:rsid w:val="0014173F"/>
    <w:rsid w:val="001436A2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5585C"/>
    <w:rsid w:val="00270419"/>
    <w:rsid w:val="002730EC"/>
    <w:rsid w:val="00295C00"/>
    <w:rsid w:val="002C31A5"/>
    <w:rsid w:val="002E02BB"/>
    <w:rsid w:val="002E3113"/>
    <w:rsid w:val="002E5899"/>
    <w:rsid w:val="002F4D43"/>
    <w:rsid w:val="002F69FB"/>
    <w:rsid w:val="00306939"/>
    <w:rsid w:val="00312BA6"/>
    <w:rsid w:val="003172AD"/>
    <w:rsid w:val="003304A6"/>
    <w:rsid w:val="0034052C"/>
    <w:rsid w:val="003460A1"/>
    <w:rsid w:val="00352F52"/>
    <w:rsid w:val="00357898"/>
    <w:rsid w:val="00362928"/>
    <w:rsid w:val="00377E0F"/>
    <w:rsid w:val="00391178"/>
    <w:rsid w:val="003923A2"/>
    <w:rsid w:val="003A0A25"/>
    <w:rsid w:val="003A2379"/>
    <w:rsid w:val="003A23F3"/>
    <w:rsid w:val="003B729A"/>
    <w:rsid w:val="003C7B9A"/>
    <w:rsid w:val="003E79D0"/>
    <w:rsid w:val="003F0775"/>
    <w:rsid w:val="003F4B2E"/>
    <w:rsid w:val="00406123"/>
    <w:rsid w:val="00412D1C"/>
    <w:rsid w:val="00413D49"/>
    <w:rsid w:val="0042517B"/>
    <w:rsid w:val="004359F3"/>
    <w:rsid w:val="0043658C"/>
    <w:rsid w:val="004744D5"/>
    <w:rsid w:val="00480771"/>
    <w:rsid w:val="004866D5"/>
    <w:rsid w:val="0049705D"/>
    <w:rsid w:val="004A4987"/>
    <w:rsid w:val="004A6564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86F7B"/>
    <w:rsid w:val="00587238"/>
    <w:rsid w:val="00596D9A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66884"/>
    <w:rsid w:val="006708DC"/>
    <w:rsid w:val="006726AD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A4E57"/>
    <w:rsid w:val="008B60FD"/>
    <w:rsid w:val="008B7134"/>
    <w:rsid w:val="008C5E5D"/>
    <w:rsid w:val="008E64C4"/>
    <w:rsid w:val="008E6845"/>
    <w:rsid w:val="00902791"/>
    <w:rsid w:val="00905680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871D2"/>
    <w:rsid w:val="00990776"/>
    <w:rsid w:val="00992830"/>
    <w:rsid w:val="009938A3"/>
    <w:rsid w:val="009C011C"/>
    <w:rsid w:val="009C01DD"/>
    <w:rsid w:val="009D65BC"/>
    <w:rsid w:val="009F1D01"/>
    <w:rsid w:val="00A10770"/>
    <w:rsid w:val="00A15A48"/>
    <w:rsid w:val="00A2068C"/>
    <w:rsid w:val="00A208E2"/>
    <w:rsid w:val="00A36F62"/>
    <w:rsid w:val="00A50F91"/>
    <w:rsid w:val="00A51C0C"/>
    <w:rsid w:val="00A77771"/>
    <w:rsid w:val="00A80943"/>
    <w:rsid w:val="00A83D17"/>
    <w:rsid w:val="00A84B34"/>
    <w:rsid w:val="00A941CF"/>
    <w:rsid w:val="00AA1922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44E7"/>
    <w:rsid w:val="00BA6F91"/>
    <w:rsid w:val="00BB6278"/>
    <w:rsid w:val="00BE1294"/>
    <w:rsid w:val="00BF31D2"/>
    <w:rsid w:val="00C00EDE"/>
    <w:rsid w:val="00C27A14"/>
    <w:rsid w:val="00C54B09"/>
    <w:rsid w:val="00C57CE0"/>
    <w:rsid w:val="00C6004B"/>
    <w:rsid w:val="00C60D89"/>
    <w:rsid w:val="00C77A05"/>
    <w:rsid w:val="00C94E5E"/>
    <w:rsid w:val="00CB020D"/>
    <w:rsid w:val="00CB0689"/>
    <w:rsid w:val="00CC7621"/>
    <w:rsid w:val="00D0276F"/>
    <w:rsid w:val="00D10BEA"/>
    <w:rsid w:val="00D13F14"/>
    <w:rsid w:val="00D14221"/>
    <w:rsid w:val="00D20492"/>
    <w:rsid w:val="00D23E72"/>
    <w:rsid w:val="00D87026"/>
    <w:rsid w:val="00D94AAB"/>
    <w:rsid w:val="00DA7AC6"/>
    <w:rsid w:val="00DB0B6D"/>
    <w:rsid w:val="00DC39B6"/>
    <w:rsid w:val="00DF37C0"/>
    <w:rsid w:val="00DF7D08"/>
    <w:rsid w:val="00E42A5C"/>
    <w:rsid w:val="00E42DD4"/>
    <w:rsid w:val="00E4570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72581"/>
    <w:rsid w:val="00FB623E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143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14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Andrea Gerner</cp:lastModifiedBy>
  <cp:revision>19</cp:revision>
  <cp:lastPrinted>2016-11-07T18:59:00Z</cp:lastPrinted>
  <dcterms:created xsi:type="dcterms:W3CDTF">2016-11-07T17:22:00Z</dcterms:created>
  <dcterms:modified xsi:type="dcterms:W3CDTF">2016-11-07T18:59:00Z</dcterms:modified>
</cp:coreProperties>
</file>