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5D" w:rsidRPr="00A9275D" w:rsidRDefault="00A9275D" w:rsidP="009A011F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A9275D">
        <w:rPr>
          <w:rFonts w:ascii="Arial" w:hAnsi="Arial" w:cs="Arial"/>
          <w:sz w:val="28"/>
          <w:szCs w:val="28"/>
          <w:lang w:val="es-ES_tradnl"/>
        </w:rPr>
        <w:t>RES. 3869/16</w:t>
      </w:r>
    </w:p>
    <w:p w:rsidR="00A9275D" w:rsidRDefault="00A9275D" w:rsidP="00A9275D">
      <w:pPr>
        <w:tabs>
          <w:tab w:val="center" w:pos="4253"/>
        </w:tabs>
        <w:suppressAutoHyphens/>
        <w:jc w:val="right"/>
        <w:rPr>
          <w:rFonts w:ascii="Arial" w:hAnsi="Arial" w:cs="Arial"/>
          <w:b w:val="0"/>
          <w:lang w:val="es-ES_tradnl"/>
        </w:rPr>
      </w:pPr>
    </w:p>
    <w:p w:rsidR="00A9275D" w:rsidRPr="00A9275D" w:rsidRDefault="00A9275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9275D">
        <w:rPr>
          <w:rFonts w:ascii="Arial" w:hAnsi="Arial" w:cs="Arial"/>
          <w:lang w:val="es-ES_tradnl"/>
        </w:rPr>
        <w:t>RESOLUCION ADOPTADA POR EL</w:t>
      </w:r>
    </w:p>
    <w:p w:rsidR="00A9275D" w:rsidRPr="00A9275D" w:rsidRDefault="00A9275D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A9275D" w:rsidRPr="00A9275D" w:rsidRDefault="00A9275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9275D">
        <w:rPr>
          <w:rFonts w:ascii="Arial" w:hAnsi="Arial" w:cs="Arial"/>
          <w:lang w:val="es-ES_tradnl"/>
        </w:rPr>
        <w:t>TRIBUNAL DE CUENTAS</w:t>
      </w:r>
    </w:p>
    <w:p w:rsidR="00A9275D" w:rsidRPr="00A9275D" w:rsidRDefault="00A9275D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A9275D" w:rsidRPr="00A9275D" w:rsidRDefault="00A9275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9275D">
        <w:rPr>
          <w:rFonts w:ascii="Arial" w:hAnsi="Arial" w:cs="Arial"/>
          <w:lang w:val="es-ES_tradnl"/>
        </w:rPr>
        <w:t xml:space="preserve">EN SESION DE FECHA </w:t>
      </w:r>
      <w:r w:rsidR="00004B6B">
        <w:rPr>
          <w:rFonts w:ascii="Arial" w:hAnsi="Arial" w:cs="Arial"/>
          <w:lang w:val="es-ES_tradnl"/>
        </w:rPr>
        <w:t>9</w:t>
      </w:r>
      <w:bookmarkStart w:id="0" w:name="_GoBack"/>
      <w:bookmarkEnd w:id="0"/>
      <w:r w:rsidRPr="00A9275D">
        <w:rPr>
          <w:rFonts w:ascii="Arial" w:hAnsi="Arial" w:cs="Arial"/>
          <w:lang w:val="es-ES_tradnl"/>
        </w:rPr>
        <w:t xml:space="preserve"> DE NOVIEMBRE DE 2016</w:t>
      </w:r>
    </w:p>
    <w:p w:rsidR="00A9275D" w:rsidRPr="00A9275D" w:rsidRDefault="00A9275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A9275D" w:rsidRPr="00004B6B" w:rsidRDefault="00A9275D">
      <w:pPr>
        <w:tabs>
          <w:tab w:val="center" w:pos="4253"/>
        </w:tabs>
        <w:suppressAutoHyphens/>
        <w:jc w:val="center"/>
        <w:rPr>
          <w:rFonts w:ascii="Arial" w:hAnsi="Arial" w:cs="Arial"/>
        </w:rPr>
      </w:pPr>
      <w:r w:rsidRPr="00004B6B">
        <w:rPr>
          <w:rFonts w:ascii="Arial" w:hAnsi="Arial" w:cs="Arial"/>
        </w:rPr>
        <w:t xml:space="preserve">(E. E. Nº </w:t>
      </w:r>
      <w:r w:rsidRPr="00A9275D">
        <w:rPr>
          <w:rFonts w:ascii="Arial" w:hAnsi="Arial" w:cs="Arial"/>
          <w:bCs/>
        </w:rPr>
        <w:t>2016-17-1-0006756</w:t>
      </w:r>
      <w:r w:rsidRPr="00004B6B">
        <w:rPr>
          <w:rFonts w:ascii="Arial" w:hAnsi="Arial" w:cs="Arial"/>
        </w:rPr>
        <w:t xml:space="preserve">, </w:t>
      </w:r>
      <w:proofErr w:type="spellStart"/>
      <w:r w:rsidRPr="00004B6B">
        <w:rPr>
          <w:rFonts w:ascii="Arial" w:hAnsi="Arial" w:cs="Arial"/>
        </w:rPr>
        <w:t>Ent</w:t>
      </w:r>
      <w:proofErr w:type="spellEnd"/>
      <w:r w:rsidRPr="00004B6B">
        <w:rPr>
          <w:rFonts w:ascii="Arial" w:hAnsi="Arial" w:cs="Arial"/>
        </w:rPr>
        <w:t xml:space="preserve">. N° </w:t>
      </w:r>
      <w:r w:rsidRPr="00A9275D">
        <w:rPr>
          <w:rFonts w:ascii="Arial" w:hAnsi="Arial" w:cs="Arial"/>
        </w:rPr>
        <w:t>5731/16</w:t>
      </w:r>
      <w:r w:rsidRPr="00004B6B">
        <w:rPr>
          <w:rFonts w:ascii="Arial" w:hAnsi="Arial" w:cs="Arial"/>
        </w:rPr>
        <w:t>)</w:t>
      </w:r>
    </w:p>
    <w:p w:rsidR="00A9275D" w:rsidRPr="00004B6B" w:rsidRDefault="00A9275D">
      <w:pPr>
        <w:tabs>
          <w:tab w:val="center" w:pos="4253"/>
        </w:tabs>
        <w:suppressAutoHyphens/>
        <w:jc w:val="center"/>
        <w:rPr>
          <w:rFonts w:ascii="Helvetica" w:hAnsi="Helvetica"/>
          <w:b w:val="0"/>
        </w:rPr>
      </w:pPr>
    </w:p>
    <w:p w:rsidR="006B499C" w:rsidRDefault="006B499C" w:rsidP="00A9275D">
      <w:pPr>
        <w:pStyle w:val="Ttulo"/>
        <w:jc w:val="left"/>
        <w:rPr>
          <w:b w:val="0"/>
          <w:bCs/>
          <w:sz w:val="16"/>
          <w:szCs w:val="16"/>
          <w:u w:val="none"/>
          <w:lang w:val="es-ES_tradnl"/>
        </w:rPr>
      </w:pPr>
    </w:p>
    <w:p w:rsidR="00A9275D" w:rsidRDefault="006B499C" w:rsidP="00A9275D">
      <w:pPr>
        <w:pStyle w:val="Ttulo"/>
        <w:ind w:firstLine="851"/>
        <w:jc w:val="both"/>
        <w:rPr>
          <w:rFonts w:cs="Arial"/>
          <w:b w:val="0"/>
          <w:u w:val="none"/>
          <w:lang w:val="es-ES_tradnl"/>
        </w:rPr>
      </w:pPr>
      <w:r>
        <w:rPr>
          <w:bCs/>
          <w:u w:val="none"/>
          <w:lang w:val="es-ES_tradnl"/>
        </w:rPr>
        <w:t xml:space="preserve">VISTO: </w:t>
      </w:r>
      <w:r>
        <w:rPr>
          <w:b w:val="0"/>
          <w:bCs/>
          <w:u w:val="none"/>
          <w:lang w:val="es-ES_tradnl"/>
        </w:rPr>
        <w:t xml:space="preserve">las </w:t>
      </w:r>
      <w:r w:rsidR="00407CA8">
        <w:rPr>
          <w:b w:val="0"/>
          <w:bCs/>
          <w:u w:val="none"/>
          <w:lang w:val="es-ES_tradnl"/>
        </w:rPr>
        <w:t xml:space="preserve">nuevas </w:t>
      </w:r>
      <w:r>
        <w:rPr>
          <w:b w:val="0"/>
          <w:bCs/>
          <w:u w:val="none"/>
          <w:lang w:val="es-ES_tradnl"/>
        </w:rPr>
        <w:t xml:space="preserve">actuaciones remitidas por </w:t>
      </w:r>
      <w:r>
        <w:rPr>
          <w:b w:val="0"/>
          <w:bCs/>
          <w:u w:val="none"/>
        </w:rPr>
        <w:t xml:space="preserve">Presidencia de la República (Agencia para el Desarrollo del Gobierno de Gestión Electrónica y la Sociedad de la Información y del Conocimiento - AGESIC), relacionadas con el Convenio Marco Nº 1/2016, cuyo objeto es la </w:t>
      </w:r>
      <w:r>
        <w:rPr>
          <w:rFonts w:cs="Arial"/>
          <w:b w:val="0"/>
          <w:u w:val="none"/>
          <w:lang w:val="es-ES_tradnl"/>
        </w:rPr>
        <w:t xml:space="preserve">“Adquisición de Equipos Informáticos de Escritorio y Portátiles”; </w:t>
      </w:r>
    </w:p>
    <w:p w:rsidR="00753F58" w:rsidRPr="00A9275D" w:rsidRDefault="006B499C" w:rsidP="00A9275D">
      <w:pPr>
        <w:pStyle w:val="Ttulo"/>
        <w:ind w:firstLine="851"/>
        <w:jc w:val="both"/>
        <w:rPr>
          <w:rFonts w:cs="Arial"/>
          <w:b w:val="0"/>
          <w:u w:val="none"/>
          <w:lang w:val="es-ES_tradnl"/>
        </w:rPr>
      </w:pPr>
      <w:r w:rsidRPr="00A9275D">
        <w:rPr>
          <w:bCs/>
          <w:u w:val="none"/>
        </w:rPr>
        <w:t>RESULTANDO: 1)</w:t>
      </w:r>
      <w:r w:rsidRPr="00A9275D">
        <w:rPr>
          <w:b w:val="0"/>
          <w:bCs/>
          <w:u w:val="none"/>
        </w:rPr>
        <w:t xml:space="preserve"> que </w:t>
      </w:r>
      <w:r w:rsidR="00A9275D">
        <w:rPr>
          <w:b w:val="0"/>
          <w:bCs/>
          <w:u w:val="none"/>
        </w:rPr>
        <w:t>e</w:t>
      </w:r>
      <w:r w:rsidR="00753F58" w:rsidRPr="00A9275D">
        <w:rPr>
          <w:b w:val="0"/>
          <w:bCs/>
          <w:u w:val="none"/>
        </w:rPr>
        <w:t xml:space="preserve">ste Tribunal en Sesión de fecha 19 de octubre de 2016 dispuso: </w:t>
      </w:r>
    </w:p>
    <w:p w:rsidR="00753F58" w:rsidRPr="00753F58" w:rsidRDefault="00753F58" w:rsidP="00A9275D">
      <w:pPr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753F58">
        <w:rPr>
          <w:rFonts w:ascii="Arial" w:hAnsi="Arial"/>
          <w:bCs/>
          <w:color w:val="auto"/>
          <w:szCs w:val="24"/>
          <w:lang w:val="es-UY"/>
        </w:rPr>
        <w:t>1.1</w:t>
      </w:r>
      <w:r w:rsidR="00A9275D">
        <w:rPr>
          <w:rFonts w:ascii="Arial" w:hAnsi="Arial"/>
          <w:bCs/>
          <w:color w:val="auto"/>
          <w:szCs w:val="24"/>
          <w:lang w:val="es-UY"/>
        </w:rPr>
        <w:t>)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>Observar el procedimiento respecto a la adjudicación de las firmas ARNALDO C. CASTRO S.A</w:t>
      </w:r>
      <w:r w:rsidR="001B3FDF">
        <w:rPr>
          <w:rFonts w:ascii="Arial" w:hAnsi="Arial"/>
          <w:b w:val="0"/>
          <w:bCs/>
          <w:color w:val="auto"/>
          <w:szCs w:val="24"/>
          <w:lang w:val="es-UY"/>
        </w:rPr>
        <w:t>.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 y PALDIR S.A</w:t>
      </w:r>
      <w:r w:rsidR="001B3FDF">
        <w:rPr>
          <w:rFonts w:ascii="Arial" w:hAnsi="Arial"/>
          <w:b w:val="0"/>
          <w:bCs/>
          <w:color w:val="auto"/>
          <w:szCs w:val="24"/>
          <w:lang w:val="es-UY"/>
        </w:rPr>
        <w:t xml:space="preserve">., pues 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el plazo concedido a </w:t>
      </w:r>
      <w:r w:rsidR="001B3FDF">
        <w:rPr>
          <w:rFonts w:ascii="Arial" w:hAnsi="Arial"/>
          <w:b w:val="0"/>
          <w:bCs/>
          <w:color w:val="auto"/>
          <w:szCs w:val="24"/>
          <w:lang w:val="es-UY"/>
        </w:rPr>
        <w:t>dichas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 firmas para adjuntar</w:t>
      </w:r>
      <w:r w:rsidR="001B3FDF">
        <w:rPr>
          <w:rFonts w:ascii="Arial" w:hAnsi="Arial"/>
          <w:b w:val="0"/>
          <w:bCs/>
          <w:color w:val="auto"/>
          <w:szCs w:val="24"/>
          <w:lang w:val="es-UY"/>
        </w:rPr>
        <w:t xml:space="preserve"> el F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ormulario de Identificación del Oferente y recaudos que certifiquen su capacidad de otorgar válidamente las licencias de software o en su defecto declaración jurada de que ostentan tales derechos, contraviene lo dispuesto en  el </w:t>
      </w:r>
      <w:r w:rsidR="00A9275D">
        <w:rPr>
          <w:rFonts w:ascii="Arial" w:hAnsi="Arial"/>
          <w:b w:val="0"/>
          <w:bCs/>
          <w:color w:val="auto"/>
          <w:szCs w:val="24"/>
          <w:lang w:val="es-UY"/>
        </w:rPr>
        <w:t>A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>rt</w:t>
      </w:r>
      <w:r w:rsidR="00A9275D">
        <w:rPr>
          <w:rFonts w:ascii="Arial" w:hAnsi="Arial"/>
          <w:b w:val="0"/>
          <w:bCs/>
          <w:color w:val="auto"/>
          <w:szCs w:val="24"/>
          <w:lang w:val="es-UY"/>
        </w:rPr>
        <w:t>ículo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 10 Pliego de Condiciones Particulares, </w:t>
      </w:r>
      <w:r w:rsidR="003C1046">
        <w:rPr>
          <w:rFonts w:ascii="Arial" w:hAnsi="Arial"/>
          <w:b w:val="0"/>
          <w:bCs/>
          <w:color w:val="auto"/>
          <w:szCs w:val="24"/>
          <w:lang w:val="es-UY"/>
        </w:rPr>
        <w:t xml:space="preserve">ya que eran 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documentos </w:t>
      </w:r>
      <w:r w:rsidR="003C1046">
        <w:rPr>
          <w:rFonts w:ascii="Arial" w:hAnsi="Arial"/>
          <w:b w:val="0"/>
          <w:bCs/>
          <w:color w:val="auto"/>
          <w:szCs w:val="24"/>
          <w:lang w:val="es-UY"/>
        </w:rPr>
        <w:t>que se debían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 presentar conjuntamente con la oferta</w:t>
      </w:r>
      <w:r w:rsidR="001B3FDF">
        <w:rPr>
          <w:rFonts w:ascii="Arial" w:hAnsi="Arial"/>
          <w:b w:val="0"/>
          <w:bCs/>
          <w:color w:val="auto"/>
          <w:szCs w:val="24"/>
          <w:lang w:val="es-UY"/>
        </w:rPr>
        <w:t>;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</w:p>
    <w:p w:rsidR="00753F58" w:rsidRDefault="00A9275D" w:rsidP="00A9275D">
      <w:pPr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Cs/>
          <w:color w:val="auto"/>
          <w:szCs w:val="24"/>
          <w:lang w:val="es-UY"/>
        </w:rPr>
        <w:t xml:space="preserve"> </w:t>
      </w:r>
      <w:r w:rsidR="00753F58" w:rsidRPr="00753F58">
        <w:rPr>
          <w:rFonts w:ascii="Arial" w:hAnsi="Arial"/>
          <w:bCs/>
          <w:color w:val="auto"/>
          <w:szCs w:val="24"/>
          <w:lang w:val="es-UY"/>
        </w:rPr>
        <w:t>1.2</w:t>
      </w:r>
      <w:r>
        <w:rPr>
          <w:rFonts w:ascii="Arial" w:hAnsi="Arial"/>
          <w:bCs/>
          <w:color w:val="auto"/>
          <w:szCs w:val="24"/>
          <w:lang w:val="es-UY"/>
        </w:rPr>
        <w:t>)</w:t>
      </w:r>
      <w:r w:rsidR="001B3FDF">
        <w:rPr>
          <w:rFonts w:ascii="Arial" w:hAnsi="Arial"/>
          <w:bCs/>
          <w:color w:val="auto"/>
          <w:szCs w:val="24"/>
          <w:lang w:val="es-UY"/>
        </w:rPr>
        <w:t xml:space="preserve"> </w:t>
      </w:r>
      <w:r w:rsidR="001B3FDF" w:rsidRPr="001B3FDF">
        <w:rPr>
          <w:rFonts w:ascii="Arial" w:hAnsi="Arial"/>
          <w:b w:val="0"/>
          <w:bCs/>
          <w:color w:val="auto"/>
          <w:szCs w:val="24"/>
          <w:lang w:val="es-UY"/>
        </w:rPr>
        <w:t>C</w:t>
      </w:r>
      <w:r w:rsidR="001B3FDF">
        <w:rPr>
          <w:rFonts w:ascii="Arial" w:hAnsi="Arial"/>
          <w:b w:val="0"/>
          <w:bCs/>
          <w:color w:val="auto"/>
          <w:szCs w:val="24"/>
          <w:lang w:val="es-UY"/>
        </w:rPr>
        <w:t>ometer</w:t>
      </w:r>
      <w:r w:rsidR="00753F58"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 al Contador Auditor destacado en la Presidencia de la República la intervención del gasto</w:t>
      </w:r>
      <w:r w:rsidR="001B3FDF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3C1046">
        <w:rPr>
          <w:rFonts w:ascii="Arial" w:hAnsi="Arial"/>
          <w:b w:val="0"/>
          <w:bCs/>
          <w:color w:val="auto"/>
          <w:szCs w:val="24"/>
          <w:lang w:val="es-UY"/>
        </w:rPr>
        <w:t>correspondiente a</w:t>
      </w:r>
      <w:r w:rsidR="001B3FDF">
        <w:rPr>
          <w:rFonts w:ascii="Arial" w:hAnsi="Arial"/>
          <w:b w:val="0"/>
          <w:bCs/>
          <w:color w:val="auto"/>
          <w:szCs w:val="24"/>
          <w:lang w:val="es-UY"/>
        </w:rPr>
        <w:t xml:space="preserve"> las restantes adjudicatarias;</w:t>
      </w:r>
      <w:r w:rsidR="00753F58"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</w:p>
    <w:p w:rsidR="00753F58" w:rsidRDefault="00753F58" w:rsidP="00A9275D">
      <w:pPr>
        <w:spacing w:line="360" w:lineRule="auto"/>
        <w:ind w:firstLine="2694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753F58">
        <w:rPr>
          <w:rFonts w:ascii="Arial" w:hAnsi="Arial"/>
          <w:bCs/>
          <w:color w:val="auto"/>
          <w:szCs w:val="24"/>
          <w:lang w:val="es-UY"/>
        </w:rPr>
        <w:t>2)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que en la oportunidad se remite 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>Informe Nº 54/2015 de la Asesoría Letrada de AGESIC</w:t>
      </w:r>
      <w:r w:rsidR="001B3FDF">
        <w:rPr>
          <w:rFonts w:ascii="Arial" w:hAnsi="Arial"/>
          <w:b w:val="0"/>
          <w:bCs/>
          <w:color w:val="auto"/>
          <w:szCs w:val="24"/>
          <w:lang w:val="es-UY"/>
        </w:rPr>
        <w:t>,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 de fecha 26</w:t>
      </w:r>
      <w:r w:rsidR="00A9275D">
        <w:rPr>
          <w:rFonts w:ascii="Arial" w:hAnsi="Arial"/>
          <w:b w:val="0"/>
          <w:bCs/>
          <w:color w:val="auto"/>
          <w:szCs w:val="24"/>
          <w:lang w:val="es-UY"/>
        </w:rPr>
        <w:t>/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>10</w:t>
      </w:r>
      <w:r w:rsidR="00A9275D">
        <w:rPr>
          <w:rFonts w:ascii="Arial" w:hAnsi="Arial"/>
          <w:b w:val="0"/>
          <w:bCs/>
          <w:color w:val="auto"/>
          <w:szCs w:val="24"/>
          <w:lang w:val="es-UY"/>
        </w:rPr>
        <w:t>/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>2016</w:t>
      </w:r>
      <w:r w:rsidR="001B3FDF">
        <w:rPr>
          <w:rFonts w:ascii="Arial" w:hAnsi="Arial"/>
          <w:b w:val="0"/>
          <w:bCs/>
          <w:color w:val="auto"/>
          <w:szCs w:val="24"/>
          <w:lang w:val="es-UY"/>
        </w:rPr>
        <w:t>,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 mediante el cual la Administración fundamenta los motivos por los cuales considera que el proceso licitatorio se ajusta a las reglas de derecho, habiendo “cumplido ampliamente los principios que rigen los procedimientos de contratación pública, y en particular con los principios de igualdad, concurrencia, materialidad frente al 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lastRenderedPageBreak/>
        <w:t>formalismo, flexibilidad y ausencia de ritualismo. Asimismo</w:t>
      </w:r>
      <w:r w:rsidR="001B3FDF">
        <w:rPr>
          <w:rFonts w:ascii="Arial" w:hAnsi="Arial"/>
          <w:b w:val="0"/>
          <w:bCs/>
          <w:color w:val="auto"/>
          <w:szCs w:val="24"/>
          <w:lang w:val="es-UY"/>
        </w:rPr>
        <w:t>, destaca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 que</w:t>
      </w:r>
      <w:r w:rsidR="003C1046">
        <w:rPr>
          <w:rFonts w:ascii="Arial" w:hAnsi="Arial"/>
          <w:b w:val="0"/>
          <w:bCs/>
          <w:color w:val="auto"/>
          <w:szCs w:val="24"/>
          <w:lang w:val="es-UY"/>
        </w:rPr>
        <w:t>,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 de haberse verificado un vicio de forma en la instancia de subsanación de defectos formales, éste no resultaba trascendental, ya que siguiendo a la doctrina especializada en la materia, y en virtud de su naturaleza</w:t>
      </w:r>
      <w:r w:rsidR="001B3FDF">
        <w:rPr>
          <w:rFonts w:ascii="Arial" w:hAnsi="Arial"/>
          <w:b w:val="0"/>
          <w:bCs/>
          <w:color w:val="auto"/>
          <w:szCs w:val="24"/>
          <w:lang w:val="es-UY"/>
        </w:rPr>
        <w:t>,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 el mismo no ha supuesto ni una disminución de garantías, ni ha incidido en la decisión de fondo</w:t>
      </w:r>
      <w:r w:rsidR="001B3FDF">
        <w:rPr>
          <w:rFonts w:ascii="Arial" w:hAnsi="Arial"/>
          <w:b w:val="0"/>
          <w:bCs/>
          <w:color w:val="auto"/>
          <w:szCs w:val="24"/>
          <w:lang w:val="es-UY"/>
        </w:rPr>
        <w:t>;</w:t>
      </w:r>
      <w:r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   </w:t>
      </w:r>
    </w:p>
    <w:p w:rsidR="00A9275D" w:rsidRDefault="006B499C" w:rsidP="00A9275D">
      <w:pPr>
        <w:spacing w:line="360" w:lineRule="auto"/>
        <w:ind w:firstLine="851"/>
        <w:jc w:val="both"/>
        <w:rPr>
          <w:rFonts w:ascii="Arial" w:hAnsi="Arial" w:cs="Arial"/>
          <w:b w:val="0"/>
        </w:rPr>
      </w:pPr>
      <w:r w:rsidRPr="00753F58">
        <w:rPr>
          <w:rFonts w:ascii="Arial" w:hAnsi="Arial" w:cs="Arial"/>
        </w:rPr>
        <w:t>CONSIDERANDO: 1)</w:t>
      </w:r>
      <w:r w:rsidRPr="00753F58">
        <w:rPr>
          <w:rFonts w:ascii="Arial" w:hAnsi="Arial" w:cs="Arial"/>
          <w:b w:val="0"/>
        </w:rPr>
        <w:t xml:space="preserve"> </w:t>
      </w:r>
      <w:r w:rsidR="00753F58">
        <w:rPr>
          <w:rFonts w:ascii="Arial" w:hAnsi="Arial" w:cs="Arial"/>
          <w:b w:val="0"/>
        </w:rPr>
        <w:t>que e</w:t>
      </w:r>
      <w:r w:rsidR="00753F58" w:rsidRPr="00753F58">
        <w:rPr>
          <w:rFonts w:ascii="Arial" w:hAnsi="Arial" w:cs="Arial"/>
          <w:b w:val="0"/>
        </w:rPr>
        <w:t xml:space="preserve">l </w:t>
      </w:r>
      <w:r w:rsidR="00496F99">
        <w:rPr>
          <w:rFonts w:ascii="Arial" w:hAnsi="Arial" w:cs="Arial"/>
          <w:b w:val="0"/>
        </w:rPr>
        <w:t>A</w:t>
      </w:r>
      <w:r w:rsidR="00753F58" w:rsidRPr="00753F58">
        <w:rPr>
          <w:rFonts w:ascii="Arial" w:hAnsi="Arial" w:cs="Arial"/>
          <w:b w:val="0"/>
        </w:rPr>
        <w:t xml:space="preserve">rtículo 65 del TOCAF </w:t>
      </w:r>
      <w:r w:rsidR="00496F99">
        <w:rPr>
          <w:rFonts w:ascii="Arial" w:hAnsi="Arial" w:cs="Arial"/>
          <w:b w:val="0"/>
        </w:rPr>
        <w:t>I</w:t>
      </w:r>
      <w:r w:rsidR="00753F58" w:rsidRPr="00753F58">
        <w:rPr>
          <w:rFonts w:ascii="Arial" w:hAnsi="Arial" w:cs="Arial"/>
          <w:b w:val="0"/>
        </w:rPr>
        <w:t xml:space="preserve">nciso 7 establece que “la Administración podrá otorgar a los proponentes un plazo máximo de dos días hábiles para salvar los defectos, carencias formales o errores evidentes o de escasa importancia”, </w:t>
      </w:r>
    </w:p>
    <w:p w:rsidR="00A9275D" w:rsidRDefault="00DA5BA8" w:rsidP="00A9275D">
      <w:pPr>
        <w:spacing w:line="360" w:lineRule="auto"/>
        <w:ind w:firstLine="3119"/>
        <w:jc w:val="both"/>
        <w:rPr>
          <w:rFonts w:ascii="Arial" w:hAnsi="Arial" w:cs="Arial"/>
          <w:b w:val="0"/>
        </w:rPr>
      </w:pPr>
      <w:r w:rsidRPr="00DA5BA8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</w:t>
      </w:r>
      <w:r w:rsidRPr="00DA5BA8">
        <w:rPr>
          <w:rFonts w:ascii="Arial" w:hAnsi="Arial" w:cs="Arial"/>
          <w:b w:val="0"/>
        </w:rPr>
        <w:t>que la documentación requerida por la Administración en el Acta de Apertura a las respectivas firmas, conforman la  “Documentación a presentar conjuntamente con la oferta”</w:t>
      </w:r>
      <w:r w:rsidR="00180CE3">
        <w:rPr>
          <w:rFonts w:ascii="Arial" w:hAnsi="Arial" w:cs="Arial"/>
          <w:b w:val="0"/>
        </w:rPr>
        <w:t xml:space="preserve">, por lo que su </w:t>
      </w:r>
      <w:r w:rsidR="001B3FDF">
        <w:rPr>
          <w:rFonts w:ascii="Arial" w:hAnsi="Arial" w:cs="Arial"/>
          <w:b w:val="0"/>
        </w:rPr>
        <w:t xml:space="preserve">omisión al tiempo de presentarlas </w:t>
      </w:r>
      <w:r w:rsidR="00180CE3">
        <w:rPr>
          <w:rFonts w:ascii="Arial" w:hAnsi="Arial" w:cs="Arial"/>
          <w:b w:val="0"/>
        </w:rPr>
        <w:t>no es un vicio de forma</w:t>
      </w:r>
      <w:r w:rsidR="001B3FDF">
        <w:rPr>
          <w:rFonts w:ascii="Arial" w:hAnsi="Arial" w:cs="Arial"/>
          <w:b w:val="0"/>
        </w:rPr>
        <w:t xml:space="preserve"> que amerita su subsanación </w:t>
      </w:r>
      <w:r>
        <w:rPr>
          <w:rFonts w:ascii="Arial" w:hAnsi="Arial" w:cs="Arial"/>
          <w:b w:val="0"/>
        </w:rPr>
        <w:t xml:space="preserve">como </w:t>
      </w:r>
      <w:r w:rsidR="001B3FDF">
        <w:rPr>
          <w:rFonts w:ascii="Arial" w:hAnsi="Arial" w:cs="Arial"/>
          <w:b w:val="0"/>
        </w:rPr>
        <w:t xml:space="preserve">lo </w:t>
      </w:r>
      <w:r>
        <w:rPr>
          <w:rFonts w:ascii="Arial" w:hAnsi="Arial" w:cs="Arial"/>
          <w:b w:val="0"/>
        </w:rPr>
        <w:t>considera la Administración</w:t>
      </w:r>
      <w:r w:rsidR="001B3FDF">
        <w:rPr>
          <w:rFonts w:ascii="Arial" w:hAnsi="Arial" w:cs="Arial"/>
          <w:b w:val="0"/>
        </w:rPr>
        <w:t xml:space="preserve"> actuante,</w:t>
      </w:r>
      <w:r w:rsidR="00180CE3">
        <w:rPr>
          <w:rFonts w:ascii="Arial" w:hAnsi="Arial" w:cs="Arial"/>
          <w:b w:val="0"/>
        </w:rPr>
        <w:t xml:space="preserve"> sino de sustancia; </w:t>
      </w:r>
    </w:p>
    <w:p w:rsidR="006B499C" w:rsidRDefault="00DA5BA8" w:rsidP="00A9275D">
      <w:pPr>
        <w:spacing w:line="360" w:lineRule="auto"/>
        <w:ind w:firstLine="3119"/>
        <w:jc w:val="both"/>
        <w:rPr>
          <w:rFonts w:ascii="Arial" w:hAnsi="Arial" w:cs="Arial"/>
          <w:b w:val="0"/>
        </w:rPr>
      </w:pPr>
      <w:r w:rsidRPr="00DA5BA8">
        <w:rPr>
          <w:rFonts w:ascii="Arial" w:hAnsi="Arial" w:cs="Arial"/>
        </w:rPr>
        <w:t>3)</w:t>
      </w:r>
      <w:r>
        <w:rPr>
          <w:rFonts w:ascii="Arial" w:hAnsi="Arial" w:cs="Arial"/>
          <w:b w:val="0"/>
        </w:rPr>
        <w:t xml:space="preserve"> </w:t>
      </w:r>
      <w:r w:rsidR="00753F58" w:rsidRPr="00753F58">
        <w:rPr>
          <w:rFonts w:ascii="Arial" w:hAnsi="Arial" w:cs="Arial"/>
          <w:b w:val="0"/>
        </w:rPr>
        <w:t>que de admitirse la incorporación de la referida documentación</w:t>
      </w:r>
      <w:r w:rsidR="003C1046">
        <w:rPr>
          <w:rFonts w:ascii="Arial" w:hAnsi="Arial" w:cs="Arial"/>
          <w:b w:val="0"/>
        </w:rPr>
        <w:t>,</w:t>
      </w:r>
      <w:r w:rsidR="00843C5A">
        <w:rPr>
          <w:rFonts w:ascii="Arial" w:hAnsi="Arial" w:cs="Arial"/>
          <w:b w:val="0"/>
        </w:rPr>
        <w:t xml:space="preserve"> </w:t>
      </w:r>
      <w:r w:rsidR="001B3FDF">
        <w:rPr>
          <w:rFonts w:ascii="Arial" w:hAnsi="Arial" w:cs="Arial"/>
          <w:b w:val="0"/>
        </w:rPr>
        <w:t>contrariamente a lo afirmado en el informe jurídico citado en Resultando 2</w:t>
      </w:r>
      <w:r w:rsidR="00496F99">
        <w:rPr>
          <w:rFonts w:ascii="Arial" w:hAnsi="Arial" w:cs="Arial"/>
          <w:b w:val="0"/>
        </w:rPr>
        <w:t>)</w:t>
      </w:r>
      <w:r w:rsidR="001B3FDF">
        <w:rPr>
          <w:rFonts w:ascii="Arial" w:hAnsi="Arial" w:cs="Arial"/>
          <w:b w:val="0"/>
        </w:rPr>
        <w:t>,</w:t>
      </w:r>
      <w:r w:rsidR="00753F58" w:rsidRPr="00753F58">
        <w:rPr>
          <w:rFonts w:ascii="Arial" w:hAnsi="Arial" w:cs="Arial"/>
          <w:b w:val="0"/>
        </w:rPr>
        <w:t xml:space="preserve"> se estaría en contravención</w:t>
      </w:r>
      <w:r w:rsidR="00843C5A">
        <w:rPr>
          <w:rFonts w:ascii="Arial" w:hAnsi="Arial" w:cs="Arial"/>
          <w:b w:val="0"/>
        </w:rPr>
        <w:t xml:space="preserve"> lo dispuesto por el </w:t>
      </w:r>
      <w:r w:rsidR="00496F99">
        <w:rPr>
          <w:rFonts w:ascii="Arial" w:hAnsi="Arial" w:cs="Arial"/>
          <w:b w:val="0"/>
        </w:rPr>
        <w:t>Artículo</w:t>
      </w:r>
      <w:r w:rsidR="003F5D57">
        <w:rPr>
          <w:rFonts w:ascii="Arial" w:hAnsi="Arial" w:cs="Arial"/>
          <w:b w:val="0"/>
        </w:rPr>
        <w:t xml:space="preserve"> 149 del TOCAF (</w:t>
      </w:r>
      <w:r w:rsidR="00753F58" w:rsidRPr="00753F58">
        <w:rPr>
          <w:rFonts w:ascii="Arial" w:hAnsi="Arial" w:cs="Arial"/>
          <w:b w:val="0"/>
        </w:rPr>
        <w:t>principio de igualdad de los oferentes</w:t>
      </w:r>
      <w:r w:rsidR="003C1046">
        <w:rPr>
          <w:rFonts w:ascii="Arial" w:hAnsi="Arial" w:cs="Arial"/>
          <w:b w:val="0"/>
        </w:rPr>
        <w:t xml:space="preserve"> y de concurrencia</w:t>
      </w:r>
      <w:r w:rsidR="003F5D57">
        <w:rPr>
          <w:rFonts w:ascii="Arial" w:hAnsi="Arial" w:cs="Arial"/>
          <w:b w:val="0"/>
        </w:rPr>
        <w:t>);</w:t>
      </w:r>
      <w:r w:rsidR="00753F58" w:rsidRPr="00753F58">
        <w:rPr>
          <w:rFonts w:ascii="Arial" w:hAnsi="Arial" w:cs="Arial"/>
          <w:b w:val="0"/>
        </w:rPr>
        <w:t xml:space="preserve"> </w:t>
      </w:r>
    </w:p>
    <w:p w:rsidR="006B499C" w:rsidRPr="00A9275D" w:rsidRDefault="006B499C" w:rsidP="00A9275D">
      <w:pPr>
        <w:pStyle w:val="Ttulo2"/>
        <w:spacing w:line="360" w:lineRule="auto"/>
        <w:ind w:firstLine="851"/>
        <w:jc w:val="both"/>
        <w:rPr>
          <w:b w:val="0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>a lo precedentemente expuesto;</w:t>
      </w:r>
    </w:p>
    <w:p w:rsidR="006B499C" w:rsidRPr="00A9275D" w:rsidRDefault="006B499C" w:rsidP="00A9275D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6B499C" w:rsidRPr="00A9275D" w:rsidRDefault="002E4E4F" w:rsidP="00A9275D">
      <w:pPr>
        <w:pStyle w:val="Prrafodelista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 w:val="0"/>
          <w:bCs/>
          <w:color w:val="auto"/>
          <w:szCs w:val="24"/>
          <w:lang w:val="es-UY"/>
        </w:rPr>
      </w:pPr>
      <w:r w:rsidRPr="00A9275D">
        <w:rPr>
          <w:rFonts w:ascii="Arial" w:hAnsi="Arial" w:cs="Arial"/>
          <w:b w:val="0"/>
          <w:bCs/>
          <w:color w:val="auto"/>
          <w:szCs w:val="24"/>
          <w:lang w:val="es-UY"/>
        </w:rPr>
        <w:t>Estar a lo dispuesto en Sesión de fecha 19 de octubre de 2016;</w:t>
      </w:r>
    </w:p>
    <w:p w:rsidR="006B499C" w:rsidRDefault="006B499C" w:rsidP="00A9275D">
      <w:pPr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 w:val="0"/>
          <w:bCs/>
          <w:color w:val="auto"/>
          <w:szCs w:val="24"/>
          <w:lang w:val="es-UY"/>
        </w:rPr>
      </w:pPr>
      <w:r>
        <w:rPr>
          <w:rFonts w:ascii="Arial" w:hAnsi="Arial" w:cs="Arial"/>
          <w:b w:val="0"/>
          <w:bCs/>
          <w:lang w:val="es-MX"/>
        </w:rPr>
        <w:t>Devolver las actuaciones.</w:t>
      </w:r>
      <w:r>
        <w:rPr>
          <w:rFonts w:ascii="Arial" w:hAnsi="Arial" w:cs="Arial"/>
          <w:lang w:val="es-MX"/>
        </w:rPr>
        <w:t xml:space="preserve">  </w:t>
      </w:r>
    </w:p>
    <w:p w:rsidR="006B499C" w:rsidRDefault="006B499C" w:rsidP="00A9275D">
      <w:pPr>
        <w:pStyle w:val="Ttulo"/>
        <w:jc w:val="both"/>
        <w:rPr>
          <w:b w:val="0"/>
          <w:bCs/>
          <w:u w:val="none"/>
          <w:lang w:val="es-ES_tradnl"/>
        </w:rPr>
      </w:pPr>
    </w:p>
    <w:p w:rsidR="006B499C" w:rsidRDefault="00A9275D" w:rsidP="00A9275D">
      <w:pPr>
        <w:pStyle w:val="Ttulo"/>
        <w:jc w:val="both"/>
        <w:rPr>
          <w:b w:val="0"/>
          <w:bCs/>
          <w:i/>
          <w:sz w:val="22"/>
          <w:szCs w:val="22"/>
          <w:u w:val="none"/>
          <w:lang w:val="es-ES_tradnl"/>
        </w:rPr>
      </w:pPr>
      <w:proofErr w:type="spellStart"/>
      <w:proofErr w:type="gramStart"/>
      <w:r>
        <w:rPr>
          <w:b w:val="0"/>
          <w:bCs/>
          <w:u w:val="none"/>
          <w:lang w:val="es-ES_tradnl"/>
        </w:rPr>
        <w:t>bf</w:t>
      </w:r>
      <w:proofErr w:type="spellEnd"/>
      <w:proofErr w:type="gramEnd"/>
      <w:r w:rsidR="006B499C">
        <w:rPr>
          <w:b w:val="0"/>
          <w:bCs/>
          <w:i/>
          <w:sz w:val="22"/>
          <w:szCs w:val="22"/>
          <w:u w:val="none"/>
          <w:lang w:val="es-ES_tradnl"/>
        </w:rPr>
        <w:t xml:space="preserve">                                                                            </w:t>
      </w:r>
    </w:p>
    <w:p w:rsidR="006B499C" w:rsidRDefault="006B499C" w:rsidP="00A9275D">
      <w:pPr>
        <w:pStyle w:val="Ttulo"/>
        <w:ind w:firstLine="348"/>
        <w:jc w:val="both"/>
        <w:rPr>
          <w:b w:val="0"/>
          <w:bCs/>
          <w:i/>
          <w:sz w:val="22"/>
          <w:szCs w:val="22"/>
          <w:u w:val="none"/>
          <w:lang w:val="es-ES_tradnl"/>
        </w:rPr>
      </w:pPr>
    </w:p>
    <w:p w:rsidR="006B499C" w:rsidRDefault="006B499C" w:rsidP="00A9275D">
      <w:pPr>
        <w:pStyle w:val="Ttulo"/>
        <w:ind w:firstLine="348"/>
        <w:jc w:val="both"/>
        <w:rPr>
          <w:b w:val="0"/>
          <w:bCs/>
          <w:i/>
          <w:sz w:val="22"/>
          <w:szCs w:val="22"/>
          <w:u w:val="none"/>
          <w:lang w:val="es-ES_tradnl"/>
        </w:rPr>
      </w:pPr>
    </w:p>
    <w:p w:rsidR="00816C7F" w:rsidRDefault="00816C7F" w:rsidP="00987646">
      <w:pPr>
        <w:spacing w:line="360" w:lineRule="auto"/>
        <w:jc w:val="center"/>
        <w:rPr>
          <w:rFonts w:ascii="Arial" w:hAnsi="Arial" w:cs="Arial"/>
          <w:b w:val="0"/>
          <w:i/>
          <w:sz w:val="20"/>
          <w:lang w:val="es-ES_tradnl"/>
        </w:rPr>
      </w:pPr>
    </w:p>
    <w:sectPr w:rsidR="00816C7F" w:rsidSect="00A9275D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5D" w:rsidRDefault="00A9275D" w:rsidP="00924890">
      <w:r>
        <w:separator/>
      </w:r>
    </w:p>
  </w:endnote>
  <w:endnote w:type="continuationSeparator" w:id="0">
    <w:p w:rsidR="00A9275D" w:rsidRDefault="00A9275D" w:rsidP="009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50397"/>
      <w:docPartObj>
        <w:docPartGallery w:val="Page Numbers (Bottom of Page)"/>
        <w:docPartUnique/>
      </w:docPartObj>
    </w:sdtPr>
    <w:sdtEndPr/>
    <w:sdtContent>
      <w:p w:rsidR="00A9275D" w:rsidRDefault="00A9275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B6B">
          <w:rPr>
            <w:noProof/>
          </w:rPr>
          <w:t>1</w:t>
        </w:r>
        <w:r>
          <w:fldChar w:fldCharType="end"/>
        </w:r>
      </w:p>
    </w:sdtContent>
  </w:sdt>
  <w:p w:rsidR="00A9275D" w:rsidRDefault="00A927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5D" w:rsidRDefault="00A9275D" w:rsidP="00924890">
      <w:r>
        <w:separator/>
      </w:r>
    </w:p>
  </w:footnote>
  <w:footnote w:type="continuationSeparator" w:id="0">
    <w:p w:rsidR="00A9275D" w:rsidRDefault="00A9275D" w:rsidP="0092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0DF"/>
    <w:multiLevelType w:val="hybridMultilevel"/>
    <w:tmpl w:val="C408EB08"/>
    <w:lvl w:ilvl="0" w:tplc="27F073F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5C74B85"/>
    <w:multiLevelType w:val="hybridMultilevel"/>
    <w:tmpl w:val="4704BD6A"/>
    <w:lvl w:ilvl="0" w:tplc="44A4D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70750"/>
    <w:multiLevelType w:val="hybridMultilevel"/>
    <w:tmpl w:val="CA3C0AE8"/>
    <w:lvl w:ilvl="0" w:tplc="BC22FD8A">
      <w:start w:val="1"/>
      <w:numFmt w:val="decimal"/>
      <w:lvlText w:val="%1)"/>
      <w:lvlJc w:val="left"/>
      <w:pPr>
        <w:ind w:left="1065" w:hanging="705"/>
      </w:pPr>
      <w:rPr>
        <w:rFonts w:ascii="Arial" w:eastAsia="Times New Roman" w:hAnsi="Arial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35E03"/>
    <w:multiLevelType w:val="hybridMultilevel"/>
    <w:tmpl w:val="B2D62F4E"/>
    <w:lvl w:ilvl="0" w:tplc="3DECDCD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B3151"/>
    <w:multiLevelType w:val="hybridMultilevel"/>
    <w:tmpl w:val="9D22CA7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B71EF"/>
    <w:multiLevelType w:val="hybridMultilevel"/>
    <w:tmpl w:val="4F7EF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257AF"/>
    <w:multiLevelType w:val="hybridMultilevel"/>
    <w:tmpl w:val="EB72F8F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3286F"/>
    <w:multiLevelType w:val="hybridMultilevel"/>
    <w:tmpl w:val="C05C2616"/>
    <w:lvl w:ilvl="0" w:tplc="91E0BAEE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2230BBF"/>
    <w:multiLevelType w:val="hybridMultilevel"/>
    <w:tmpl w:val="97007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B3B95"/>
    <w:multiLevelType w:val="hybridMultilevel"/>
    <w:tmpl w:val="D8E43814"/>
    <w:lvl w:ilvl="0" w:tplc="50AC423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460902E9"/>
    <w:multiLevelType w:val="hybridMultilevel"/>
    <w:tmpl w:val="49CEC5FC"/>
    <w:lvl w:ilvl="0" w:tplc="10CA6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641061"/>
    <w:multiLevelType w:val="hybridMultilevel"/>
    <w:tmpl w:val="FC3C45FE"/>
    <w:lvl w:ilvl="0" w:tplc="8760D83C">
      <w:start w:val="2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>
    <w:nsid w:val="542564B7"/>
    <w:multiLevelType w:val="hybridMultilevel"/>
    <w:tmpl w:val="3A486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1813A6"/>
    <w:multiLevelType w:val="hybridMultilevel"/>
    <w:tmpl w:val="E33C0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B0EDA"/>
    <w:multiLevelType w:val="hybridMultilevel"/>
    <w:tmpl w:val="1B58516C"/>
    <w:lvl w:ilvl="0" w:tplc="12D27F9C">
      <w:start w:val="1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80" w:hanging="360"/>
      </w:pPr>
    </w:lvl>
    <w:lvl w:ilvl="2" w:tplc="0C0A001B" w:tentative="1">
      <w:start w:val="1"/>
      <w:numFmt w:val="lowerRoman"/>
      <w:lvlText w:val="%3."/>
      <w:lvlJc w:val="right"/>
      <w:pPr>
        <w:ind w:left="3000" w:hanging="180"/>
      </w:pPr>
    </w:lvl>
    <w:lvl w:ilvl="3" w:tplc="0C0A000F" w:tentative="1">
      <w:start w:val="1"/>
      <w:numFmt w:val="decimal"/>
      <w:lvlText w:val="%4."/>
      <w:lvlJc w:val="left"/>
      <w:pPr>
        <w:ind w:left="3720" w:hanging="360"/>
      </w:pPr>
    </w:lvl>
    <w:lvl w:ilvl="4" w:tplc="0C0A0019" w:tentative="1">
      <w:start w:val="1"/>
      <w:numFmt w:val="lowerLetter"/>
      <w:lvlText w:val="%5."/>
      <w:lvlJc w:val="left"/>
      <w:pPr>
        <w:ind w:left="4440" w:hanging="360"/>
      </w:pPr>
    </w:lvl>
    <w:lvl w:ilvl="5" w:tplc="0C0A001B" w:tentative="1">
      <w:start w:val="1"/>
      <w:numFmt w:val="lowerRoman"/>
      <w:lvlText w:val="%6."/>
      <w:lvlJc w:val="right"/>
      <w:pPr>
        <w:ind w:left="5160" w:hanging="180"/>
      </w:pPr>
    </w:lvl>
    <w:lvl w:ilvl="6" w:tplc="0C0A000F" w:tentative="1">
      <w:start w:val="1"/>
      <w:numFmt w:val="decimal"/>
      <w:lvlText w:val="%7."/>
      <w:lvlJc w:val="left"/>
      <w:pPr>
        <w:ind w:left="5880" w:hanging="360"/>
      </w:pPr>
    </w:lvl>
    <w:lvl w:ilvl="7" w:tplc="0C0A0019" w:tentative="1">
      <w:start w:val="1"/>
      <w:numFmt w:val="lowerLetter"/>
      <w:lvlText w:val="%8."/>
      <w:lvlJc w:val="left"/>
      <w:pPr>
        <w:ind w:left="6600" w:hanging="360"/>
      </w:pPr>
    </w:lvl>
    <w:lvl w:ilvl="8" w:tplc="0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>
    <w:nsid w:val="637267EA"/>
    <w:multiLevelType w:val="hybridMultilevel"/>
    <w:tmpl w:val="49F003CA"/>
    <w:lvl w:ilvl="0" w:tplc="B1EA01C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>
    <w:nsid w:val="67032B71"/>
    <w:multiLevelType w:val="hybridMultilevel"/>
    <w:tmpl w:val="290632C6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849FC"/>
    <w:multiLevelType w:val="hybridMultilevel"/>
    <w:tmpl w:val="4F283F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AC45B0"/>
    <w:multiLevelType w:val="hybridMultilevel"/>
    <w:tmpl w:val="7868C80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728C4873"/>
    <w:multiLevelType w:val="hybridMultilevel"/>
    <w:tmpl w:val="3612A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42001D"/>
    <w:multiLevelType w:val="hybridMultilevel"/>
    <w:tmpl w:val="1F849160"/>
    <w:lvl w:ilvl="0" w:tplc="3414513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D13EC9"/>
    <w:multiLevelType w:val="hybridMultilevel"/>
    <w:tmpl w:val="EEC20AD6"/>
    <w:lvl w:ilvl="0" w:tplc="D1F676F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95D289B"/>
    <w:multiLevelType w:val="hybridMultilevel"/>
    <w:tmpl w:val="6B785A82"/>
    <w:lvl w:ilvl="0" w:tplc="CBCAA2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676986"/>
    <w:multiLevelType w:val="hybridMultilevel"/>
    <w:tmpl w:val="0B6C6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C131DE"/>
    <w:multiLevelType w:val="hybridMultilevel"/>
    <w:tmpl w:val="44D29D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9"/>
  </w:num>
  <w:num w:numId="5">
    <w:abstractNumId w:val="8"/>
  </w:num>
  <w:num w:numId="6">
    <w:abstractNumId w:val="16"/>
  </w:num>
  <w:num w:numId="7">
    <w:abstractNumId w:val="22"/>
  </w:num>
  <w:num w:numId="8">
    <w:abstractNumId w:val="20"/>
  </w:num>
  <w:num w:numId="9">
    <w:abstractNumId w:val="17"/>
  </w:num>
  <w:num w:numId="10">
    <w:abstractNumId w:val="10"/>
  </w:num>
  <w:num w:numId="11">
    <w:abstractNumId w:val="6"/>
  </w:num>
  <w:num w:numId="12">
    <w:abstractNumId w:val="9"/>
  </w:num>
  <w:num w:numId="13">
    <w:abstractNumId w:val="11"/>
  </w:num>
  <w:num w:numId="14">
    <w:abstractNumId w:val="0"/>
  </w:num>
  <w:num w:numId="15">
    <w:abstractNumId w:val="15"/>
  </w:num>
  <w:num w:numId="16">
    <w:abstractNumId w:val="21"/>
  </w:num>
  <w:num w:numId="17">
    <w:abstractNumId w:val="23"/>
  </w:num>
  <w:num w:numId="18">
    <w:abstractNumId w:val="1"/>
  </w:num>
  <w:num w:numId="19">
    <w:abstractNumId w:val="14"/>
  </w:num>
  <w:num w:numId="20">
    <w:abstractNumId w:val="24"/>
  </w:num>
  <w:num w:numId="21">
    <w:abstractNumId w:val="3"/>
  </w:num>
  <w:num w:numId="22">
    <w:abstractNumId w:val="18"/>
  </w:num>
  <w:num w:numId="23">
    <w:abstractNumId w:val="12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92"/>
    <w:rsid w:val="00003990"/>
    <w:rsid w:val="00004B6B"/>
    <w:rsid w:val="0000611E"/>
    <w:rsid w:val="00006D19"/>
    <w:rsid w:val="00007977"/>
    <w:rsid w:val="000122FB"/>
    <w:rsid w:val="000155FF"/>
    <w:rsid w:val="0002235B"/>
    <w:rsid w:val="000229E2"/>
    <w:rsid w:val="00023571"/>
    <w:rsid w:val="00023D51"/>
    <w:rsid w:val="00030F2C"/>
    <w:rsid w:val="00033E59"/>
    <w:rsid w:val="000354B4"/>
    <w:rsid w:val="000435E0"/>
    <w:rsid w:val="00044A80"/>
    <w:rsid w:val="000468A3"/>
    <w:rsid w:val="00054848"/>
    <w:rsid w:val="00055C76"/>
    <w:rsid w:val="000643D9"/>
    <w:rsid w:val="00080C55"/>
    <w:rsid w:val="00083292"/>
    <w:rsid w:val="000874B3"/>
    <w:rsid w:val="000B39D2"/>
    <w:rsid w:val="000B790C"/>
    <w:rsid w:val="000D2435"/>
    <w:rsid w:val="000D2D79"/>
    <w:rsid w:val="000E07BE"/>
    <w:rsid w:val="000E4953"/>
    <w:rsid w:val="000F1545"/>
    <w:rsid w:val="000F267F"/>
    <w:rsid w:val="0011485D"/>
    <w:rsid w:val="00125839"/>
    <w:rsid w:val="001408CD"/>
    <w:rsid w:val="00142088"/>
    <w:rsid w:val="001451FE"/>
    <w:rsid w:val="00147E22"/>
    <w:rsid w:val="00164AA5"/>
    <w:rsid w:val="00166F50"/>
    <w:rsid w:val="00170214"/>
    <w:rsid w:val="001776BC"/>
    <w:rsid w:val="00180CE3"/>
    <w:rsid w:val="00183361"/>
    <w:rsid w:val="00193E20"/>
    <w:rsid w:val="00196863"/>
    <w:rsid w:val="001A0B1D"/>
    <w:rsid w:val="001A2DBF"/>
    <w:rsid w:val="001A5364"/>
    <w:rsid w:val="001A7143"/>
    <w:rsid w:val="001B1A05"/>
    <w:rsid w:val="001B3FDF"/>
    <w:rsid w:val="001B6590"/>
    <w:rsid w:val="001C2733"/>
    <w:rsid w:val="001C722E"/>
    <w:rsid w:val="001D682F"/>
    <w:rsid w:val="001E191C"/>
    <w:rsid w:val="001E720D"/>
    <w:rsid w:val="001F4D96"/>
    <w:rsid w:val="00222083"/>
    <w:rsid w:val="00227998"/>
    <w:rsid w:val="002346A3"/>
    <w:rsid w:val="00236466"/>
    <w:rsid w:val="002364D8"/>
    <w:rsid w:val="00245FFB"/>
    <w:rsid w:val="0024748D"/>
    <w:rsid w:val="002564D7"/>
    <w:rsid w:val="00256865"/>
    <w:rsid w:val="00266456"/>
    <w:rsid w:val="00272D07"/>
    <w:rsid w:val="002731E1"/>
    <w:rsid w:val="0027493D"/>
    <w:rsid w:val="002A093B"/>
    <w:rsid w:val="002A14A4"/>
    <w:rsid w:val="002A37C8"/>
    <w:rsid w:val="002A3DD0"/>
    <w:rsid w:val="002B30B4"/>
    <w:rsid w:val="002C219A"/>
    <w:rsid w:val="002C38DD"/>
    <w:rsid w:val="002C3CA7"/>
    <w:rsid w:val="002D5209"/>
    <w:rsid w:val="002E0D92"/>
    <w:rsid w:val="002E23EC"/>
    <w:rsid w:val="002E4E4F"/>
    <w:rsid w:val="002F4FCE"/>
    <w:rsid w:val="002F5905"/>
    <w:rsid w:val="002F6D58"/>
    <w:rsid w:val="00323440"/>
    <w:rsid w:val="00330F84"/>
    <w:rsid w:val="003378D1"/>
    <w:rsid w:val="00361C93"/>
    <w:rsid w:val="00367EC4"/>
    <w:rsid w:val="00375C9F"/>
    <w:rsid w:val="003871D8"/>
    <w:rsid w:val="003A4F9B"/>
    <w:rsid w:val="003B03AD"/>
    <w:rsid w:val="003B2BDE"/>
    <w:rsid w:val="003C1046"/>
    <w:rsid w:val="003C1715"/>
    <w:rsid w:val="003C4C22"/>
    <w:rsid w:val="003C5FC1"/>
    <w:rsid w:val="003E4E04"/>
    <w:rsid w:val="003F032F"/>
    <w:rsid w:val="003F0887"/>
    <w:rsid w:val="003F0A59"/>
    <w:rsid w:val="003F5D57"/>
    <w:rsid w:val="00407CA8"/>
    <w:rsid w:val="00414542"/>
    <w:rsid w:val="0041594A"/>
    <w:rsid w:val="00444207"/>
    <w:rsid w:val="004459D0"/>
    <w:rsid w:val="00455826"/>
    <w:rsid w:val="00457272"/>
    <w:rsid w:val="0047031B"/>
    <w:rsid w:val="00496F99"/>
    <w:rsid w:val="004A1F03"/>
    <w:rsid w:val="004A4319"/>
    <w:rsid w:val="004A619C"/>
    <w:rsid w:val="004B1732"/>
    <w:rsid w:val="004B7459"/>
    <w:rsid w:val="004B747E"/>
    <w:rsid w:val="004B7746"/>
    <w:rsid w:val="004C364D"/>
    <w:rsid w:val="004D514C"/>
    <w:rsid w:val="004F2333"/>
    <w:rsid w:val="00505340"/>
    <w:rsid w:val="00512048"/>
    <w:rsid w:val="00520679"/>
    <w:rsid w:val="00524193"/>
    <w:rsid w:val="005254A2"/>
    <w:rsid w:val="005266DE"/>
    <w:rsid w:val="00535434"/>
    <w:rsid w:val="00543A49"/>
    <w:rsid w:val="005457CC"/>
    <w:rsid w:val="00545F97"/>
    <w:rsid w:val="00546A2F"/>
    <w:rsid w:val="00554B3F"/>
    <w:rsid w:val="00570833"/>
    <w:rsid w:val="005761E5"/>
    <w:rsid w:val="00582582"/>
    <w:rsid w:val="00584138"/>
    <w:rsid w:val="005942B4"/>
    <w:rsid w:val="005A6992"/>
    <w:rsid w:val="005A723F"/>
    <w:rsid w:val="005A7583"/>
    <w:rsid w:val="005B1518"/>
    <w:rsid w:val="005C19FE"/>
    <w:rsid w:val="005D7212"/>
    <w:rsid w:val="005F4B20"/>
    <w:rsid w:val="005F5429"/>
    <w:rsid w:val="00601DFD"/>
    <w:rsid w:val="00614F24"/>
    <w:rsid w:val="00626AA6"/>
    <w:rsid w:val="00632AA7"/>
    <w:rsid w:val="00650FA5"/>
    <w:rsid w:val="00662BFC"/>
    <w:rsid w:val="00663724"/>
    <w:rsid w:val="00666341"/>
    <w:rsid w:val="00682033"/>
    <w:rsid w:val="00683D83"/>
    <w:rsid w:val="006947DD"/>
    <w:rsid w:val="006A031D"/>
    <w:rsid w:val="006B499C"/>
    <w:rsid w:val="006C73F3"/>
    <w:rsid w:val="006D4444"/>
    <w:rsid w:val="006E0A0B"/>
    <w:rsid w:val="006E2FFD"/>
    <w:rsid w:val="006E66C2"/>
    <w:rsid w:val="006F088F"/>
    <w:rsid w:val="007012CE"/>
    <w:rsid w:val="007112F6"/>
    <w:rsid w:val="00714EED"/>
    <w:rsid w:val="00723686"/>
    <w:rsid w:val="00731620"/>
    <w:rsid w:val="00734E90"/>
    <w:rsid w:val="00753F58"/>
    <w:rsid w:val="00786674"/>
    <w:rsid w:val="0078693C"/>
    <w:rsid w:val="007902B8"/>
    <w:rsid w:val="00792F5C"/>
    <w:rsid w:val="00793491"/>
    <w:rsid w:val="007959B1"/>
    <w:rsid w:val="007A2BD4"/>
    <w:rsid w:val="007B13D6"/>
    <w:rsid w:val="007B190B"/>
    <w:rsid w:val="007B20F3"/>
    <w:rsid w:val="007B24A7"/>
    <w:rsid w:val="007B3331"/>
    <w:rsid w:val="007B49CE"/>
    <w:rsid w:val="007B58A1"/>
    <w:rsid w:val="007C5572"/>
    <w:rsid w:val="007D0680"/>
    <w:rsid w:val="007D0C6D"/>
    <w:rsid w:val="007D24B2"/>
    <w:rsid w:val="007E1D6E"/>
    <w:rsid w:val="007E5B85"/>
    <w:rsid w:val="008056CD"/>
    <w:rsid w:val="00813267"/>
    <w:rsid w:val="00816C7F"/>
    <w:rsid w:val="00817DA2"/>
    <w:rsid w:val="00824B3D"/>
    <w:rsid w:val="00841AD4"/>
    <w:rsid w:val="00843C5A"/>
    <w:rsid w:val="00845D83"/>
    <w:rsid w:val="0084712A"/>
    <w:rsid w:val="00861511"/>
    <w:rsid w:val="00864C0E"/>
    <w:rsid w:val="00866A13"/>
    <w:rsid w:val="00872299"/>
    <w:rsid w:val="00873FA3"/>
    <w:rsid w:val="008761A7"/>
    <w:rsid w:val="0088606C"/>
    <w:rsid w:val="00886091"/>
    <w:rsid w:val="00887D2C"/>
    <w:rsid w:val="00887E1F"/>
    <w:rsid w:val="008A07DE"/>
    <w:rsid w:val="008A5C29"/>
    <w:rsid w:val="008A5D24"/>
    <w:rsid w:val="008C0B1A"/>
    <w:rsid w:val="008C0DEE"/>
    <w:rsid w:val="008C33FB"/>
    <w:rsid w:val="008D0685"/>
    <w:rsid w:val="008D0E88"/>
    <w:rsid w:val="008D1D77"/>
    <w:rsid w:val="008D20DB"/>
    <w:rsid w:val="008D3667"/>
    <w:rsid w:val="008D3B4D"/>
    <w:rsid w:val="008D6CC6"/>
    <w:rsid w:val="008E1E9B"/>
    <w:rsid w:val="008F1D54"/>
    <w:rsid w:val="008F4E4E"/>
    <w:rsid w:val="00903819"/>
    <w:rsid w:val="0091484E"/>
    <w:rsid w:val="00915556"/>
    <w:rsid w:val="009223BB"/>
    <w:rsid w:val="00924890"/>
    <w:rsid w:val="00931A4C"/>
    <w:rsid w:val="00934DFF"/>
    <w:rsid w:val="00935BB2"/>
    <w:rsid w:val="00943832"/>
    <w:rsid w:val="009443F1"/>
    <w:rsid w:val="00944C5C"/>
    <w:rsid w:val="00945C05"/>
    <w:rsid w:val="0095374B"/>
    <w:rsid w:val="0096281A"/>
    <w:rsid w:val="00964E0A"/>
    <w:rsid w:val="0096629E"/>
    <w:rsid w:val="009704CA"/>
    <w:rsid w:val="0097162E"/>
    <w:rsid w:val="00980366"/>
    <w:rsid w:val="00981D8A"/>
    <w:rsid w:val="009848D6"/>
    <w:rsid w:val="00987646"/>
    <w:rsid w:val="009A011F"/>
    <w:rsid w:val="009B23A2"/>
    <w:rsid w:val="009B698D"/>
    <w:rsid w:val="009D1592"/>
    <w:rsid w:val="009D31CC"/>
    <w:rsid w:val="00A25FAB"/>
    <w:rsid w:val="00A31C75"/>
    <w:rsid w:val="00A35CCD"/>
    <w:rsid w:val="00A42865"/>
    <w:rsid w:val="00A433B7"/>
    <w:rsid w:val="00A435B0"/>
    <w:rsid w:val="00A55067"/>
    <w:rsid w:val="00A712D1"/>
    <w:rsid w:val="00A83FF8"/>
    <w:rsid w:val="00A84E23"/>
    <w:rsid w:val="00A9275D"/>
    <w:rsid w:val="00A95856"/>
    <w:rsid w:val="00AB0397"/>
    <w:rsid w:val="00AB1AF4"/>
    <w:rsid w:val="00AB3E0E"/>
    <w:rsid w:val="00AC6B3B"/>
    <w:rsid w:val="00AF1D8E"/>
    <w:rsid w:val="00B01A71"/>
    <w:rsid w:val="00B04025"/>
    <w:rsid w:val="00B306EC"/>
    <w:rsid w:val="00B413C7"/>
    <w:rsid w:val="00B533B1"/>
    <w:rsid w:val="00B6062E"/>
    <w:rsid w:val="00B61978"/>
    <w:rsid w:val="00B77305"/>
    <w:rsid w:val="00B93AA3"/>
    <w:rsid w:val="00B94F57"/>
    <w:rsid w:val="00B96332"/>
    <w:rsid w:val="00BA1240"/>
    <w:rsid w:val="00BB3B70"/>
    <w:rsid w:val="00BC2DDE"/>
    <w:rsid w:val="00BC47B9"/>
    <w:rsid w:val="00BD6A16"/>
    <w:rsid w:val="00BE3231"/>
    <w:rsid w:val="00BF5CD0"/>
    <w:rsid w:val="00BF74C4"/>
    <w:rsid w:val="00C115C3"/>
    <w:rsid w:val="00C1553D"/>
    <w:rsid w:val="00C167AA"/>
    <w:rsid w:val="00C20A49"/>
    <w:rsid w:val="00C22590"/>
    <w:rsid w:val="00C25554"/>
    <w:rsid w:val="00C31D96"/>
    <w:rsid w:val="00C36759"/>
    <w:rsid w:val="00C4061E"/>
    <w:rsid w:val="00C40CE1"/>
    <w:rsid w:val="00C40F7C"/>
    <w:rsid w:val="00C42157"/>
    <w:rsid w:val="00C44210"/>
    <w:rsid w:val="00C52F6A"/>
    <w:rsid w:val="00C55ED6"/>
    <w:rsid w:val="00C567C7"/>
    <w:rsid w:val="00C667D9"/>
    <w:rsid w:val="00C716A4"/>
    <w:rsid w:val="00C801FA"/>
    <w:rsid w:val="00C81876"/>
    <w:rsid w:val="00C85BF2"/>
    <w:rsid w:val="00C90FDC"/>
    <w:rsid w:val="00C95621"/>
    <w:rsid w:val="00C95C34"/>
    <w:rsid w:val="00CA47D0"/>
    <w:rsid w:val="00CA5A36"/>
    <w:rsid w:val="00CB6E8C"/>
    <w:rsid w:val="00CC15AE"/>
    <w:rsid w:val="00CC34DE"/>
    <w:rsid w:val="00CD068B"/>
    <w:rsid w:val="00CD7D8A"/>
    <w:rsid w:val="00CE56CB"/>
    <w:rsid w:val="00CF1DC1"/>
    <w:rsid w:val="00D01037"/>
    <w:rsid w:val="00D2158C"/>
    <w:rsid w:val="00D231EB"/>
    <w:rsid w:val="00D253D2"/>
    <w:rsid w:val="00D3293F"/>
    <w:rsid w:val="00D3537D"/>
    <w:rsid w:val="00D42A74"/>
    <w:rsid w:val="00D4546E"/>
    <w:rsid w:val="00D46057"/>
    <w:rsid w:val="00D53C10"/>
    <w:rsid w:val="00D56DB9"/>
    <w:rsid w:val="00D61204"/>
    <w:rsid w:val="00D711D1"/>
    <w:rsid w:val="00D71913"/>
    <w:rsid w:val="00D73628"/>
    <w:rsid w:val="00D76E34"/>
    <w:rsid w:val="00D80A83"/>
    <w:rsid w:val="00D824A0"/>
    <w:rsid w:val="00D8512E"/>
    <w:rsid w:val="00D8650E"/>
    <w:rsid w:val="00D92937"/>
    <w:rsid w:val="00D935AE"/>
    <w:rsid w:val="00DA5BA8"/>
    <w:rsid w:val="00DA6A79"/>
    <w:rsid w:val="00DB1252"/>
    <w:rsid w:val="00DB40E4"/>
    <w:rsid w:val="00DC152D"/>
    <w:rsid w:val="00DC21F4"/>
    <w:rsid w:val="00DC5303"/>
    <w:rsid w:val="00DC5F99"/>
    <w:rsid w:val="00DD05DE"/>
    <w:rsid w:val="00DD5937"/>
    <w:rsid w:val="00DD7CFB"/>
    <w:rsid w:val="00DE54B7"/>
    <w:rsid w:val="00DE64A7"/>
    <w:rsid w:val="00DF3623"/>
    <w:rsid w:val="00E022ED"/>
    <w:rsid w:val="00E024BE"/>
    <w:rsid w:val="00E11851"/>
    <w:rsid w:val="00E21B2D"/>
    <w:rsid w:val="00E271EE"/>
    <w:rsid w:val="00E30BF8"/>
    <w:rsid w:val="00E42F14"/>
    <w:rsid w:val="00E42F7D"/>
    <w:rsid w:val="00E51127"/>
    <w:rsid w:val="00E51AE6"/>
    <w:rsid w:val="00E618CF"/>
    <w:rsid w:val="00E64CE1"/>
    <w:rsid w:val="00E7320A"/>
    <w:rsid w:val="00E93AAD"/>
    <w:rsid w:val="00E97DFB"/>
    <w:rsid w:val="00EC1BB7"/>
    <w:rsid w:val="00EC549B"/>
    <w:rsid w:val="00ED299C"/>
    <w:rsid w:val="00EE2FE5"/>
    <w:rsid w:val="00EE53BB"/>
    <w:rsid w:val="00EF53C3"/>
    <w:rsid w:val="00EF593A"/>
    <w:rsid w:val="00F17ADB"/>
    <w:rsid w:val="00F254F6"/>
    <w:rsid w:val="00F26D03"/>
    <w:rsid w:val="00F26E58"/>
    <w:rsid w:val="00F31567"/>
    <w:rsid w:val="00F41BC0"/>
    <w:rsid w:val="00F529F1"/>
    <w:rsid w:val="00F55E4A"/>
    <w:rsid w:val="00F5616C"/>
    <w:rsid w:val="00F57148"/>
    <w:rsid w:val="00F57238"/>
    <w:rsid w:val="00F71D2F"/>
    <w:rsid w:val="00F85196"/>
    <w:rsid w:val="00F91AAA"/>
    <w:rsid w:val="00F96416"/>
    <w:rsid w:val="00F97A96"/>
    <w:rsid w:val="00FA529E"/>
    <w:rsid w:val="00FD09EE"/>
    <w:rsid w:val="00FD40B2"/>
    <w:rsid w:val="00FE01CC"/>
    <w:rsid w:val="00FE122C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43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945C05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45C0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945C0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45C0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4572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05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0874B3"/>
    <w:pPr>
      <w:spacing w:line="360" w:lineRule="auto"/>
      <w:ind w:left="480"/>
    </w:pPr>
    <w:rPr>
      <w:rFonts w:ascii="Arial" w:hAnsi="Arial"/>
      <w:bCs/>
      <w:color w:val="auto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874B3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7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C567C7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0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091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43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945C05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45C0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945C0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45C0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4572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05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0874B3"/>
    <w:pPr>
      <w:spacing w:line="360" w:lineRule="auto"/>
      <w:ind w:left="480"/>
    </w:pPr>
    <w:rPr>
      <w:rFonts w:ascii="Arial" w:hAnsi="Arial"/>
      <w:bCs/>
      <w:color w:val="auto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874B3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7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C567C7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0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091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B6C9-D362-4A6D-A7E5-69FEB4AC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2</cp:revision>
  <cp:lastPrinted>2016-10-07T17:59:00Z</cp:lastPrinted>
  <dcterms:created xsi:type="dcterms:W3CDTF">2016-11-10T14:48:00Z</dcterms:created>
  <dcterms:modified xsi:type="dcterms:W3CDTF">2016-11-10T14:48:00Z</dcterms:modified>
</cp:coreProperties>
</file>