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03" w:rsidRPr="00786EEB" w:rsidRDefault="00B3530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3839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35303" w:rsidRDefault="00B3530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35303" w:rsidRPr="00B35303" w:rsidRDefault="00B35303" w:rsidP="00B353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530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35303" w:rsidRPr="00B35303" w:rsidRDefault="00B35303" w:rsidP="00B353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5303" w:rsidRPr="00B35303" w:rsidRDefault="00B35303" w:rsidP="00B353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530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35303" w:rsidRPr="00B35303" w:rsidRDefault="00B35303" w:rsidP="00B353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5303" w:rsidRPr="00B35303" w:rsidRDefault="00B35303" w:rsidP="00B353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5303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B35303">
        <w:rPr>
          <w:rFonts w:ascii="Helvetica" w:hAnsi="Helvetica"/>
          <w:b/>
          <w:sz w:val="24"/>
          <w:szCs w:val="24"/>
          <w:lang w:val="es-ES_tradnl"/>
        </w:rPr>
        <w:t>3 DE NOVIEMBRE DE 2016</w:t>
      </w:r>
    </w:p>
    <w:p w:rsidR="00B35303" w:rsidRPr="00B35303" w:rsidRDefault="00B35303" w:rsidP="00B353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5303" w:rsidRPr="00B35303" w:rsidRDefault="00B35303" w:rsidP="00B353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AR"/>
        </w:rPr>
      </w:pPr>
      <w:r w:rsidRPr="00B35303">
        <w:rPr>
          <w:rFonts w:ascii="Arial" w:hAnsi="Arial" w:cs="Arial"/>
          <w:b/>
          <w:sz w:val="24"/>
          <w:szCs w:val="24"/>
          <w:lang w:val="es-AR"/>
        </w:rPr>
        <w:t xml:space="preserve">(E. E. Nº 2016-17-1-0006969, </w:t>
      </w:r>
      <w:proofErr w:type="spellStart"/>
      <w:r w:rsidRPr="00B35303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B35303">
        <w:rPr>
          <w:rFonts w:ascii="Arial" w:hAnsi="Arial" w:cs="Arial"/>
          <w:b/>
          <w:sz w:val="24"/>
          <w:szCs w:val="24"/>
          <w:lang w:val="es-AR"/>
        </w:rPr>
        <w:t>. N°</w:t>
      </w:r>
      <w:r w:rsidRPr="00B35303">
        <w:rPr>
          <w:rFonts w:ascii="Arial" w:hAnsi="Arial" w:cs="Arial"/>
          <w:b/>
          <w:lang w:val="es-AR"/>
        </w:rPr>
        <w:t xml:space="preserve"> 5357/16)</w:t>
      </w:r>
    </w:p>
    <w:p w:rsidR="00B35303" w:rsidRPr="00B35303" w:rsidRDefault="00B353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B35303" w:rsidRDefault="00B35303" w:rsidP="00B353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VISTO: </w:t>
      </w:r>
      <w:r w:rsidRPr="00B35303">
        <w:rPr>
          <w:rFonts w:ascii="Arial" w:eastAsia="Times New Roman" w:hAnsi="Arial" w:cs="Arial"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Oficio Nº 718/016 remitido por la Junta Departamental de Lavalleja, relacionada con la aprobación del Decreto  Nº 33</w:t>
      </w:r>
      <w:r>
        <w:rPr>
          <w:rFonts w:ascii="Arial" w:eastAsia="Times New Roman" w:hAnsi="Arial" w:cs="Arial"/>
          <w:sz w:val="24"/>
          <w:szCs w:val="24"/>
          <w:lang w:eastAsia="es-ES"/>
        </w:rPr>
        <w:t>88/16, por el que se deroga el A</w:t>
      </w:r>
      <w:r>
        <w:rPr>
          <w:rFonts w:ascii="Arial" w:eastAsia="Times New Roman" w:hAnsi="Arial" w:cs="Arial"/>
          <w:sz w:val="24"/>
          <w:szCs w:val="24"/>
          <w:lang w:eastAsia="es-ES"/>
        </w:rPr>
        <w:t>rtículo 3 del Decreto Nº 936/991 que regula el pago de com</w:t>
      </w:r>
      <w:r>
        <w:rPr>
          <w:rFonts w:ascii="Arial" w:eastAsia="Times New Roman" w:hAnsi="Arial" w:cs="Arial"/>
          <w:sz w:val="24"/>
          <w:szCs w:val="24"/>
          <w:lang w:eastAsia="es-ES"/>
        </w:rPr>
        <w:t>pensación por trabajo nocturno;</w:t>
      </w:r>
    </w:p>
    <w:p w:rsidR="00B35303" w:rsidRDefault="00B35303" w:rsidP="00B353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RESULTANDO: 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s-ES"/>
        </w:rPr>
        <w:t>que el Artículo 3 del D</w:t>
      </w:r>
      <w:r>
        <w:rPr>
          <w:rFonts w:ascii="Arial" w:eastAsia="Times New Roman" w:hAnsi="Arial" w:cs="Arial"/>
          <w:sz w:val="24"/>
          <w:szCs w:val="24"/>
          <w:lang w:eastAsia="es-ES"/>
        </w:rPr>
        <w:t>ecreto 936/991 establece que la Intendencia de Lavalleja podrá abonar a funcionarios que cumplan turnos completos en horario nocturno una prima equivalente al 12,5% del sueldo base, con excepción de funcionarios que desarrollen t</w:t>
      </w:r>
      <w:r>
        <w:rPr>
          <w:rFonts w:ascii="Arial" w:eastAsia="Times New Roman" w:hAnsi="Arial" w:cs="Arial"/>
          <w:sz w:val="24"/>
          <w:szCs w:val="24"/>
          <w:lang w:eastAsia="es-ES"/>
        </w:rPr>
        <w:t>areas en el matadero municipal;</w:t>
      </w:r>
    </w:p>
    <w:p w:rsidR="00B35303" w:rsidRDefault="00B35303" w:rsidP="00B35303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2)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con fecha 29/08/16 el Asesor Letrado de la Junta Departamental informó a la Corporación sobre la eventual derogación de la referida norma por lo dispuesto en la Ley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Nº 19.313, destacando que se debe valorar en forma integral lo que dispone la Ley nacional, ya que no sólo modificaría una potestad del Ejecutivo de abonar a los funcionarios municipales una prima por horario nocturno del 12,5% fuera de la excepción dispuesta, sino que debería adecuar y/o comple</w:t>
      </w:r>
      <w:r>
        <w:rPr>
          <w:rFonts w:ascii="Arial" w:eastAsia="Times New Roman" w:hAnsi="Arial" w:cs="Arial"/>
          <w:sz w:val="24"/>
          <w:szCs w:val="24"/>
          <w:lang w:eastAsia="es-ES"/>
        </w:rPr>
        <w:t>mentar normas municipales y el e</w:t>
      </w:r>
      <w:r>
        <w:rPr>
          <w:rFonts w:ascii="Arial" w:eastAsia="Times New Roman" w:hAnsi="Arial" w:cs="Arial"/>
          <w:sz w:val="24"/>
          <w:szCs w:val="24"/>
          <w:lang w:eastAsia="es-ES"/>
        </w:rPr>
        <w:t>statuto del funcionario, en cuanto se hace declaraciones sobre el factor negativo para la salud de  los trabajadores que cumplan tareas nocturnas y sobre el cumplimiento de tareas nocturnas de las mujeres gráv</w:t>
      </w:r>
      <w:r>
        <w:rPr>
          <w:rFonts w:ascii="Arial" w:eastAsia="Times New Roman" w:hAnsi="Arial" w:cs="Arial"/>
          <w:sz w:val="24"/>
          <w:szCs w:val="24"/>
          <w:lang w:eastAsia="es-ES"/>
        </w:rPr>
        <w:t>idas o que hubieran dado a luz;</w:t>
      </w:r>
    </w:p>
    <w:p w:rsidR="00B35303" w:rsidRDefault="00B35303" w:rsidP="00B35303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3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s-ES"/>
        </w:rPr>
        <w:t>que, en S</w:t>
      </w:r>
      <w:r>
        <w:rPr>
          <w:rFonts w:ascii="Arial" w:eastAsia="Times New Roman" w:hAnsi="Arial" w:cs="Arial"/>
          <w:sz w:val="24"/>
          <w:szCs w:val="24"/>
          <w:lang w:eastAsia="es-ES"/>
        </w:rPr>
        <w:t>esión de fecha 21/09/2016 la Junta Departamental de Lavalleja, por unanimidad de 29 ediles presentes, aprobó el Decreto 338</w:t>
      </w:r>
      <w:r>
        <w:rPr>
          <w:rFonts w:ascii="Arial" w:eastAsia="Times New Roman" w:hAnsi="Arial" w:cs="Arial"/>
          <w:sz w:val="24"/>
          <w:szCs w:val="24"/>
          <w:lang w:eastAsia="es-ES"/>
        </w:rPr>
        <w:t>8/2016 por el que se deroga el A</w:t>
      </w:r>
      <w:r>
        <w:rPr>
          <w:rFonts w:ascii="Arial" w:eastAsia="Times New Roman" w:hAnsi="Arial" w:cs="Arial"/>
          <w:sz w:val="24"/>
          <w:szCs w:val="24"/>
          <w:lang w:eastAsia="es-ES"/>
        </w:rPr>
        <w:t>rtículo 3º del Decreto 936/1991 en virtud de encontrarse en vigencia la Ley Nº 19.313 referente al pago de sobretasa o compensación mínima del 20% para aquellos funcionarios del Gobierno Departamental que cumplan más de cinco horas consecutivas en el horario de 22</w:t>
      </w:r>
      <w:r>
        <w:rPr>
          <w:rFonts w:ascii="Arial" w:eastAsia="Times New Roman" w:hAnsi="Arial" w:cs="Arial"/>
          <w:sz w:val="24"/>
          <w:szCs w:val="24"/>
          <w:lang w:eastAsia="es-ES"/>
        </w:rPr>
        <w:t>.00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. a 06.00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. y establece normas para el trabajo nocturno de la mujer grávida o que hubiera dado a luz re</w:t>
      </w:r>
      <w:r>
        <w:rPr>
          <w:rFonts w:ascii="Arial" w:eastAsia="Times New Roman" w:hAnsi="Arial" w:cs="Arial"/>
          <w:sz w:val="24"/>
          <w:szCs w:val="24"/>
          <w:lang w:eastAsia="es-ES"/>
        </w:rPr>
        <w:t>cientemente;</w:t>
      </w:r>
    </w:p>
    <w:p w:rsidR="00B35303" w:rsidRDefault="00B35303" w:rsidP="00B353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CONSIDERANDO: 1) </w:t>
      </w:r>
      <w:r>
        <w:rPr>
          <w:rFonts w:ascii="Arial" w:eastAsia="Times New Roman" w:hAnsi="Arial" w:cs="Arial"/>
          <w:sz w:val="24"/>
          <w:szCs w:val="24"/>
          <w:lang w:eastAsia="es-ES"/>
        </w:rPr>
        <w:t>que el A</w:t>
      </w:r>
      <w:r>
        <w:rPr>
          <w:rFonts w:ascii="Arial" w:eastAsia="Times New Roman" w:hAnsi="Arial" w:cs="Arial"/>
          <w:sz w:val="24"/>
          <w:szCs w:val="24"/>
          <w:lang w:eastAsia="es-ES"/>
        </w:rPr>
        <w:t>rtículo 62 de la Constitución de la República establece que los Gobiernos Departamentales sancionarán el Estatuto de sus funcionarios ajustándose a los principios establecidos en la propia Carta Magna;</w:t>
      </w:r>
    </w:p>
    <w:p w:rsidR="00B35303" w:rsidRDefault="00B35303" w:rsidP="00B35303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2) </w:t>
      </w:r>
      <w:r>
        <w:rPr>
          <w:rFonts w:ascii="Arial" w:eastAsia="Times New Roman" w:hAnsi="Arial" w:cs="Arial"/>
          <w:sz w:val="24"/>
          <w:szCs w:val="24"/>
          <w:lang w:eastAsia="es-ES"/>
        </w:rPr>
        <w:t>que, a su vez, el 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rtículo 64 de la Constitución </w:t>
      </w:r>
      <w:r>
        <w:rPr>
          <w:rFonts w:ascii="Arial" w:eastAsia="Times New Roman" w:hAnsi="Arial" w:cs="Arial"/>
          <w:sz w:val="24"/>
          <w:szCs w:val="24"/>
          <w:lang w:eastAsia="es-ES"/>
        </w:rPr>
        <w:t>de la República previene que, por L</w:t>
      </w:r>
      <w:r>
        <w:rPr>
          <w:rFonts w:ascii="Arial" w:eastAsia="Times New Roman" w:hAnsi="Arial" w:cs="Arial"/>
          <w:sz w:val="24"/>
          <w:szCs w:val="24"/>
          <w:lang w:eastAsia="es-ES"/>
        </w:rPr>
        <w:t>ey sancionada por 2/3 de votos del total de componentes de cada cámara podrá establecer normas generales que por su generalidad o naturaleza sean aplicables a  los funcionarios de todos los Gobiernos Departamentales y de todos los Entes Autónomos, o de alg</w:t>
      </w:r>
      <w:r>
        <w:rPr>
          <w:rFonts w:ascii="Arial" w:eastAsia="Times New Roman" w:hAnsi="Arial" w:cs="Arial"/>
          <w:sz w:val="24"/>
          <w:szCs w:val="24"/>
          <w:lang w:eastAsia="es-ES"/>
        </w:rPr>
        <w:t>unos de ellos, según los casos;</w:t>
      </w:r>
    </w:p>
    <w:p w:rsidR="00B35303" w:rsidRDefault="00B35303" w:rsidP="00B35303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3) </w:t>
      </w:r>
      <w:r>
        <w:rPr>
          <w:rFonts w:ascii="Arial" w:eastAsia="Times New Roman" w:hAnsi="Arial" w:cs="Arial"/>
          <w:sz w:val="24"/>
          <w:szCs w:val="24"/>
          <w:lang w:eastAsia="es-ES"/>
        </w:rPr>
        <w:t>que la aprobación de la Ley de referencia no alcanzó las mayo</w:t>
      </w:r>
      <w:r>
        <w:rPr>
          <w:rFonts w:ascii="Arial" w:eastAsia="Times New Roman" w:hAnsi="Arial" w:cs="Arial"/>
          <w:sz w:val="24"/>
          <w:szCs w:val="24"/>
          <w:lang w:eastAsia="es-ES"/>
        </w:rPr>
        <w:t>rías previstas por e precitado A</w:t>
      </w:r>
      <w:r>
        <w:rPr>
          <w:rFonts w:ascii="Arial" w:eastAsia="Times New Roman" w:hAnsi="Arial" w:cs="Arial"/>
          <w:sz w:val="24"/>
          <w:szCs w:val="24"/>
          <w:lang w:eastAsia="es-ES"/>
        </w:rPr>
        <w:t>rtículo, por lo que su aplicación en los Gobiernos Departamentales depend</w:t>
      </w:r>
      <w:r>
        <w:rPr>
          <w:rFonts w:ascii="Arial" w:eastAsia="Times New Roman" w:hAnsi="Arial" w:cs="Arial"/>
          <w:sz w:val="24"/>
          <w:szCs w:val="24"/>
          <w:lang w:eastAsia="es-ES"/>
        </w:rPr>
        <w:t>e de la voluntad de los mismos;</w:t>
      </w:r>
    </w:p>
    <w:p w:rsidR="00B35303" w:rsidRDefault="00B35303" w:rsidP="00B35303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4) </w:t>
      </w:r>
      <w:r>
        <w:rPr>
          <w:rFonts w:ascii="Arial" w:eastAsia="Times New Roman" w:hAnsi="Arial" w:cs="Arial"/>
          <w:sz w:val="24"/>
          <w:szCs w:val="24"/>
          <w:lang w:eastAsia="es-ES"/>
        </w:rPr>
        <w:t>que la aplicación del A</w:t>
      </w:r>
      <w:r>
        <w:rPr>
          <w:rFonts w:ascii="Arial" w:eastAsia="Times New Roman" w:hAnsi="Arial" w:cs="Arial"/>
          <w:sz w:val="24"/>
          <w:szCs w:val="24"/>
          <w:lang w:eastAsia="es-ES"/>
        </w:rPr>
        <w:t>rtículo 3º de la Ley 19313 supone, en el caso de la Intendencia de Lavalleja un aumento en las retribuciones de los funcionarios que cumplen tareas noct</w:t>
      </w:r>
      <w:r>
        <w:rPr>
          <w:rFonts w:ascii="Arial" w:eastAsia="Times New Roman" w:hAnsi="Arial" w:cs="Arial"/>
          <w:sz w:val="24"/>
          <w:szCs w:val="24"/>
          <w:lang w:eastAsia="es-ES"/>
        </w:rPr>
        <w:t>urnas, lo que, por imperio del 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rtículo 86 de la Constitución de la República, debe efectuarse </w:t>
      </w:r>
      <w:r>
        <w:rPr>
          <w:rFonts w:ascii="Arial" w:eastAsia="Times New Roman" w:hAnsi="Arial" w:cs="Arial"/>
          <w:sz w:val="24"/>
          <w:szCs w:val="24"/>
          <w:lang w:eastAsia="es-ES"/>
        </w:rPr>
        <w:t>en unas instancia presupuestal;</w:t>
      </w:r>
    </w:p>
    <w:p w:rsidR="00B35303" w:rsidRDefault="00B35303" w:rsidP="00B3530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ATENTO: </w:t>
      </w:r>
      <w:r>
        <w:rPr>
          <w:rFonts w:ascii="Arial" w:eastAsia="Times New Roman" w:hAnsi="Arial" w:cs="Arial"/>
          <w:sz w:val="24"/>
          <w:szCs w:val="24"/>
          <w:lang w:eastAsia="es-ES"/>
        </w:rPr>
        <w:t>a lo expuesto;</w:t>
      </w:r>
    </w:p>
    <w:p w:rsidR="00B35303" w:rsidRDefault="00B35303" w:rsidP="00B35303">
      <w:pPr>
        <w:spacing w:after="0" w:line="36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B35303" w:rsidRDefault="00B35303" w:rsidP="00B3530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35303" w:rsidRDefault="00B35303" w:rsidP="00B3530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B35303" w:rsidRPr="00B35303" w:rsidRDefault="00B35303" w:rsidP="00B35303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35303">
        <w:rPr>
          <w:rFonts w:ascii="Arial" w:eastAsia="Times New Roman" w:hAnsi="Arial" w:cs="Arial"/>
          <w:sz w:val="24"/>
          <w:szCs w:val="24"/>
          <w:lang w:eastAsia="es-ES"/>
        </w:rPr>
        <w:t>Observar el Decreto 3388/2016 aprobado por la Ju</w:t>
      </w:r>
      <w:r>
        <w:rPr>
          <w:rFonts w:ascii="Arial" w:eastAsia="Times New Roman" w:hAnsi="Arial" w:cs="Arial"/>
          <w:sz w:val="24"/>
          <w:szCs w:val="24"/>
          <w:lang w:eastAsia="es-ES"/>
        </w:rPr>
        <w:t>nta Departamental de Lavalleja;</w:t>
      </w:r>
    </w:p>
    <w:p w:rsidR="00B35303" w:rsidRPr="00B35303" w:rsidRDefault="00B35303" w:rsidP="00B35303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rFonts w:ascii="Arial" w:eastAsia="Times New Roman" w:hAnsi="Arial" w:cs="Arial"/>
          <w:sz w:val="24"/>
          <w:szCs w:val="24"/>
          <w:lang w:eastAsia="es-ES"/>
        </w:rPr>
        <w:t>Devolver las actuaciones.</w:t>
      </w:r>
    </w:p>
    <w:p w:rsidR="00B35303" w:rsidRDefault="00B35303" w:rsidP="00B35303">
      <w:pPr>
        <w:spacing w:after="0" w:line="360" w:lineRule="auto"/>
        <w:jc w:val="both"/>
      </w:pPr>
    </w:p>
    <w:p w:rsidR="00B35303" w:rsidRDefault="00B35303" w:rsidP="00B35303">
      <w:pPr>
        <w:spacing w:after="0" w:line="360" w:lineRule="auto"/>
        <w:jc w:val="both"/>
      </w:pPr>
    </w:p>
    <w:p w:rsidR="00B35303" w:rsidRDefault="00B35303" w:rsidP="00B35303">
      <w:pPr>
        <w:spacing w:after="0" w:line="360" w:lineRule="auto"/>
        <w:jc w:val="both"/>
      </w:pPr>
    </w:p>
    <w:p w:rsidR="00B35303" w:rsidRDefault="00B35303" w:rsidP="00B35303">
      <w:pPr>
        <w:spacing w:after="0" w:line="360" w:lineRule="auto"/>
        <w:jc w:val="both"/>
      </w:pPr>
    </w:p>
    <w:p w:rsidR="00B35303" w:rsidRPr="00B35303" w:rsidRDefault="00B35303" w:rsidP="00B35303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B35303" w:rsidRDefault="00B35303" w:rsidP="00B35303">
      <w:pPr>
        <w:spacing w:after="0" w:line="360" w:lineRule="auto"/>
        <w:jc w:val="both"/>
      </w:pPr>
    </w:p>
    <w:p w:rsidR="00B35303" w:rsidRDefault="00B35303" w:rsidP="00B35303">
      <w:pPr>
        <w:spacing w:after="0" w:line="360" w:lineRule="auto"/>
        <w:jc w:val="both"/>
      </w:pPr>
    </w:p>
    <w:p w:rsidR="00B35303" w:rsidRDefault="00B35303" w:rsidP="00B35303">
      <w:pPr>
        <w:spacing w:after="0" w:line="360" w:lineRule="auto"/>
        <w:jc w:val="both"/>
      </w:pPr>
    </w:p>
    <w:p w:rsidR="00F86359" w:rsidRDefault="00B35303" w:rsidP="00B35303">
      <w:pPr>
        <w:spacing w:after="0" w:line="360" w:lineRule="auto"/>
        <w:jc w:val="both"/>
      </w:pPr>
      <w:r>
        <w:t xml:space="preserve"> </w:t>
      </w:r>
    </w:p>
    <w:sectPr w:rsidR="00F86359" w:rsidSect="00B35303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24E0"/>
    <w:multiLevelType w:val="hybridMultilevel"/>
    <w:tmpl w:val="30AA6A54"/>
    <w:lvl w:ilvl="0" w:tplc="7A720B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03"/>
    <w:rsid w:val="001711AC"/>
    <w:rsid w:val="00330727"/>
    <w:rsid w:val="009D365A"/>
    <w:rsid w:val="00B35303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5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532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2016-11-08T20:45:00Z</cp:lastPrinted>
  <dcterms:created xsi:type="dcterms:W3CDTF">2016-11-08T20:23:00Z</dcterms:created>
  <dcterms:modified xsi:type="dcterms:W3CDTF">2016-11-08T20:46:00Z</dcterms:modified>
</cp:coreProperties>
</file>