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DA" w:rsidRPr="00F05657" w:rsidRDefault="006331DA" w:rsidP="00F05657">
      <w:pPr>
        <w:tabs>
          <w:tab w:val="center" w:pos="4253"/>
        </w:tabs>
        <w:jc w:val="right"/>
        <w:rPr>
          <w:b/>
          <w:sz w:val="28"/>
          <w:szCs w:val="28"/>
          <w:lang w:val="es-ES_tradnl"/>
        </w:rPr>
      </w:pPr>
      <w:bookmarkStart w:id="0" w:name="_GoBack"/>
      <w:bookmarkEnd w:id="0"/>
      <w:r w:rsidRPr="00786EEB">
        <w:rPr>
          <w:b/>
          <w:sz w:val="28"/>
          <w:szCs w:val="28"/>
          <w:lang w:val="es-ES_tradnl"/>
        </w:rPr>
        <w:t xml:space="preserve">RES. </w:t>
      </w:r>
      <w:r>
        <w:rPr>
          <w:b/>
          <w:sz w:val="28"/>
          <w:szCs w:val="28"/>
          <w:lang w:val="es-ES_tradnl"/>
        </w:rPr>
        <w:t>2863</w:t>
      </w:r>
      <w:r w:rsidRPr="00786EEB">
        <w:rPr>
          <w:b/>
          <w:sz w:val="28"/>
          <w:szCs w:val="28"/>
          <w:lang w:val="es-ES_tradnl"/>
        </w:rPr>
        <w:t>/16</w:t>
      </w:r>
    </w:p>
    <w:p w:rsidR="006331DA" w:rsidRPr="00762B34" w:rsidRDefault="006331DA" w:rsidP="006331DA">
      <w:pPr>
        <w:tabs>
          <w:tab w:val="center" w:pos="4253"/>
        </w:tabs>
        <w:spacing w:after="0" w:line="240" w:lineRule="auto"/>
        <w:jc w:val="center"/>
        <w:rPr>
          <w:b/>
          <w:lang w:val="es-ES_tradnl"/>
        </w:rPr>
      </w:pPr>
      <w:r w:rsidRPr="00762B34">
        <w:rPr>
          <w:b/>
          <w:lang w:val="es-ES_tradnl"/>
        </w:rPr>
        <w:t>RESOLUCION ADOPTADA POR EL</w:t>
      </w:r>
    </w:p>
    <w:p w:rsidR="006331DA" w:rsidRPr="00762B34" w:rsidRDefault="006331DA" w:rsidP="006331DA">
      <w:pPr>
        <w:tabs>
          <w:tab w:val="left" w:pos="-720"/>
        </w:tabs>
        <w:spacing w:after="0" w:line="240" w:lineRule="auto"/>
        <w:jc w:val="center"/>
        <w:rPr>
          <w:b/>
          <w:lang w:val="es-ES_tradnl"/>
        </w:rPr>
      </w:pPr>
    </w:p>
    <w:p w:rsidR="006331DA" w:rsidRPr="00762B34" w:rsidRDefault="006331DA" w:rsidP="006331DA">
      <w:pPr>
        <w:tabs>
          <w:tab w:val="center" w:pos="4253"/>
        </w:tabs>
        <w:spacing w:after="0" w:line="240" w:lineRule="auto"/>
        <w:jc w:val="center"/>
        <w:rPr>
          <w:b/>
          <w:lang w:val="es-ES_tradnl"/>
        </w:rPr>
      </w:pPr>
      <w:r w:rsidRPr="00762B34">
        <w:rPr>
          <w:b/>
          <w:lang w:val="es-ES_tradnl"/>
        </w:rPr>
        <w:t>TRIBUNAL DE CUENTAS</w:t>
      </w:r>
    </w:p>
    <w:p w:rsidR="006331DA" w:rsidRPr="00762B34" w:rsidRDefault="006331DA" w:rsidP="006331DA">
      <w:pPr>
        <w:tabs>
          <w:tab w:val="left" w:pos="-720"/>
        </w:tabs>
        <w:spacing w:after="0" w:line="240" w:lineRule="auto"/>
        <w:jc w:val="center"/>
        <w:rPr>
          <w:b/>
          <w:lang w:val="es-ES_tradnl"/>
        </w:rPr>
      </w:pPr>
    </w:p>
    <w:p w:rsidR="006331DA" w:rsidRPr="00762B34" w:rsidRDefault="006331DA" w:rsidP="006331DA">
      <w:pPr>
        <w:tabs>
          <w:tab w:val="center" w:pos="4253"/>
        </w:tabs>
        <w:spacing w:after="0" w:line="240" w:lineRule="auto"/>
        <w:jc w:val="center"/>
        <w:rPr>
          <w:b/>
          <w:lang w:val="es-ES_tradnl"/>
        </w:rPr>
      </w:pPr>
      <w:r w:rsidRPr="00762B34">
        <w:rPr>
          <w:b/>
          <w:lang w:val="es-ES_tradnl"/>
        </w:rPr>
        <w:t xml:space="preserve">EN SESION DE FECHA </w:t>
      </w:r>
      <w:r>
        <w:rPr>
          <w:rFonts w:ascii="Helvetica" w:hAnsi="Helvetica"/>
          <w:b/>
          <w:lang w:val="es-ES_tradnl"/>
        </w:rPr>
        <w:t>17 DE AGOSTO DE 2016</w:t>
      </w:r>
    </w:p>
    <w:p w:rsidR="006331DA" w:rsidRPr="00762B34" w:rsidRDefault="006331DA" w:rsidP="006331DA">
      <w:pPr>
        <w:tabs>
          <w:tab w:val="center" w:pos="4253"/>
        </w:tabs>
        <w:spacing w:after="0" w:line="240" w:lineRule="auto"/>
        <w:jc w:val="center"/>
        <w:rPr>
          <w:b/>
          <w:lang w:val="es-ES_tradnl"/>
        </w:rPr>
      </w:pPr>
    </w:p>
    <w:p w:rsidR="006331DA" w:rsidRPr="00AA6AE1" w:rsidRDefault="006331DA" w:rsidP="006331DA">
      <w:pPr>
        <w:tabs>
          <w:tab w:val="center" w:pos="4253"/>
        </w:tabs>
        <w:spacing w:after="0" w:line="240" w:lineRule="auto"/>
        <w:jc w:val="center"/>
        <w:rPr>
          <w:b/>
          <w:szCs w:val="24"/>
        </w:rPr>
      </w:pPr>
      <w:r w:rsidRPr="00AA6AE1">
        <w:rPr>
          <w:b/>
          <w:szCs w:val="24"/>
        </w:rPr>
        <w:t xml:space="preserve">(E. E. Nº </w:t>
      </w:r>
      <w:r w:rsidRPr="006331DA">
        <w:rPr>
          <w:rFonts w:eastAsia="Times New Roman"/>
          <w:b/>
          <w:szCs w:val="24"/>
          <w:lang w:val="es-ES"/>
        </w:rPr>
        <w:t>2016-17-1-0004546</w:t>
      </w:r>
      <w:r w:rsidRPr="00AA6AE1">
        <w:rPr>
          <w:b/>
          <w:szCs w:val="24"/>
        </w:rPr>
        <w:t xml:space="preserve">, </w:t>
      </w:r>
      <w:proofErr w:type="spellStart"/>
      <w:r w:rsidRPr="00AA6AE1">
        <w:rPr>
          <w:b/>
          <w:szCs w:val="24"/>
        </w:rPr>
        <w:t>Ent</w:t>
      </w:r>
      <w:proofErr w:type="spellEnd"/>
      <w:r w:rsidRPr="00AA6AE1">
        <w:rPr>
          <w:b/>
          <w:szCs w:val="24"/>
        </w:rPr>
        <w:t xml:space="preserve">. N° </w:t>
      </w:r>
      <w:r w:rsidRPr="006331DA">
        <w:rPr>
          <w:rFonts w:eastAsia="Times New Roman"/>
          <w:b/>
          <w:szCs w:val="24"/>
          <w:lang w:val="es-ES"/>
        </w:rPr>
        <w:t>3469/16</w:t>
      </w:r>
      <w:r w:rsidRPr="00AA6AE1">
        <w:rPr>
          <w:b/>
          <w:szCs w:val="24"/>
        </w:rPr>
        <w:t>)</w:t>
      </w:r>
    </w:p>
    <w:p w:rsidR="006331DA" w:rsidRDefault="006331DA" w:rsidP="00EE3E2B">
      <w:pPr>
        <w:spacing w:after="0" w:line="360" w:lineRule="auto"/>
        <w:ind w:firstLine="708"/>
        <w:rPr>
          <w:rFonts w:eastAsia="Times New Roman"/>
          <w:b/>
          <w:szCs w:val="24"/>
          <w:lang w:val="es-ES"/>
        </w:rPr>
      </w:pPr>
    </w:p>
    <w:p w:rsidR="00EE3E2B" w:rsidRDefault="00EE3E2B" w:rsidP="00EE3E2B">
      <w:pPr>
        <w:spacing w:after="0" w:line="360" w:lineRule="auto"/>
        <w:ind w:firstLine="708"/>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 la Junta Departamental de Colonia correspondientes al </w:t>
      </w:r>
      <w:r w:rsidR="006331DA">
        <w:rPr>
          <w:rFonts w:eastAsia="Times New Roman"/>
          <w:szCs w:val="24"/>
          <w:lang w:val="es-ES"/>
        </w:rPr>
        <w:t>E</w:t>
      </w:r>
      <w:r>
        <w:rPr>
          <w:rFonts w:eastAsia="Times New Roman"/>
          <w:szCs w:val="24"/>
          <w:lang w:val="es-ES"/>
        </w:rPr>
        <w:t>jercicio 201</w:t>
      </w:r>
      <w:r w:rsidR="00E43062">
        <w:rPr>
          <w:rFonts w:eastAsia="Times New Roman"/>
          <w:szCs w:val="24"/>
          <w:lang w:val="es-ES"/>
        </w:rPr>
        <w:t>5</w:t>
      </w:r>
      <w:r>
        <w:rPr>
          <w:rFonts w:eastAsia="Times New Roman"/>
          <w:szCs w:val="24"/>
          <w:lang w:val="es-ES"/>
        </w:rPr>
        <w:t>;</w:t>
      </w:r>
    </w:p>
    <w:p w:rsidR="00EE3E2B" w:rsidRDefault="00EE3E2B" w:rsidP="00EE3E2B">
      <w:pPr>
        <w:spacing w:after="0" w:line="360" w:lineRule="auto"/>
        <w:ind w:firstLine="708"/>
        <w:rPr>
          <w:rFonts w:eastAsia="Times New Roman"/>
          <w:szCs w:val="24"/>
          <w:lang w:val="es-ES"/>
        </w:rPr>
      </w:pPr>
      <w:r>
        <w:rPr>
          <w:rFonts w:eastAsia="Times New Roman"/>
          <w:b/>
          <w:szCs w:val="24"/>
          <w:lang w:val="es-ES"/>
        </w:rPr>
        <w:t xml:space="preserve">RESULTANDO: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w:t>
      </w:r>
      <w:r w:rsidRPr="005236BA">
        <w:rPr>
          <w:rFonts w:eastAsia="Times New Roman"/>
          <w:szCs w:val="24"/>
          <w:lang w:val="es-ES"/>
        </w:rPr>
        <w:t>(ISSAI 1000 a 1810)</w:t>
      </w:r>
      <w:r>
        <w:rPr>
          <w:rFonts w:eastAsia="Times New Roman"/>
          <w:szCs w:val="24"/>
          <w:lang w:val="es-ES"/>
        </w:rPr>
        <w:t xml:space="preserve"> de la Organización Internacional de Entidades Fiscalizadoras Superiores (INTOSAI), habiéndose llevado a cabo los procedimientos considerados necesarios en las circunstancias;</w:t>
      </w:r>
    </w:p>
    <w:p w:rsidR="00EE3E2B" w:rsidRDefault="00EE3E2B" w:rsidP="00EE3E2B">
      <w:pPr>
        <w:spacing w:after="0" w:line="360" w:lineRule="auto"/>
        <w:ind w:firstLine="708"/>
        <w:rPr>
          <w:rFonts w:eastAsia="Times New Roman"/>
          <w:szCs w:val="24"/>
          <w:lang w:val="es-ES"/>
        </w:rPr>
      </w:pPr>
      <w:r>
        <w:rPr>
          <w:rFonts w:eastAsia="Times New Roman"/>
          <w:b/>
          <w:szCs w:val="24"/>
          <w:lang w:val="es-ES"/>
        </w:rPr>
        <w:t xml:space="preserve">CONSIDERANDO: </w:t>
      </w:r>
      <w:r>
        <w:rPr>
          <w:rFonts w:eastAsia="Times New Roman"/>
          <w:szCs w:val="24"/>
          <w:lang w:val="es-ES"/>
        </w:rPr>
        <w:t>que las conclusiones y evidencias obtenidas son las que se expresan en el Informe de Auditoría, que incluye Dictamen e Informe a la Administración;</w:t>
      </w:r>
    </w:p>
    <w:p w:rsidR="00EE3E2B" w:rsidRDefault="00EE3E2B" w:rsidP="00EE3E2B">
      <w:pPr>
        <w:spacing w:after="0" w:line="360" w:lineRule="auto"/>
        <w:ind w:firstLine="708"/>
        <w:rPr>
          <w:rFonts w:eastAsia="Times New Roman"/>
          <w:szCs w:val="24"/>
          <w:lang w:val="es-ES"/>
        </w:rPr>
      </w:pPr>
      <w:r>
        <w:rPr>
          <w:rFonts w:eastAsia="Times New Roman"/>
          <w:b/>
          <w:szCs w:val="24"/>
          <w:lang w:val="es-ES"/>
        </w:rPr>
        <w:t xml:space="preserve">ATENTO: </w:t>
      </w:r>
      <w:r>
        <w:rPr>
          <w:rFonts w:eastAsia="Times New Roman"/>
          <w:szCs w:val="24"/>
          <w:lang w:val="es-ES"/>
        </w:rPr>
        <w:t xml:space="preserve">a lo dispuesto por el Artículo 211 Literal C) de </w:t>
      </w:r>
      <w:r w:rsidR="00EA02D4">
        <w:rPr>
          <w:rFonts w:eastAsia="Times New Roman"/>
          <w:szCs w:val="24"/>
          <w:lang w:val="es-ES"/>
        </w:rPr>
        <w:t>la Constitución de la República y Ordenanza Nº 81 de este Cuerpo;</w:t>
      </w:r>
    </w:p>
    <w:p w:rsidR="00EE3E2B" w:rsidRDefault="00EE3E2B" w:rsidP="006331DA">
      <w:pPr>
        <w:keepNext/>
        <w:spacing w:after="0" w:line="360" w:lineRule="auto"/>
        <w:jc w:val="center"/>
        <w:rPr>
          <w:rFonts w:eastAsia="Times New Roman"/>
          <w:b/>
          <w:szCs w:val="24"/>
          <w:lang w:val="es-ES"/>
        </w:rPr>
      </w:pPr>
      <w:r>
        <w:rPr>
          <w:rFonts w:eastAsia="Times New Roman"/>
          <w:b/>
          <w:szCs w:val="24"/>
          <w:lang w:val="es-ES"/>
        </w:rPr>
        <w:t>EL TRIBUNAL ACUERDA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 xml:space="preserve">Expedirse respecto de los Estados Contables de la Junta Departamental de Colonia correspondientes al </w:t>
      </w:r>
      <w:r w:rsidR="00C530F1">
        <w:rPr>
          <w:rFonts w:eastAsia="Times New Roman"/>
          <w:szCs w:val="24"/>
          <w:lang w:val="es-ES"/>
        </w:rPr>
        <w:t>e</w:t>
      </w:r>
      <w:r w:rsidR="00E43062">
        <w:rPr>
          <w:rFonts w:eastAsia="Times New Roman"/>
          <w:szCs w:val="24"/>
          <w:lang w:val="es-ES"/>
        </w:rPr>
        <w:t>jercicio 2015</w:t>
      </w:r>
      <w:r>
        <w:rPr>
          <w:rFonts w:eastAsia="Times New Roman"/>
          <w:szCs w:val="24"/>
          <w:lang w:val="es-ES"/>
        </w:rPr>
        <w:t>, en los términos del Informe de Auditoría que se adjunta;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Comunicar la presente Resolución a la Junta Departamental de Col</w:t>
      </w:r>
      <w:r w:rsidR="00B92E1C">
        <w:rPr>
          <w:rFonts w:eastAsia="Times New Roman"/>
          <w:szCs w:val="24"/>
          <w:lang w:val="es-ES"/>
        </w:rPr>
        <w:t>onia y a la Contadora Delegada;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Dar cuenta a la</w:t>
      </w:r>
      <w:r w:rsidR="00B92E1C">
        <w:rPr>
          <w:rFonts w:eastAsia="Times New Roman"/>
          <w:szCs w:val="24"/>
          <w:lang w:val="es-ES"/>
        </w:rPr>
        <w:t xml:space="preserve"> Asamblea General;</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Devolver los antecedentes</w:t>
      </w:r>
      <w:r w:rsidR="00B92E1C">
        <w:rPr>
          <w:rFonts w:eastAsia="Times New Roman"/>
          <w:szCs w:val="24"/>
          <w:lang w:val="es-ES"/>
        </w:rPr>
        <w:t>.</w:t>
      </w:r>
    </w:p>
    <w:p w:rsidR="00EE3E2B" w:rsidRDefault="006331DA" w:rsidP="00EE3E2B">
      <w:pPr>
        <w:spacing w:after="0" w:line="360" w:lineRule="auto"/>
        <w:rPr>
          <w:rFonts w:eastAsia="Times New Roman"/>
          <w:sz w:val="20"/>
          <w:szCs w:val="20"/>
          <w:lang w:val="es-ES"/>
        </w:rPr>
      </w:pPr>
      <w:r w:rsidRPr="006331DA">
        <w:rPr>
          <w:rFonts w:eastAsia="Times New Roman"/>
          <w:sz w:val="20"/>
          <w:szCs w:val="20"/>
          <w:lang w:val="es-ES"/>
        </w:rPr>
        <w:t>CLC</w:t>
      </w:r>
    </w:p>
    <w:p w:rsidR="00AA6AE1" w:rsidRDefault="00AA6AE1" w:rsidP="00EE3E2B">
      <w:pPr>
        <w:spacing w:after="0" w:line="360" w:lineRule="auto"/>
        <w:rPr>
          <w:rFonts w:eastAsia="Times New Roman"/>
          <w:sz w:val="20"/>
          <w:szCs w:val="20"/>
          <w:lang w:val="es-ES"/>
        </w:rPr>
      </w:pPr>
    </w:p>
    <w:p w:rsidR="00AA6AE1" w:rsidRDefault="00AA6AE1" w:rsidP="00B92E1C">
      <w:pPr>
        <w:pStyle w:val="Ttulo1"/>
        <w:numPr>
          <w:ilvl w:val="0"/>
          <w:numId w:val="0"/>
        </w:numPr>
        <w:jc w:val="center"/>
      </w:pPr>
      <w:bookmarkStart w:id="1" w:name="_Toc425860333"/>
      <w:r>
        <w:lastRenderedPageBreak/>
        <w:t>DICTAMEN</w:t>
      </w:r>
      <w:bookmarkEnd w:id="1"/>
    </w:p>
    <w:p w:rsidR="00AA6AE1" w:rsidRDefault="00AA6AE1">
      <w:pPr>
        <w:rPr>
          <w:lang w:val="es-ES"/>
        </w:rPr>
      </w:pPr>
    </w:p>
    <w:p w:rsidR="00AA6AE1" w:rsidRDefault="00AA6AE1" w:rsidP="00B92E1C">
      <w:pPr>
        <w:pStyle w:val="Subttulo"/>
        <w:rPr>
          <w:rFonts w:ascii="Arial" w:hAnsi="Arial"/>
          <w:b w:val="0"/>
        </w:rPr>
      </w:pPr>
      <w:r>
        <w:rPr>
          <w:rFonts w:ascii="Arial" w:hAnsi="Arial"/>
          <w:b w:val="0"/>
        </w:rPr>
        <w:t>El Tribunal de Cuentas ha examinado los Estados Contables de la Junta Departamental de Colonia correspondientes al ejercicio 2015 que comprenden el Estado de Situación Patrimonial y los correspondientes Estado de Resultados, Estado de Origen y Aplicación de Fondos, Estado de Evolución del Patrimonio, Cuadro de Bienes de Uso y</w:t>
      </w:r>
      <w:r w:rsidR="00B92E1C">
        <w:rPr>
          <w:rFonts w:ascii="Arial" w:hAnsi="Arial"/>
          <w:b w:val="0"/>
        </w:rPr>
        <w:t xml:space="preserve"> Notas a los Estados Contables.</w:t>
      </w:r>
    </w:p>
    <w:p w:rsidR="00AA6AE1" w:rsidRDefault="00AA6AE1" w:rsidP="00B92E1C">
      <w:pPr>
        <w:pStyle w:val="Subttulo"/>
        <w:rPr>
          <w:rFonts w:ascii="Arial" w:hAnsi="Arial"/>
          <w:b w:val="0"/>
        </w:rPr>
      </w:pPr>
      <w:r>
        <w:rPr>
          <w:rFonts w:ascii="Arial" w:hAnsi="Arial"/>
          <w:b w:val="0"/>
        </w:rPr>
        <w:t>El Tribunal de Cuentas también ha auditado el cumplimiento por parte de la Junta Departamental de la normativa vigente.</w:t>
      </w:r>
    </w:p>
    <w:p w:rsidR="00AA6AE1" w:rsidRDefault="00AA6AE1">
      <w:pPr>
        <w:pStyle w:val="Subttulo"/>
        <w:rPr>
          <w:rFonts w:ascii="Arial" w:hAnsi="Arial"/>
          <w:bCs/>
        </w:rPr>
      </w:pPr>
    </w:p>
    <w:p w:rsidR="00AA6AE1" w:rsidRDefault="00AA6AE1">
      <w:pPr>
        <w:pStyle w:val="Subttulo"/>
        <w:rPr>
          <w:rFonts w:ascii="Arial" w:hAnsi="Arial"/>
          <w:bCs/>
        </w:rPr>
      </w:pPr>
      <w:r>
        <w:rPr>
          <w:rFonts w:ascii="Arial" w:hAnsi="Arial"/>
          <w:bCs/>
        </w:rPr>
        <w:t>Responsabilidad de la Junta Departamental</w:t>
      </w:r>
    </w:p>
    <w:p w:rsidR="00AA6AE1" w:rsidRDefault="00AA6AE1" w:rsidP="00B92E1C">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AA6AE1" w:rsidRDefault="00AA6AE1">
      <w:pPr>
        <w:pStyle w:val="Subttulo"/>
        <w:rPr>
          <w:rFonts w:ascii="Arial" w:hAnsi="Arial"/>
          <w:bCs/>
        </w:rPr>
      </w:pPr>
    </w:p>
    <w:p w:rsidR="00AA6AE1" w:rsidRDefault="00AA6AE1">
      <w:pPr>
        <w:pStyle w:val="Subttulo"/>
        <w:rPr>
          <w:rFonts w:ascii="Arial" w:hAnsi="Arial"/>
          <w:bCs/>
        </w:rPr>
      </w:pPr>
      <w:r>
        <w:rPr>
          <w:rFonts w:ascii="Arial" w:hAnsi="Arial"/>
          <w:bCs/>
        </w:rPr>
        <w:t>Responsabilidad del auditor</w:t>
      </w:r>
    </w:p>
    <w:p w:rsidR="00AA6AE1" w:rsidRDefault="00AA6AE1">
      <w:pPr>
        <w:spacing w:line="360" w:lineRule="auto"/>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(ISSAI</w:t>
      </w:r>
      <w:r>
        <w:rPr>
          <w:rFonts w:eastAsia="Times New Roman"/>
          <w:szCs w:val="24"/>
          <w:shd w:val="clear" w:color="auto" w:fill="FFFF00"/>
          <w:lang w:val="es-ES"/>
        </w:rPr>
        <w:t xml:space="preserve"> </w:t>
      </w:r>
      <w:r w:rsidRPr="00F7139B">
        <w:rPr>
          <w:rFonts w:eastAsia="Times New Roman"/>
          <w:szCs w:val="24"/>
          <w:lang w:val="es-ES"/>
        </w:rPr>
        <w:t xml:space="preserve">100 y 200) </w:t>
      </w:r>
      <w:r w:rsidRPr="00F7139B">
        <w:rPr>
          <w:kern w:val="1"/>
          <w:szCs w:val="20"/>
        </w:rPr>
        <w:t xml:space="preserve">y las Directrices de Auditoria Financiera </w:t>
      </w:r>
      <w:r w:rsidRPr="00F7139B">
        <w:rPr>
          <w:rFonts w:eastAsia="Times New Roman"/>
          <w:szCs w:val="24"/>
          <w:lang w:val="es-ES"/>
        </w:rPr>
        <w:t xml:space="preserve">(ISSAI 1000 a 1810)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w:t>
      </w:r>
      <w:r w:rsidR="00B92E1C">
        <w:rPr>
          <w:kern w:val="1"/>
          <w:szCs w:val="20"/>
        </w:rPr>
        <w:t>bres de errores significativos.</w:t>
      </w:r>
    </w:p>
    <w:p w:rsidR="00AA6AE1" w:rsidRDefault="00AA6AE1">
      <w:pPr>
        <w:pStyle w:val="Subttulo"/>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AA6AE1" w:rsidRDefault="00AA6AE1">
      <w:pPr>
        <w:pStyle w:val="Subttulo"/>
        <w:rPr>
          <w:rFonts w:ascii="Arial" w:hAnsi="Arial"/>
          <w:b w:val="0"/>
        </w:rPr>
      </w:pPr>
      <w:r>
        <w:rPr>
          <w:rFonts w:ascii="Arial" w:hAnsi="Arial"/>
          <w:b w:val="0"/>
        </w:rPr>
        <w:t>Se considera que la evidencia de auditoría obtenida brinda una base suficiente y apropiada para sustentar la opinión.</w:t>
      </w:r>
    </w:p>
    <w:p w:rsidR="00AA6AE1" w:rsidRPr="00F50BD1" w:rsidRDefault="00AA6AE1">
      <w:pPr>
        <w:pStyle w:val="Textoindependiente"/>
        <w:spacing w:after="0" w:line="360" w:lineRule="auto"/>
        <w:rPr>
          <w:bCs/>
          <w:szCs w:val="24"/>
          <w:lang w:val="es-ES"/>
        </w:rPr>
      </w:pPr>
      <w:r>
        <w:rPr>
          <w:bCs/>
          <w:szCs w:val="24"/>
          <w:lang w:val="es-ES"/>
        </w:rPr>
        <w:t xml:space="preserve">  </w:t>
      </w:r>
    </w:p>
    <w:p w:rsidR="00AA6AE1" w:rsidRDefault="00AA6AE1">
      <w:pPr>
        <w:pStyle w:val="Textoindependiente"/>
        <w:spacing w:after="0" w:line="360" w:lineRule="auto"/>
        <w:rPr>
          <w:b/>
          <w:bCs/>
          <w:szCs w:val="24"/>
          <w:lang w:val="es-ES"/>
        </w:rPr>
      </w:pPr>
      <w:r>
        <w:rPr>
          <w:b/>
          <w:bCs/>
          <w:szCs w:val="24"/>
          <w:lang w:val="es-ES"/>
        </w:rPr>
        <w:t>Opinión</w:t>
      </w:r>
    </w:p>
    <w:p w:rsidR="00AA6AE1" w:rsidRDefault="00AA6AE1">
      <w:pPr>
        <w:pStyle w:val="Textoindependiente"/>
        <w:spacing w:after="0" w:line="360" w:lineRule="auto"/>
        <w:rPr>
          <w:szCs w:val="24"/>
          <w:lang w:val="es-ES"/>
        </w:rPr>
      </w:pPr>
      <w:r w:rsidRPr="00A66101">
        <w:rPr>
          <w:szCs w:val="24"/>
          <w:lang w:val="es-ES"/>
        </w:rPr>
        <w:t xml:space="preserve">En opinión del Tribunal de Cuentas, </w:t>
      </w:r>
      <w:r>
        <w:rPr>
          <w:szCs w:val="24"/>
          <w:lang w:val="es-ES"/>
        </w:rPr>
        <w:t>los e</w:t>
      </w:r>
      <w:r w:rsidRPr="00A66101">
        <w:rPr>
          <w:szCs w:val="24"/>
          <w:lang w:val="es-ES"/>
        </w:rPr>
        <w:t>stados mencionados presentan razonablemente, en todos sus aspectos importantes, la situación patrimonial de la Junta Departamental de Colonia al 31 de diciembre de 20</w:t>
      </w:r>
      <w:r>
        <w:rPr>
          <w:szCs w:val="24"/>
          <w:lang w:val="es-ES"/>
        </w:rPr>
        <w:t>15</w:t>
      </w:r>
      <w:r w:rsidRPr="00A66101">
        <w:rPr>
          <w:szCs w:val="24"/>
          <w:lang w:val="es-ES"/>
        </w:rPr>
        <w:t>, los resultados de sus operaciones y el origen y aplicación de fondos por el ejercicio anual finalizado en esa fecha, de acuerdo con los criterios y normas establecidas en la Ordenanza N° 81.</w:t>
      </w:r>
    </w:p>
    <w:p w:rsidR="00AA6AE1" w:rsidRDefault="00AA6AE1" w:rsidP="00B92E1C">
      <w:pPr>
        <w:spacing w:line="360" w:lineRule="auto"/>
      </w:pPr>
      <w:r>
        <w:t>Con relación al cumplimiento de las disposiciones legales y reglamentarias que fueron objeto de examen, en opinión del Tribunal de Cuentas no se ha dado cumplimiento a la siguiente norma:</w:t>
      </w:r>
    </w:p>
    <w:p w:rsidR="00AA6AE1" w:rsidRDefault="00AA6AE1" w:rsidP="00B92E1C">
      <w:pPr>
        <w:tabs>
          <w:tab w:val="left" w:pos="15"/>
        </w:tabs>
        <w:spacing w:line="360" w:lineRule="auto"/>
        <w:ind w:left="15" w:hanging="15"/>
      </w:pPr>
      <w:r>
        <w:rPr>
          <w:b/>
          <w:bCs/>
        </w:rPr>
        <w:t>Artículo 32 Ordenanza 81</w:t>
      </w:r>
      <w:r>
        <w:t xml:space="preserve"> Los Estados Contables se presentaron fuera del plazo establecido.</w:t>
      </w:r>
    </w:p>
    <w:p w:rsidR="00B92E1C" w:rsidRDefault="00AA6AE1" w:rsidP="00B92E1C">
      <w:pPr>
        <w:pStyle w:val="Encabezado1"/>
        <w:tabs>
          <w:tab w:val="clear" w:pos="4419"/>
          <w:tab w:val="clear" w:pos="8838"/>
          <w:tab w:val="left" w:pos="360"/>
        </w:tabs>
        <w:spacing w:line="360" w:lineRule="auto"/>
        <w:jc w:val="right"/>
        <w:rPr>
          <w:lang w:val="es-ES_tradnl"/>
        </w:rPr>
      </w:pPr>
      <w:r w:rsidRPr="004438D9">
        <w:rPr>
          <w:lang w:val="es-ES_tradnl"/>
        </w:rPr>
        <w:t xml:space="preserve">Montevideo, </w:t>
      </w:r>
      <w:r>
        <w:rPr>
          <w:lang w:val="es-ES_tradnl"/>
        </w:rPr>
        <w:t>8</w:t>
      </w:r>
      <w:r w:rsidRPr="004438D9">
        <w:rPr>
          <w:lang w:val="es-ES_tradnl"/>
        </w:rPr>
        <w:t xml:space="preserve"> de </w:t>
      </w:r>
      <w:r>
        <w:rPr>
          <w:lang w:val="es-ES_tradnl"/>
        </w:rPr>
        <w:t>agosto</w:t>
      </w:r>
      <w:r w:rsidRPr="004438D9">
        <w:rPr>
          <w:lang w:val="es-ES_tradnl"/>
        </w:rPr>
        <w:t xml:space="preserve"> de 201</w:t>
      </w:r>
      <w:r>
        <w:rPr>
          <w:lang w:val="es-ES_tradnl"/>
        </w:rPr>
        <w:t>6</w:t>
      </w:r>
    </w:p>
    <w:p w:rsidR="00AA6AE1" w:rsidRPr="000A6FA8" w:rsidRDefault="00AA6AE1" w:rsidP="00B92E1C">
      <w:pPr>
        <w:pStyle w:val="Encabezado1"/>
        <w:tabs>
          <w:tab w:val="clear" w:pos="4419"/>
          <w:tab w:val="clear" w:pos="8838"/>
          <w:tab w:val="left" w:pos="360"/>
        </w:tabs>
        <w:spacing w:line="360" w:lineRule="auto"/>
        <w:rPr>
          <w:sz w:val="20"/>
          <w:szCs w:val="20"/>
        </w:rPr>
      </w:pPr>
      <w:r w:rsidRPr="000A6FA8">
        <w:rPr>
          <w:sz w:val="20"/>
          <w:szCs w:val="20"/>
        </w:rPr>
        <w:t>CLC</w:t>
      </w:r>
    </w:p>
    <w:p w:rsidR="00AA6AE1" w:rsidRDefault="00AA6AE1" w:rsidP="00EE3E2B">
      <w:pPr>
        <w:spacing w:after="0" w:line="360" w:lineRule="auto"/>
        <w:rPr>
          <w:rFonts w:eastAsia="Times New Roman"/>
          <w:sz w:val="20"/>
          <w:szCs w:val="20"/>
          <w:lang w:val="es-ES"/>
        </w:rPr>
      </w:pPr>
    </w:p>
    <w:p w:rsidR="00AA6AE1" w:rsidRDefault="00AA6AE1" w:rsidP="00B92E1C">
      <w:pPr>
        <w:pStyle w:val="Ttulo1"/>
        <w:keepNext w:val="0"/>
        <w:widowControl w:val="0"/>
        <w:numPr>
          <w:ilvl w:val="0"/>
          <w:numId w:val="0"/>
        </w:numPr>
        <w:suppressAutoHyphens w:val="0"/>
        <w:spacing w:before="0" w:after="0"/>
        <w:jc w:val="center"/>
      </w:pPr>
      <w:bookmarkStart w:id="2" w:name="_Toc425860335"/>
      <w:r>
        <w:t>INFORME A LA ADMINISTRACIÓN</w:t>
      </w:r>
      <w:bookmarkEnd w:id="2"/>
    </w:p>
    <w:p w:rsidR="00AA6AE1" w:rsidRDefault="00AA6AE1"/>
    <w:p w:rsidR="00AA6AE1" w:rsidRDefault="00AA6AE1">
      <w:pPr>
        <w:pStyle w:val="Subttulo"/>
        <w:widowControl w:val="0"/>
        <w:suppressAutoHyphens w:val="0"/>
        <w:rPr>
          <w:rFonts w:ascii="Arial" w:hAnsi="Arial"/>
          <w:b w:val="0"/>
        </w:rPr>
      </w:pPr>
      <w:r>
        <w:rPr>
          <w:rFonts w:ascii="Arial" w:hAnsi="Arial"/>
          <w:b w:val="0"/>
        </w:rPr>
        <w:t>El Tribunal de Cuentas ha examinado los Estados Contables correspondientes al Ejercicio 2015 y ha emitido su correspondiente dictamen.</w:t>
      </w:r>
    </w:p>
    <w:p w:rsidR="00AA6AE1" w:rsidRDefault="00AA6AE1">
      <w:pPr>
        <w:pStyle w:val="Textoindependiente"/>
        <w:widowControl w:val="0"/>
        <w:suppressAutoHyphens w:val="0"/>
        <w:spacing w:after="0" w:line="360" w:lineRule="auto"/>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atender el Organismo. Se incluye además una evaluación de la forma de cumplimiento de las recomendaciones presentadas en el informe de auditoría correspondiente al ejercicio anterior.</w:t>
      </w:r>
    </w:p>
    <w:p w:rsidR="00AA6AE1" w:rsidRDefault="00AA6AE1">
      <w:pPr>
        <w:pStyle w:val="Textoindependiente"/>
        <w:widowControl w:val="0"/>
        <w:suppressAutoHyphens w:val="0"/>
        <w:spacing w:after="0" w:line="360" w:lineRule="auto"/>
        <w:rPr>
          <w:szCs w:val="24"/>
          <w:lang w:val="es-ES"/>
        </w:rPr>
      </w:pPr>
    </w:p>
    <w:p w:rsidR="00AA6AE1" w:rsidRDefault="00AA6AE1" w:rsidP="00AA6AE1">
      <w:pPr>
        <w:pStyle w:val="Ttulo2"/>
        <w:numPr>
          <w:ilvl w:val="1"/>
          <w:numId w:val="3"/>
        </w:numPr>
        <w:spacing w:after="0"/>
      </w:pPr>
      <w:bookmarkStart w:id="3" w:name="_Toc425860336"/>
      <w:r w:rsidRPr="00FB2813">
        <w:t>1 Incumplimientos legales</w:t>
      </w:r>
      <w:bookmarkEnd w:id="3"/>
    </w:p>
    <w:p w:rsidR="00AA6AE1" w:rsidRPr="00CF2B8C" w:rsidRDefault="00AA6AE1" w:rsidP="00B92E1C">
      <w:pPr>
        <w:pStyle w:val="Textoindependiente"/>
        <w:rPr>
          <w:lang w:val="es-ES"/>
        </w:rPr>
      </w:pPr>
    </w:p>
    <w:p w:rsidR="00AA6AE1" w:rsidRDefault="00AA6AE1" w:rsidP="00AA6AE1">
      <w:pPr>
        <w:pStyle w:val="Ttulo2"/>
        <w:widowControl w:val="0"/>
        <w:numPr>
          <w:ilvl w:val="1"/>
          <w:numId w:val="3"/>
        </w:numPr>
        <w:suppressAutoHyphens w:val="0"/>
        <w:spacing w:after="0"/>
      </w:pPr>
      <w:bookmarkStart w:id="4" w:name="_Toc425860337"/>
      <w:r>
        <w:t>1.1 Plazo de presentación de los Estados Contables</w:t>
      </w:r>
      <w:bookmarkEnd w:id="4"/>
    </w:p>
    <w:p w:rsidR="00AA6AE1" w:rsidRDefault="00AA6AE1" w:rsidP="00B92E1C">
      <w:pPr>
        <w:pStyle w:val="Textoindependiente"/>
        <w:widowControl w:val="0"/>
        <w:suppressAutoHyphens w:val="0"/>
        <w:spacing w:after="0" w:line="360" w:lineRule="auto"/>
        <w:rPr>
          <w:lang w:val="es-ES"/>
        </w:rPr>
      </w:pPr>
      <w:r>
        <w:rPr>
          <w:lang w:val="es-ES"/>
        </w:rPr>
        <w:t>Los Estados Contables no fueron presentados dentro de los noventa días siguientes al cierre del ejercicio.</w:t>
      </w:r>
    </w:p>
    <w:p w:rsidR="00AA6AE1" w:rsidRDefault="00AA6AE1">
      <w:pPr>
        <w:pStyle w:val="Textoindependiente"/>
        <w:widowControl w:val="0"/>
        <w:suppressAutoHyphens w:val="0"/>
        <w:spacing w:after="0" w:line="360" w:lineRule="auto"/>
        <w:rPr>
          <w:szCs w:val="24"/>
          <w:lang w:val="es-ES"/>
        </w:rPr>
      </w:pPr>
    </w:p>
    <w:p w:rsidR="00AA6AE1" w:rsidRDefault="00AA6AE1" w:rsidP="00AA6AE1">
      <w:pPr>
        <w:pStyle w:val="Ttulo2"/>
        <w:numPr>
          <w:ilvl w:val="1"/>
          <w:numId w:val="3"/>
        </w:numPr>
        <w:spacing w:after="0"/>
      </w:pPr>
      <w:bookmarkStart w:id="5" w:name="_Toc425860338"/>
      <w:r>
        <w:t>2</w:t>
      </w:r>
      <w:r w:rsidRPr="00BE370F">
        <w:t xml:space="preserve"> Recomendaciones</w:t>
      </w:r>
      <w:bookmarkEnd w:id="5"/>
    </w:p>
    <w:p w:rsidR="00AA6AE1" w:rsidRPr="00CF2B8C" w:rsidRDefault="00AA6AE1" w:rsidP="00B92E1C">
      <w:pPr>
        <w:pStyle w:val="Textoindependiente"/>
        <w:rPr>
          <w:lang w:val="es-ES"/>
        </w:rPr>
      </w:pPr>
    </w:p>
    <w:p w:rsidR="00AA6AE1" w:rsidRDefault="00AA6AE1" w:rsidP="00AA6AE1">
      <w:pPr>
        <w:pStyle w:val="Ttulo2"/>
        <w:numPr>
          <w:ilvl w:val="1"/>
          <w:numId w:val="3"/>
        </w:numPr>
        <w:spacing w:after="0"/>
      </w:pPr>
      <w:bookmarkStart w:id="6" w:name="_Toc425860341"/>
      <w:r>
        <w:t>2</w:t>
      </w:r>
      <w:r w:rsidRPr="00BE370F">
        <w:t>.</w:t>
      </w:r>
      <w:r>
        <w:t>1</w:t>
      </w:r>
      <w:r w:rsidRPr="00BE370F">
        <w:t xml:space="preserve"> Recomendaciones del ejercicio</w:t>
      </w:r>
      <w:bookmarkEnd w:id="6"/>
    </w:p>
    <w:p w:rsidR="00AA6AE1" w:rsidRPr="00BE370F" w:rsidRDefault="00AA6AE1" w:rsidP="00AA6AE1">
      <w:pPr>
        <w:pStyle w:val="Ttulo2"/>
        <w:numPr>
          <w:ilvl w:val="1"/>
          <w:numId w:val="3"/>
        </w:numPr>
        <w:spacing w:after="0"/>
      </w:pPr>
      <w:r w:rsidRPr="00BE370F">
        <w:t xml:space="preserve"> </w:t>
      </w:r>
    </w:p>
    <w:p w:rsidR="00AA6AE1" w:rsidRDefault="00AA6AE1" w:rsidP="00AA6AE1">
      <w:pPr>
        <w:pStyle w:val="Ttulo2"/>
        <w:numPr>
          <w:ilvl w:val="1"/>
          <w:numId w:val="3"/>
        </w:numPr>
        <w:spacing w:after="0"/>
      </w:pPr>
      <w:bookmarkStart w:id="7" w:name="_Toc425339355"/>
      <w:bookmarkStart w:id="8" w:name="_Toc425860342"/>
      <w:r>
        <w:t>Plazo de presentación de los Estados Contables</w:t>
      </w:r>
      <w:bookmarkEnd w:id="7"/>
      <w:bookmarkEnd w:id="8"/>
    </w:p>
    <w:p w:rsidR="00AA6AE1" w:rsidRPr="005003D6" w:rsidRDefault="00AA6AE1" w:rsidP="00B92E1C">
      <w:pPr>
        <w:pStyle w:val="Textoindependiente"/>
        <w:spacing w:line="360" w:lineRule="auto"/>
        <w:rPr>
          <w:lang w:val="es-ES"/>
        </w:rPr>
      </w:pPr>
      <w:r w:rsidRPr="005003D6">
        <w:rPr>
          <w:lang w:val="es-ES"/>
        </w:rPr>
        <w:t xml:space="preserve">La Junta Departamental debe presentar los Estados Contables dentro de los noventa días siguientes al cierre del </w:t>
      </w:r>
      <w:r>
        <w:rPr>
          <w:lang w:val="es-ES"/>
        </w:rPr>
        <w:t>e</w:t>
      </w:r>
      <w:r w:rsidRPr="005003D6">
        <w:rPr>
          <w:lang w:val="es-ES"/>
        </w:rPr>
        <w:t>jercicio ante el Tribunal de Cuentas, salvo que por disposición legal se establezca otro plazo (Artículo 32 de la Ordenanza N° 81).</w:t>
      </w:r>
    </w:p>
    <w:p w:rsidR="00AA6AE1" w:rsidRPr="00AA6AE1" w:rsidRDefault="00AA6AE1" w:rsidP="00AA6AE1">
      <w:pPr>
        <w:pStyle w:val="Textoindependiente"/>
        <w:widowControl w:val="0"/>
        <w:suppressAutoHyphens w:val="0"/>
        <w:spacing w:after="0" w:line="360" w:lineRule="auto"/>
        <w:jc w:val="right"/>
        <w:rPr>
          <w:spacing w:val="-3"/>
        </w:rPr>
      </w:pPr>
      <w:r w:rsidRPr="00920233">
        <w:rPr>
          <w:spacing w:val="-3"/>
        </w:rPr>
        <w:t xml:space="preserve">Montevideo, </w:t>
      </w:r>
      <w:r>
        <w:rPr>
          <w:spacing w:val="-3"/>
        </w:rPr>
        <w:t>8 de agosto de 2016</w:t>
      </w:r>
    </w:p>
    <w:sectPr w:rsidR="00AA6AE1" w:rsidRPr="00AA6AE1" w:rsidSect="00F0565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pStyle w:val="Ttulo1"/>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B"/>
    <w:rsid w:val="00087836"/>
    <w:rsid w:val="00234045"/>
    <w:rsid w:val="00335540"/>
    <w:rsid w:val="0051488E"/>
    <w:rsid w:val="005E0E2A"/>
    <w:rsid w:val="006331DA"/>
    <w:rsid w:val="00743D89"/>
    <w:rsid w:val="00AA6AE1"/>
    <w:rsid w:val="00B92E1C"/>
    <w:rsid w:val="00C530F1"/>
    <w:rsid w:val="00D3031A"/>
    <w:rsid w:val="00D81D68"/>
    <w:rsid w:val="00DA55AA"/>
    <w:rsid w:val="00E43062"/>
    <w:rsid w:val="00EA02D4"/>
    <w:rsid w:val="00EE3E2B"/>
    <w:rsid w:val="00F056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AA6AE1"/>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AA6AE1"/>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6AE1"/>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AA6AE1"/>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AA6AE1"/>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AA6AE1"/>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AA6AE1"/>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AA6AE1"/>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AA6AE1"/>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AA6AE1"/>
    <w:pPr>
      <w:widowControl w:val="0"/>
      <w:numPr>
        <w:ilvl w:val="1"/>
        <w:numId w:val="3"/>
      </w:numPr>
      <w:tabs>
        <w:tab w:val="clear" w:pos="0"/>
      </w:tabs>
      <w:suppressAutoHyphens w:val="0"/>
      <w:spacing w:after="0" w:line="360" w:lineRule="auto"/>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AA6AE1"/>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AA6AE1"/>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6AE1"/>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AA6AE1"/>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AA6AE1"/>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AA6AE1"/>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AA6AE1"/>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AA6AE1"/>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AA6AE1"/>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AA6AE1"/>
    <w:pPr>
      <w:widowControl w:val="0"/>
      <w:numPr>
        <w:ilvl w:val="1"/>
        <w:numId w:val="3"/>
      </w:numPr>
      <w:tabs>
        <w:tab w:val="clear" w:pos="0"/>
      </w:tabs>
      <w:suppressAutoHyphens w:val="0"/>
      <w:spacing w:after="0" w:line="36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878</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 </cp:lastModifiedBy>
  <cp:revision>7</cp:revision>
  <cp:lastPrinted>2016-08-08T21:44:00Z</cp:lastPrinted>
  <dcterms:created xsi:type="dcterms:W3CDTF">2016-08-23T16:26:00Z</dcterms:created>
  <dcterms:modified xsi:type="dcterms:W3CDTF">2016-12-02T21:49:00Z</dcterms:modified>
</cp:coreProperties>
</file>