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14" w:rsidRPr="00A34E14" w:rsidRDefault="005002A1" w:rsidP="00A34E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163DAB">
        <w:rPr>
          <w:rFonts w:ascii="Arial" w:hAnsi="Arial" w:cs="Arial"/>
          <w:sz w:val="24"/>
          <w:szCs w:val="24"/>
          <w:lang w:val="es-ES"/>
        </w:rPr>
        <w:t xml:space="preserve">                       </w:t>
      </w:r>
      <w:r w:rsidR="005C7A32">
        <w:rPr>
          <w:rFonts w:ascii="Arial" w:hAnsi="Arial" w:cs="Arial"/>
          <w:sz w:val="24"/>
          <w:szCs w:val="24"/>
          <w:lang w:val="es-ES"/>
        </w:rPr>
        <w:t xml:space="preserve">                 </w:t>
      </w:r>
      <w:r w:rsidRPr="00163DAB">
        <w:rPr>
          <w:rFonts w:ascii="Arial" w:hAnsi="Arial" w:cs="Arial"/>
          <w:sz w:val="24"/>
          <w:szCs w:val="24"/>
          <w:lang w:val="es-ES"/>
        </w:rPr>
        <w:t xml:space="preserve"> </w:t>
      </w:r>
      <w:r w:rsidR="00A34E14" w:rsidRPr="00A34E14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4A1DB3">
        <w:rPr>
          <w:rFonts w:ascii="Arial" w:hAnsi="Arial" w:cs="Arial"/>
          <w:b/>
          <w:sz w:val="28"/>
          <w:szCs w:val="28"/>
          <w:lang w:val="es-ES_tradnl"/>
        </w:rPr>
        <w:t>2975</w:t>
      </w:r>
      <w:r w:rsidR="00A34E14" w:rsidRPr="00A34E1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34E14" w:rsidRPr="00A34E14" w:rsidRDefault="00A34E14" w:rsidP="00A34E1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A34E14" w:rsidRPr="00A34E14" w:rsidRDefault="00A34E14" w:rsidP="00A34E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34E1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34E14" w:rsidRPr="00A34E14" w:rsidRDefault="00A34E14" w:rsidP="00A34E1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34E14" w:rsidRPr="00A34E14" w:rsidRDefault="00A34E14" w:rsidP="00A34E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34E1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34E14" w:rsidRPr="00A34E14" w:rsidRDefault="00A34E14" w:rsidP="00A34E1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34E14" w:rsidRPr="00A34E14" w:rsidRDefault="00A34E14" w:rsidP="00A34E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34E14">
        <w:rPr>
          <w:rFonts w:ascii="Arial" w:hAnsi="Arial" w:cs="Arial"/>
          <w:b/>
          <w:sz w:val="24"/>
          <w:szCs w:val="24"/>
          <w:lang w:val="es-ES_tradnl"/>
        </w:rPr>
        <w:t>EN SESION DE FECHA 24 DE AGOSTO DE 2016</w:t>
      </w:r>
    </w:p>
    <w:p w:rsidR="00A34E14" w:rsidRPr="00A34E14" w:rsidRDefault="00A34E14" w:rsidP="00A34E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34E14" w:rsidRPr="004A1DB3" w:rsidRDefault="00A34E14" w:rsidP="00A34E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1DB3">
        <w:rPr>
          <w:rFonts w:ascii="Arial" w:hAnsi="Arial" w:cs="Arial"/>
          <w:b/>
          <w:sz w:val="24"/>
          <w:szCs w:val="24"/>
        </w:rPr>
        <w:t>(E. E. Nº</w:t>
      </w:r>
      <w:r w:rsidR="004A1DB3" w:rsidRPr="004A1DB3">
        <w:rPr>
          <w:rFonts w:ascii="Arial" w:hAnsi="Arial" w:cs="Arial"/>
          <w:b/>
          <w:sz w:val="24"/>
          <w:szCs w:val="24"/>
          <w:lang w:val="es-ES"/>
        </w:rPr>
        <w:t>2013-17-1-0003131</w:t>
      </w:r>
      <w:r w:rsidRPr="004A1DB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A1DB3">
        <w:rPr>
          <w:rFonts w:ascii="Arial" w:hAnsi="Arial" w:cs="Arial"/>
          <w:b/>
          <w:sz w:val="24"/>
          <w:szCs w:val="24"/>
        </w:rPr>
        <w:t>Ent</w:t>
      </w:r>
      <w:proofErr w:type="spellEnd"/>
      <w:r w:rsidRPr="004A1DB3">
        <w:rPr>
          <w:rFonts w:ascii="Arial" w:hAnsi="Arial" w:cs="Arial"/>
          <w:b/>
          <w:sz w:val="24"/>
          <w:szCs w:val="24"/>
        </w:rPr>
        <w:t xml:space="preserve">. N° </w:t>
      </w:r>
      <w:r w:rsidR="004A1DB3" w:rsidRPr="004A1DB3">
        <w:rPr>
          <w:rFonts w:ascii="Arial" w:hAnsi="Arial" w:cs="Arial"/>
          <w:b/>
          <w:sz w:val="24"/>
          <w:szCs w:val="24"/>
          <w:lang w:val="es-ES"/>
        </w:rPr>
        <w:t>4098/16</w:t>
      </w:r>
      <w:r w:rsidRPr="004A1DB3">
        <w:rPr>
          <w:rFonts w:ascii="Arial" w:hAnsi="Arial" w:cs="Arial"/>
          <w:b/>
          <w:sz w:val="24"/>
          <w:szCs w:val="24"/>
        </w:rPr>
        <w:t>)</w:t>
      </w:r>
    </w:p>
    <w:p w:rsidR="005002A1" w:rsidRPr="004A1DB3" w:rsidRDefault="005002A1" w:rsidP="005002A1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5002A1" w:rsidRDefault="005002A1" w:rsidP="004A1DB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estos antecedentes remitidos por la Institución Nacional de Derechos Humanos y Defensoría del Pueblo (INDDHH), relacionados con la modificación del contrato celebrado con la Agencia Nacional de Vivienda (ANV), a efectos de la realización de las obras de refacción del inmueble padrón Nº 27.161 de Montevideo;</w:t>
      </w:r>
    </w:p>
    <w:p w:rsidR="005002A1" w:rsidRDefault="005002A1" w:rsidP="004A1DB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5D03B5">
        <w:rPr>
          <w:rFonts w:ascii="Arial" w:hAnsi="Arial" w:cs="Arial"/>
          <w:b/>
          <w:sz w:val="24"/>
          <w:szCs w:val="24"/>
          <w:lang w:val="es-ES"/>
        </w:rPr>
        <w:t>RESULTANDO</w:t>
      </w:r>
      <w:r>
        <w:rPr>
          <w:rFonts w:ascii="Arial" w:hAnsi="Arial" w:cs="Arial"/>
          <w:b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163DAB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que con fecha 5 de diciembre de 2013, el INDDHH remitió para la intervención preventiva, el gasto de $ 35.607.184, derivado del contrato a celebrarse con la ANV, con el objeto de la realización del proyecto, gestión, contratación y seguimiento de las obras de refacción del inmueble padrón Nº 27.161 de Montevideo, a fin de lograr su recuperación y acondicionamiento a efectos de cumplir con la finalidad asignada por la Ley 18.446;</w:t>
      </w:r>
    </w:p>
    <w:p w:rsidR="005002A1" w:rsidRDefault="005002A1" w:rsidP="004A1DB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</w:t>
      </w:r>
      <w:r w:rsidRPr="00163DAB">
        <w:rPr>
          <w:rFonts w:ascii="Arial" w:hAnsi="Arial" w:cs="Arial"/>
          <w:b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que con fecha 11de diciembre de 2013 el Tribunal acordó cometer a la Contadora Auditora del Tribunal de Cuentas destacada ante Poder Legislativo, la intervención del gasto de $ 35.607.184, una vez que el ordenador competente disponga el mismo, previo control de su imputación con cargo a grupo adecuado con disponibilidad suficiente;</w:t>
      </w:r>
    </w:p>
    <w:p w:rsidR="005002A1" w:rsidRPr="00E814CA" w:rsidRDefault="005002A1" w:rsidP="004A1DB3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E814CA"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>
        <w:rPr>
          <w:rFonts w:ascii="Arial" w:hAnsi="Arial" w:cs="Arial"/>
          <w:sz w:val="24"/>
          <w:szCs w:val="24"/>
          <w:lang w:val="es-ES"/>
        </w:rPr>
        <w:t>que con fecha 16 diciembre de 2013, la INDDHH y la ANV procedieron a suscribir el contrato respectivo;</w:t>
      </w:r>
    </w:p>
    <w:p w:rsidR="005002A1" w:rsidRDefault="005002A1" w:rsidP="004A1DB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4</w:t>
      </w:r>
      <w:r w:rsidRPr="00163DAB">
        <w:rPr>
          <w:rFonts w:ascii="Arial" w:hAnsi="Arial" w:cs="Arial"/>
          <w:b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que con fecha 16 de enero de 2014, la Contadora Auditora del Tribunal de Cuentas destacada ante Poder Legislativo, procedió a observar la totalidad del gasto, debido a que el mismo comenzó su ejecución </w:t>
      </w:r>
      <w:r>
        <w:rPr>
          <w:rFonts w:ascii="Arial" w:hAnsi="Arial" w:cs="Arial"/>
          <w:sz w:val="24"/>
          <w:szCs w:val="24"/>
          <w:lang w:val="es-ES"/>
        </w:rPr>
        <w:lastRenderedPageBreak/>
        <w:t xml:space="preserve">sin la debida intervención preventiva del Tribunal de Cuentas, en mérito a lo dispuesto en el art. 211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lit.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B) de la Constitución de la República;</w:t>
      </w:r>
    </w:p>
    <w:p w:rsidR="005002A1" w:rsidRDefault="005002A1" w:rsidP="004A1DB3">
      <w:pPr>
        <w:tabs>
          <w:tab w:val="left" w:pos="1701"/>
        </w:tabs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5</w:t>
      </w:r>
      <w:r w:rsidRPr="002701AE">
        <w:rPr>
          <w:rFonts w:ascii="Arial" w:hAnsi="Arial" w:cs="Arial"/>
          <w:b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que en Resolución de este Tribunal, de fecha 28 de abril de 2014, se acordó m</w:t>
      </w:r>
      <w:r w:rsidRPr="00F16561">
        <w:rPr>
          <w:rFonts w:ascii="Arial" w:hAnsi="Arial" w:cs="Arial"/>
          <w:sz w:val="24"/>
          <w:szCs w:val="24"/>
          <w:lang w:val="es-ES"/>
        </w:rPr>
        <w:t>antener la</w:t>
      </w:r>
      <w:r>
        <w:rPr>
          <w:rFonts w:ascii="Arial" w:hAnsi="Arial" w:cs="Arial"/>
          <w:sz w:val="24"/>
          <w:szCs w:val="24"/>
          <w:lang w:val="es-ES"/>
        </w:rPr>
        <w:t xml:space="preserve"> citada observación formulada por la Contadora Auditora destacada ante el Poder Legislativo;</w:t>
      </w:r>
      <w:r w:rsidRPr="002701AE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5002A1" w:rsidRDefault="005002A1" w:rsidP="004A1DB3">
      <w:pPr>
        <w:tabs>
          <w:tab w:val="left" w:pos="1701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 6</w:t>
      </w:r>
      <w:r w:rsidRPr="002701AE">
        <w:rPr>
          <w:rFonts w:ascii="Arial" w:hAnsi="Arial" w:cs="Arial"/>
          <w:b/>
          <w:sz w:val="24"/>
          <w:szCs w:val="24"/>
          <w:lang w:val="es-ES"/>
        </w:rPr>
        <w:t>)</w:t>
      </w:r>
      <w:r w:rsidR="004A1DB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que  posteriormente se remitió para su intervención, una adenda al contrato suscrito con la ANV, por i</w:t>
      </w:r>
      <w:r w:rsidR="00EE2CE5">
        <w:rPr>
          <w:rFonts w:ascii="Arial" w:hAnsi="Arial" w:cs="Arial"/>
          <w:sz w:val="24"/>
          <w:szCs w:val="24"/>
          <w:lang w:val="es-ES"/>
        </w:rPr>
        <w:t>ntermedio de la cual se modificó</w:t>
      </w:r>
      <w:r>
        <w:rPr>
          <w:rFonts w:ascii="Arial" w:hAnsi="Arial" w:cs="Arial"/>
          <w:sz w:val="24"/>
          <w:szCs w:val="24"/>
          <w:lang w:val="es-ES"/>
        </w:rPr>
        <w:t xml:space="preserve"> el numeral 7) de la cláusula primera, previniendo que “</w:t>
      </w:r>
      <w:r w:rsidRPr="00C37ECC">
        <w:rPr>
          <w:rFonts w:ascii="Arial" w:hAnsi="Arial" w:cs="Arial"/>
          <w:i/>
          <w:sz w:val="24"/>
          <w:szCs w:val="24"/>
          <w:lang w:val="es-ES"/>
        </w:rPr>
        <w:t>la INDDHH cuenta con crédito</w:t>
      </w:r>
      <w:r>
        <w:rPr>
          <w:rFonts w:ascii="Arial" w:hAnsi="Arial" w:cs="Arial"/>
          <w:i/>
          <w:sz w:val="24"/>
          <w:szCs w:val="24"/>
          <w:lang w:val="es-ES"/>
        </w:rPr>
        <w:t xml:space="preserve"> presupuestal disponible de hasta $ 45.542.631 (cuarenta y cinco millones quinientos cuarenta y dos mil seiscientos treinta y un pesos uruguayos) para atender las obligaciones emergentes del presente contrato, y desde la suscripción de éste, todos los gastos y pagos serán ordenados por el Consejo Directivo de la INDDHH”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2C1FEB" w:rsidRDefault="005002A1" w:rsidP="004A1DB3">
      <w:pPr>
        <w:tabs>
          <w:tab w:val="left" w:pos="1701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C37ECC">
        <w:rPr>
          <w:rFonts w:ascii="Arial" w:hAnsi="Arial" w:cs="Arial"/>
          <w:b/>
          <w:sz w:val="24"/>
          <w:szCs w:val="24"/>
          <w:lang w:val="es-ES"/>
        </w:rPr>
        <w:t>7)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que este Tribunal, por Resolución de fecha </w:t>
      </w:r>
      <w:r w:rsidR="007D6FFD">
        <w:rPr>
          <w:rFonts w:ascii="Arial" w:hAnsi="Arial" w:cs="Arial"/>
          <w:sz w:val="24"/>
          <w:szCs w:val="24"/>
          <w:lang w:val="es-ES"/>
        </w:rPr>
        <w:t xml:space="preserve">10 de junio de 2015 </w:t>
      </w:r>
      <w:r>
        <w:rPr>
          <w:rFonts w:ascii="Arial" w:hAnsi="Arial" w:cs="Arial"/>
          <w:sz w:val="24"/>
          <w:szCs w:val="24"/>
          <w:lang w:val="es-ES"/>
        </w:rPr>
        <w:t>observ</w:t>
      </w:r>
      <w:r w:rsidR="00EE2CE5">
        <w:rPr>
          <w:rFonts w:ascii="Arial" w:hAnsi="Arial" w:cs="Arial"/>
          <w:sz w:val="24"/>
          <w:szCs w:val="24"/>
          <w:lang w:val="es-ES"/>
        </w:rPr>
        <w:t>ó</w:t>
      </w:r>
      <w:r>
        <w:rPr>
          <w:rFonts w:ascii="Arial" w:hAnsi="Arial" w:cs="Arial"/>
          <w:sz w:val="24"/>
          <w:szCs w:val="24"/>
          <w:lang w:val="es-ES"/>
        </w:rPr>
        <w:t xml:space="preserve"> la adenda referida  por referir al </w:t>
      </w:r>
      <w:r w:rsidR="00710795">
        <w:rPr>
          <w:rFonts w:ascii="Arial" w:hAnsi="Arial" w:cs="Arial"/>
          <w:sz w:val="24"/>
          <w:szCs w:val="24"/>
          <w:lang w:val="es-ES"/>
        </w:rPr>
        <w:t>cumplimiento</w:t>
      </w:r>
      <w:r>
        <w:rPr>
          <w:rFonts w:ascii="Arial" w:hAnsi="Arial" w:cs="Arial"/>
          <w:sz w:val="24"/>
          <w:szCs w:val="24"/>
          <w:lang w:val="es-ES"/>
        </w:rPr>
        <w:t xml:space="preserve"> de un contr</w:t>
      </w:r>
      <w:r w:rsidR="00710795">
        <w:rPr>
          <w:rFonts w:ascii="Arial" w:hAnsi="Arial" w:cs="Arial"/>
          <w:sz w:val="24"/>
          <w:szCs w:val="24"/>
          <w:lang w:val="es-ES"/>
        </w:rPr>
        <w:t>at</w:t>
      </w:r>
      <w:r>
        <w:rPr>
          <w:rFonts w:ascii="Arial" w:hAnsi="Arial" w:cs="Arial"/>
          <w:sz w:val="24"/>
          <w:szCs w:val="24"/>
          <w:lang w:val="es-ES"/>
        </w:rPr>
        <w:t xml:space="preserve">o que si bien </w:t>
      </w:r>
      <w:r w:rsidR="00EE2CE5">
        <w:rPr>
          <w:rFonts w:ascii="Arial" w:hAnsi="Arial" w:cs="Arial"/>
          <w:sz w:val="24"/>
          <w:szCs w:val="24"/>
          <w:lang w:val="es-ES"/>
        </w:rPr>
        <w:t xml:space="preserve">su intervención </w:t>
      </w:r>
      <w:r>
        <w:rPr>
          <w:rFonts w:ascii="Arial" w:hAnsi="Arial" w:cs="Arial"/>
          <w:sz w:val="24"/>
          <w:szCs w:val="24"/>
          <w:lang w:val="es-ES"/>
        </w:rPr>
        <w:t>fue com</w:t>
      </w:r>
      <w:r w:rsidR="002C1FEB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tid</w:t>
      </w:r>
      <w:r w:rsidR="00EE2CE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por este Tribunal,</w:t>
      </w:r>
      <w:r w:rsidR="002C1FEB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C1FEB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>osteriorm</w:t>
      </w:r>
      <w:r w:rsidR="002C1FEB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nte</w:t>
      </w:r>
      <w:r w:rsidR="00EE2CE5">
        <w:rPr>
          <w:rFonts w:ascii="Arial" w:hAnsi="Arial" w:cs="Arial"/>
          <w:sz w:val="24"/>
          <w:szCs w:val="24"/>
          <w:lang w:val="es-ES"/>
        </w:rPr>
        <w:t xml:space="preserve"> resultó</w:t>
      </w:r>
      <w:r>
        <w:rPr>
          <w:rFonts w:ascii="Arial" w:hAnsi="Arial" w:cs="Arial"/>
          <w:sz w:val="24"/>
          <w:szCs w:val="24"/>
          <w:lang w:val="es-ES"/>
        </w:rPr>
        <w:t xml:space="preserve"> obse</w:t>
      </w:r>
      <w:r w:rsidR="002C1FEB">
        <w:rPr>
          <w:rFonts w:ascii="Arial" w:hAnsi="Arial" w:cs="Arial"/>
          <w:sz w:val="24"/>
          <w:szCs w:val="24"/>
          <w:lang w:val="es-ES"/>
        </w:rPr>
        <w:t>r</w:t>
      </w:r>
      <w:r>
        <w:rPr>
          <w:rFonts w:ascii="Arial" w:hAnsi="Arial" w:cs="Arial"/>
          <w:sz w:val="24"/>
          <w:szCs w:val="24"/>
          <w:lang w:val="es-ES"/>
        </w:rPr>
        <w:t>vado</w:t>
      </w:r>
      <w:r w:rsidR="002C1FEB">
        <w:rPr>
          <w:rFonts w:ascii="Arial" w:hAnsi="Arial" w:cs="Arial"/>
          <w:sz w:val="24"/>
          <w:szCs w:val="24"/>
          <w:lang w:val="es-ES"/>
        </w:rPr>
        <w:t xml:space="preserve"> por la Contadora Auditora del Tribunal;</w:t>
      </w:r>
    </w:p>
    <w:p w:rsidR="002C1FEB" w:rsidRDefault="002C1FEB" w:rsidP="004A1DB3">
      <w:pPr>
        <w:tabs>
          <w:tab w:val="left" w:pos="1701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2C1FEB">
        <w:rPr>
          <w:rFonts w:ascii="Arial" w:hAnsi="Arial" w:cs="Arial"/>
          <w:b/>
          <w:sz w:val="24"/>
          <w:szCs w:val="24"/>
          <w:lang w:val="es-ES"/>
        </w:rPr>
        <w:t>8)</w:t>
      </w:r>
      <w:r>
        <w:rPr>
          <w:rFonts w:ascii="Arial" w:hAnsi="Arial" w:cs="Arial"/>
          <w:sz w:val="24"/>
          <w:szCs w:val="24"/>
          <w:lang w:val="es-ES"/>
        </w:rPr>
        <w:t xml:space="preserve"> que en esta oportunidad, se remite un proyecto de modificación del contrato</w:t>
      </w:r>
      <w:r w:rsidR="00EE2CE5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 por el cual se a</w:t>
      </w:r>
      <w:r w:rsidR="00710795">
        <w:rPr>
          <w:rFonts w:ascii="Arial" w:hAnsi="Arial" w:cs="Arial"/>
          <w:sz w:val="24"/>
          <w:szCs w:val="24"/>
          <w:lang w:val="es-ES"/>
        </w:rPr>
        <w:t>mplí</w:t>
      </w:r>
      <w:r>
        <w:rPr>
          <w:rFonts w:ascii="Arial" w:hAnsi="Arial" w:cs="Arial"/>
          <w:sz w:val="24"/>
          <w:szCs w:val="24"/>
          <w:lang w:val="es-ES"/>
        </w:rPr>
        <w:t>a el objeto del mismo, incorporándose la ejecu</w:t>
      </w:r>
      <w:r w:rsidR="00710795">
        <w:rPr>
          <w:rFonts w:ascii="Arial" w:hAnsi="Arial" w:cs="Arial"/>
          <w:sz w:val="24"/>
          <w:szCs w:val="24"/>
          <w:lang w:val="es-ES"/>
        </w:rPr>
        <w:t>ció</w:t>
      </w:r>
      <w:r>
        <w:rPr>
          <w:rFonts w:ascii="Arial" w:hAnsi="Arial" w:cs="Arial"/>
          <w:sz w:val="24"/>
          <w:szCs w:val="24"/>
          <w:lang w:val="es-ES"/>
        </w:rPr>
        <w:t>n de una segunda  etapa corre</w:t>
      </w:r>
      <w:r w:rsidR="00710795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>pondi</w:t>
      </w:r>
      <w:r w:rsidR="00710795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nte a t</w:t>
      </w:r>
      <w:r w:rsidR="00710795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dos lo</w:t>
      </w:r>
      <w:r w:rsidR="00710795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trabajos que no se incluy</w:t>
      </w:r>
      <w:r w:rsidR="00710795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ron en la prim</w:t>
      </w:r>
      <w:r w:rsidR="00710795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ra etapa</w:t>
      </w:r>
      <w:r w:rsidR="00520C88">
        <w:rPr>
          <w:rFonts w:ascii="Arial" w:hAnsi="Arial" w:cs="Arial"/>
          <w:sz w:val="24"/>
          <w:szCs w:val="24"/>
          <w:lang w:val="es-ES"/>
        </w:rPr>
        <w:t xml:space="preserve"> prevista en el primer contrato</w:t>
      </w:r>
      <w:r w:rsidR="00EE2CE5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para culmin</w:t>
      </w:r>
      <w:r w:rsidR="0071079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 las obras de acuerdo con el p</w:t>
      </w:r>
      <w:r w:rsidR="00710795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rmiso de construcción oportuname</w:t>
      </w:r>
      <w:r w:rsidR="00710795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>te apr</w:t>
      </w:r>
      <w:r w:rsidR="00710795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bado y la </w:t>
      </w:r>
      <w:r w:rsidR="00710795">
        <w:rPr>
          <w:rFonts w:ascii="Arial" w:hAnsi="Arial" w:cs="Arial"/>
          <w:sz w:val="24"/>
          <w:szCs w:val="24"/>
          <w:lang w:val="es-ES"/>
        </w:rPr>
        <w:t>descripción</w:t>
      </w:r>
      <w:r>
        <w:rPr>
          <w:rFonts w:ascii="Arial" w:hAnsi="Arial" w:cs="Arial"/>
          <w:sz w:val="24"/>
          <w:szCs w:val="24"/>
          <w:lang w:val="es-ES"/>
        </w:rPr>
        <w:t xml:space="preserve"> de los tr</w:t>
      </w:r>
      <w:r w:rsidR="00710795">
        <w:rPr>
          <w:rFonts w:ascii="Arial" w:hAnsi="Arial" w:cs="Arial"/>
          <w:sz w:val="24"/>
          <w:szCs w:val="24"/>
          <w:lang w:val="es-ES"/>
        </w:rPr>
        <w:t>abajos y monto estimado  que se agregan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710795">
        <w:rPr>
          <w:rFonts w:ascii="Arial" w:hAnsi="Arial" w:cs="Arial"/>
          <w:sz w:val="24"/>
          <w:szCs w:val="24"/>
          <w:lang w:val="es-ES"/>
        </w:rPr>
        <w:t>como</w:t>
      </w:r>
      <w:r>
        <w:rPr>
          <w:rFonts w:ascii="Arial" w:hAnsi="Arial" w:cs="Arial"/>
          <w:sz w:val="24"/>
          <w:szCs w:val="24"/>
          <w:lang w:val="es-ES"/>
        </w:rPr>
        <w:t xml:space="preserve"> ANEXO III, que se considera </w:t>
      </w:r>
      <w:r w:rsidR="00710795">
        <w:rPr>
          <w:rFonts w:ascii="Arial" w:hAnsi="Arial" w:cs="Arial"/>
          <w:sz w:val="24"/>
          <w:szCs w:val="24"/>
          <w:lang w:val="es-ES"/>
        </w:rPr>
        <w:t>integrante</w:t>
      </w:r>
      <w:r>
        <w:rPr>
          <w:rFonts w:ascii="Arial" w:hAnsi="Arial" w:cs="Arial"/>
          <w:sz w:val="24"/>
          <w:szCs w:val="24"/>
          <w:lang w:val="es-ES"/>
        </w:rPr>
        <w:t xml:space="preserve"> del </w:t>
      </w:r>
      <w:r w:rsidR="00710795">
        <w:rPr>
          <w:rFonts w:ascii="Arial" w:hAnsi="Arial" w:cs="Arial"/>
          <w:sz w:val="24"/>
          <w:szCs w:val="24"/>
          <w:lang w:val="es-ES"/>
        </w:rPr>
        <w:t>contrato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584A7C" w:rsidRDefault="002C1FEB" w:rsidP="004A1DB3">
      <w:pPr>
        <w:tabs>
          <w:tab w:val="left" w:pos="1701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710795">
        <w:rPr>
          <w:rFonts w:ascii="Arial" w:hAnsi="Arial" w:cs="Arial"/>
          <w:b/>
          <w:sz w:val="24"/>
          <w:szCs w:val="24"/>
          <w:lang w:val="es-ES"/>
        </w:rPr>
        <w:t>9)</w:t>
      </w:r>
      <w:r>
        <w:rPr>
          <w:rFonts w:ascii="Arial" w:hAnsi="Arial" w:cs="Arial"/>
          <w:sz w:val="24"/>
          <w:szCs w:val="24"/>
          <w:lang w:val="es-ES"/>
        </w:rPr>
        <w:t xml:space="preserve"> que en </w:t>
      </w:r>
      <w:r w:rsidR="00710795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ua</w:t>
      </w:r>
      <w:r w:rsidR="00710795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>to refie</w:t>
      </w:r>
      <w:r w:rsidR="00710795">
        <w:rPr>
          <w:rFonts w:ascii="Arial" w:hAnsi="Arial" w:cs="Arial"/>
          <w:sz w:val="24"/>
          <w:szCs w:val="24"/>
          <w:lang w:val="es-ES"/>
        </w:rPr>
        <w:t>re</w:t>
      </w:r>
      <w:r>
        <w:rPr>
          <w:rFonts w:ascii="Arial" w:hAnsi="Arial" w:cs="Arial"/>
          <w:sz w:val="24"/>
          <w:szCs w:val="24"/>
          <w:lang w:val="es-ES"/>
        </w:rPr>
        <w:t xml:space="preserve"> al p</w:t>
      </w:r>
      <w:r w:rsidR="00C3232D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>azo de ejecución del cont</w:t>
      </w:r>
      <w:r w:rsidR="00710795">
        <w:rPr>
          <w:rFonts w:ascii="Arial" w:hAnsi="Arial" w:cs="Arial"/>
          <w:sz w:val="24"/>
          <w:szCs w:val="24"/>
          <w:lang w:val="es-ES"/>
        </w:rPr>
        <w:t>rat</w:t>
      </w:r>
      <w:r>
        <w:rPr>
          <w:rFonts w:ascii="Arial" w:hAnsi="Arial" w:cs="Arial"/>
          <w:sz w:val="24"/>
          <w:szCs w:val="24"/>
          <w:lang w:val="es-ES"/>
        </w:rPr>
        <w:t>o referido, se establece que el mismo será de 270 d</w:t>
      </w:r>
      <w:r w:rsidR="00710795">
        <w:rPr>
          <w:rFonts w:ascii="Arial" w:hAnsi="Arial" w:cs="Arial"/>
          <w:sz w:val="24"/>
          <w:szCs w:val="24"/>
          <w:lang w:val="es-ES"/>
        </w:rPr>
        <w:t>í</w:t>
      </w:r>
      <w:r>
        <w:rPr>
          <w:rFonts w:ascii="Arial" w:hAnsi="Arial" w:cs="Arial"/>
          <w:sz w:val="24"/>
          <w:szCs w:val="24"/>
          <w:lang w:val="es-ES"/>
        </w:rPr>
        <w:t>as, contados a partir de</w:t>
      </w:r>
      <w:r w:rsidR="00710795">
        <w:rPr>
          <w:rFonts w:ascii="Arial" w:hAnsi="Arial" w:cs="Arial"/>
          <w:sz w:val="24"/>
          <w:szCs w:val="24"/>
          <w:lang w:val="es-ES"/>
        </w:rPr>
        <w:t>l dí</w:t>
      </w:r>
      <w:r>
        <w:rPr>
          <w:rFonts w:ascii="Arial" w:hAnsi="Arial" w:cs="Arial"/>
          <w:sz w:val="24"/>
          <w:szCs w:val="24"/>
          <w:lang w:val="es-ES"/>
        </w:rPr>
        <w:t xml:space="preserve">a siguiente del </w:t>
      </w:r>
      <w:r w:rsidR="00710795">
        <w:rPr>
          <w:rFonts w:ascii="Arial" w:hAnsi="Arial" w:cs="Arial"/>
          <w:sz w:val="24"/>
          <w:szCs w:val="24"/>
          <w:lang w:val="es-ES"/>
        </w:rPr>
        <w:t>otorgamiento</w:t>
      </w:r>
      <w:r>
        <w:rPr>
          <w:rFonts w:ascii="Arial" w:hAnsi="Arial" w:cs="Arial"/>
          <w:sz w:val="24"/>
          <w:szCs w:val="24"/>
          <w:lang w:val="es-ES"/>
        </w:rPr>
        <w:t xml:space="preserve"> del </w:t>
      </w:r>
      <w:r w:rsidR="00710795">
        <w:rPr>
          <w:rFonts w:ascii="Arial" w:hAnsi="Arial" w:cs="Arial"/>
          <w:sz w:val="24"/>
          <w:szCs w:val="24"/>
          <w:lang w:val="es-ES"/>
        </w:rPr>
        <w:t>contrato</w:t>
      </w:r>
      <w:r w:rsidR="00584A7C">
        <w:rPr>
          <w:rFonts w:ascii="Arial" w:hAnsi="Arial" w:cs="Arial"/>
          <w:sz w:val="24"/>
          <w:szCs w:val="24"/>
          <w:lang w:val="es-ES"/>
        </w:rPr>
        <w:t xml:space="preserve">, </w:t>
      </w:r>
      <w:r w:rsidR="00710795">
        <w:rPr>
          <w:rFonts w:ascii="Arial" w:hAnsi="Arial" w:cs="Arial"/>
          <w:sz w:val="24"/>
          <w:szCs w:val="24"/>
          <w:lang w:val="es-ES"/>
        </w:rPr>
        <w:t>pudiéndose</w:t>
      </w:r>
      <w:r w:rsidR="00584A7C">
        <w:rPr>
          <w:rFonts w:ascii="Arial" w:hAnsi="Arial" w:cs="Arial"/>
          <w:sz w:val="24"/>
          <w:szCs w:val="24"/>
          <w:lang w:val="es-ES"/>
        </w:rPr>
        <w:t xml:space="preserve"> extender, si </w:t>
      </w:r>
      <w:r w:rsidR="00710795">
        <w:rPr>
          <w:rFonts w:ascii="Arial" w:hAnsi="Arial" w:cs="Arial"/>
          <w:sz w:val="24"/>
          <w:szCs w:val="24"/>
          <w:lang w:val="es-ES"/>
        </w:rPr>
        <w:t>así</w:t>
      </w:r>
      <w:r w:rsidR="00584A7C">
        <w:rPr>
          <w:rFonts w:ascii="Arial" w:hAnsi="Arial" w:cs="Arial"/>
          <w:sz w:val="24"/>
          <w:szCs w:val="24"/>
          <w:lang w:val="es-ES"/>
        </w:rPr>
        <w:t xml:space="preserve"> lo convien</w:t>
      </w:r>
      <w:r w:rsidR="00710795">
        <w:rPr>
          <w:rFonts w:ascii="Arial" w:hAnsi="Arial" w:cs="Arial"/>
          <w:sz w:val="24"/>
          <w:szCs w:val="24"/>
          <w:lang w:val="es-ES"/>
        </w:rPr>
        <w:t>en</w:t>
      </w:r>
      <w:r w:rsidR="00584A7C">
        <w:rPr>
          <w:rFonts w:ascii="Arial" w:hAnsi="Arial" w:cs="Arial"/>
          <w:sz w:val="24"/>
          <w:szCs w:val="24"/>
          <w:lang w:val="es-ES"/>
        </w:rPr>
        <w:t xml:space="preserve"> las par</w:t>
      </w:r>
      <w:r w:rsidR="00DA54BA">
        <w:rPr>
          <w:rFonts w:ascii="Arial" w:hAnsi="Arial" w:cs="Arial"/>
          <w:sz w:val="24"/>
          <w:szCs w:val="24"/>
          <w:lang w:val="es-ES"/>
        </w:rPr>
        <w:t>t</w:t>
      </w:r>
      <w:r w:rsidR="00584A7C">
        <w:rPr>
          <w:rFonts w:ascii="Arial" w:hAnsi="Arial" w:cs="Arial"/>
          <w:sz w:val="24"/>
          <w:szCs w:val="24"/>
          <w:lang w:val="es-ES"/>
        </w:rPr>
        <w:t xml:space="preserve">es, por 180 </w:t>
      </w:r>
      <w:r w:rsidR="00710795">
        <w:rPr>
          <w:rFonts w:ascii="Arial" w:hAnsi="Arial" w:cs="Arial"/>
          <w:sz w:val="24"/>
          <w:szCs w:val="24"/>
          <w:lang w:val="es-ES"/>
        </w:rPr>
        <w:t>días</w:t>
      </w:r>
      <w:r w:rsidR="00584A7C">
        <w:rPr>
          <w:rFonts w:ascii="Arial" w:hAnsi="Arial" w:cs="Arial"/>
          <w:sz w:val="24"/>
          <w:szCs w:val="24"/>
          <w:lang w:val="es-ES"/>
        </w:rPr>
        <w:t xml:space="preserve"> </w:t>
      </w:r>
      <w:r w:rsidR="00710795">
        <w:rPr>
          <w:rFonts w:ascii="Arial" w:hAnsi="Arial" w:cs="Arial"/>
          <w:sz w:val="24"/>
          <w:szCs w:val="24"/>
          <w:lang w:val="es-ES"/>
        </w:rPr>
        <w:t>más</w:t>
      </w:r>
      <w:r w:rsidR="00584A7C">
        <w:rPr>
          <w:rFonts w:ascii="Arial" w:hAnsi="Arial" w:cs="Arial"/>
          <w:sz w:val="24"/>
          <w:szCs w:val="24"/>
          <w:lang w:val="es-ES"/>
        </w:rPr>
        <w:t>. Asimismo</w:t>
      </w:r>
      <w:r w:rsidR="00DA54BA">
        <w:rPr>
          <w:rFonts w:ascii="Arial" w:hAnsi="Arial" w:cs="Arial"/>
          <w:sz w:val="24"/>
          <w:szCs w:val="24"/>
          <w:lang w:val="es-ES"/>
        </w:rPr>
        <w:t>,</w:t>
      </w:r>
      <w:r w:rsidR="00584A7C">
        <w:rPr>
          <w:rFonts w:ascii="Arial" w:hAnsi="Arial" w:cs="Arial"/>
          <w:sz w:val="24"/>
          <w:szCs w:val="24"/>
          <w:lang w:val="es-ES"/>
        </w:rPr>
        <w:t xml:space="preserve"> se </w:t>
      </w:r>
      <w:r w:rsidR="00710795">
        <w:rPr>
          <w:rFonts w:ascii="Arial" w:hAnsi="Arial" w:cs="Arial"/>
          <w:sz w:val="24"/>
          <w:szCs w:val="24"/>
          <w:lang w:val="es-ES"/>
        </w:rPr>
        <w:t>e</w:t>
      </w:r>
      <w:r w:rsidR="00584A7C">
        <w:rPr>
          <w:rFonts w:ascii="Arial" w:hAnsi="Arial" w:cs="Arial"/>
          <w:sz w:val="24"/>
          <w:szCs w:val="24"/>
          <w:lang w:val="es-ES"/>
        </w:rPr>
        <w:t>sta</w:t>
      </w:r>
      <w:r w:rsidR="00710795">
        <w:rPr>
          <w:rFonts w:ascii="Arial" w:hAnsi="Arial" w:cs="Arial"/>
          <w:sz w:val="24"/>
          <w:szCs w:val="24"/>
          <w:lang w:val="es-ES"/>
        </w:rPr>
        <w:t>b</w:t>
      </w:r>
      <w:r w:rsidR="00584A7C">
        <w:rPr>
          <w:rFonts w:ascii="Arial" w:hAnsi="Arial" w:cs="Arial"/>
          <w:sz w:val="24"/>
          <w:szCs w:val="24"/>
          <w:lang w:val="es-ES"/>
        </w:rPr>
        <w:t>l</w:t>
      </w:r>
      <w:r w:rsidR="00710795">
        <w:rPr>
          <w:rFonts w:ascii="Arial" w:hAnsi="Arial" w:cs="Arial"/>
          <w:sz w:val="24"/>
          <w:szCs w:val="24"/>
          <w:lang w:val="es-ES"/>
        </w:rPr>
        <w:t>ece</w:t>
      </w:r>
      <w:r w:rsidR="00584A7C">
        <w:rPr>
          <w:rFonts w:ascii="Arial" w:hAnsi="Arial" w:cs="Arial"/>
          <w:sz w:val="24"/>
          <w:szCs w:val="24"/>
          <w:lang w:val="es-ES"/>
        </w:rPr>
        <w:t xml:space="preserve"> que </w:t>
      </w:r>
      <w:r w:rsidR="00EE2CE5">
        <w:rPr>
          <w:rFonts w:ascii="Arial" w:hAnsi="Arial" w:cs="Arial"/>
          <w:sz w:val="24"/>
          <w:szCs w:val="24"/>
          <w:lang w:val="es-ES"/>
        </w:rPr>
        <w:t xml:space="preserve">en </w:t>
      </w:r>
      <w:r w:rsidR="00710795">
        <w:rPr>
          <w:rFonts w:ascii="Arial" w:hAnsi="Arial" w:cs="Arial"/>
          <w:sz w:val="24"/>
          <w:szCs w:val="24"/>
          <w:lang w:val="es-ES"/>
        </w:rPr>
        <w:t>lo</w:t>
      </w:r>
      <w:r w:rsidR="00584A7C">
        <w:rPr>
          <w:rFonts w:ascii="Arial" w:hAnsi="Arial" w:cs="Arial"/>
          <w:sz w:val="24"/>
          <w:szCs w:val="24"/>
          <w:lang w:val="es-ES"/>
        </w:rPr>
        <w:t xml:space="preserve"> no previsto esp</w:t>
      </w:r>
      <w:r w:rsidR="00710795">
        <w:rPr>
          <w:rFonts w:ascii="Arial" w:hAnsi="Arial" w:cs="Arial"/>
          <w:sz w:val="24"/>
          <w:szCs w:val="24"/>
          <w:lang w:val="es-ES"/>
        </w:rPr>
        <w:t>e</w:t>
      </w:r>
      <w:r w:rsidR="00584A7C">
        <w:rPr>
          <w:rFonts w:ascii="Arial" w:hAnsi="Arial" w:cs="Arial"/>
          <w:sz w:val="24"/>
          <w:szCs w:val="24"/>
          <w:lang w:val="es-ES"/>
        </w:rPr>
        <w:t>c</w:t>
      </w:r>
      <w:r w:rsidR="00710795">
        <w:rPr>
          <w:rFonts w:ascii="Arial" w:hAnsi="Arial" w:cs="Arial"/>
          <w:sz w:val="24"/>
          <w:szCs w:val="24"/>
          <w:lang w:val="es-ES"/>
        </w:rPr>
        <w:t>ia</w:t>
      </w:r>
      <w:r w:rsidR="00584A7C">
        <w:rPr>
          <w:rFonts w:ascii="Arial" w:hAnsi="Arial" w:cs="Arial"/>
          <w:sz w:val="24"/>
          <w:szCs w:val="24"/>
          <w:lang w:val="es-ES"/>
        </w:rPr>
        <w:t>lm</w:t>
      </w:r>
      <w:r w:rsidR="00710795">
        <w:rPr>
          <w:rFonts w:ascii="Arial" w:hAnsi="Arial" w:cs="Arial"/>
          <w:sz w:val="24"/>
          <w:szCs w:val="24"/>
          <w:lang w:val="es-ES"/>
        </w:rPr>
        <w:t>en</w:t>
      </w:r>
      <w:r w:rsidR="00584A7C">
        <w:rPr>
          <w:rFonts w:ascii="Arial" w:hAnsi="Arial" w:cs="Arial"/>
          <w:sz w:val="24"/>
          <w:szCs w:val="24"/>
          <w:lang w:val="es-ES"/>
        </w:rPr>
        <w:t>te, se mantiene vigente en todos su</w:t>
      </w:r>
      <w:r w:rsidR="00710795">
        <w:rPr>
          <w:rFonts w:ascii="Arial" w:hAnsi="Arial" w:cs="Arial"/>
          <w:sz w:val="24"/>
          <w:szCs w:val="24"/>
          <w:lang w:val="es-ES"/>
        </w:rPr>
        <w:t>s</w:t>
      </w:r>
      <w:r w:rsidR="00584A7C">
        <w:rPr>
          <w:rFonts w:ascii="Arial" w:hAnsi="Arial" w:cs="Arial"/>
          <w:sz w:val="24"/>
          <w:szCs w:val="24"/>
          <w:lang w:val="es-ES"/>
        </w:rPr>
        <w:t xml:space="preserve"> </w:t>
      </w:r>
      <w:r w:rsidR="00710795">
        <w:rPr>
          <w:rFonts w:ascii="Arial" w:hAnsi="Arial" w:cs="Arial"/>
          <w:sz w:val="24"/>
          <w:szCs w:val="24"/>
          <w:lang w:val="es-ES"/>
        </w:rPr>
        <w:t>términos</w:t>
      </w:r>
      <w:r w:rsidR="00584A7C">
        <w:rPr>
          <w:rFonts w:ascii="Arial" w:hAnsi="Arial" w:cs="Arial"/>
          <w:sz w:val="24"/>
          <w:szCs w:val="24"/>
          <w:lang w:val="es-ES"/>
        </w:rPr>
        <w:t xml:space="preserve">, lo </w:t>
      </w:r>
      <w:r w:rsidR="00710795">
        <w:rPr>
          <w:rFonts w:ascii="Arial" w:hAnsi="Arial" w:cs="Arial"/>
          <w:sz w:val="24"/>
          <w:szCs w:val="24"/>
          <w:lang w:val="es-ES"/>
        </w:rPr>
        <w:t>oportunamente</w:t>
      </w:r>
      <w:r w:rsidR="00584A7C">
        <w:rPr>
          <w:rFonts w:ascii="Arial" w:hAnsi="Arial" w:cs="Arial"/>
          <w:sz w:val="24"/>
          <w:szCs w:val="24"/>
          <w:lang w:val="es-ES"/>
        </w:rPr>
        <w:t xml:space="preserve"> acordado en el</w:t>
      </w:r>
      <w:r w:rsidR="00710795">
        <w:rPr>
          <w:rFonts w:ascii="Arial" w:hAnsi="Arial" w:cs="Arial"/>
          <w:sz w:val="24"/>
          <w:szCs w:val="24"/>
          <w:lang w:val="es-ES"/>
        </w:rPr>
        <w:t xml:space="preserve"> </w:t>
      </w:r>
      <w:r w:rsidR="00584A7C">
        <w:rPr>
          <w:rFonts w:ascii="Arial" w:hAnsi="Arial" w:cs="Arial"/>
          <w:sz w:val="24"/>
          <w:szCs w:val="24"/>
          <w:lang w:val="es-ES"/>
        </w:rPr>
        <w:t>contr</w:t>
      </w:r>
      <w:r w:rsidR="00710795">
        <w:rPr>
          <w:rFonts w:ascii="Arial" w:hAnsi="Arial" w:cs="Arial"/>
          <w:sz w:val="24"/>
          <w:szCs w:val="24"/>
          <w:lang w:val="es-ES"/>
        </w:rPr>
        <w:t>a</w:t>
      </w:r>
      <w:r w:rsidR="00584A7C">
        <w:rPr>
          <w:rFonts w:ascii="Arial" w:hAnsi="Arial" w:cs="Arial"/>
          <w:sz w:val="24"/>
          <w:szCs w:val="24"/>
          <w:lang w:val="es-ES"/>
        </w:rPr>
        <w:t>to del 16 de di</w:t>
      </w:r>
      <w:r w:rsidR="00710795">
        <w:rPr>
          <w:rFonts w:ascii="Arial" w:hAnsi="Arial" w:cs="Arial"/>
          <w:sz w:val="24"/>
          <w:szCs w:val="24"/>
          <w:lang w:val="es-ES"/>
        </w:rPr>
        <w:t>ci</w:t>
      </w:r>
      <w:r w:rsidR="00584A7C">
        <w:rPr>
          <w:rFonts w:ascii="Arial" w:hAnsi="Arial" w:cs="Arial"/>
          <w:sz w:val="24"/>
          <w:szCs w:val="24"/>
          <w:lang w:val="es-ES"/>
        </w:rPr>
        <w:t>emb</w:t>
      </w:r>
      <w:r w:rsidR="00710795">
        <w:rPr>
          <w:rFonts w:ascii="Arial" w:hAnsi="Arial" w:cs="Arial"/>
          <w:sz w:val="24"/>
          <w:szCs w:val="24"/>
          <w:lang w:val="es-ES"/>
        </w:rPr>
        <w:t>re</w:t>
      </w:r>
      <w:r w:rsidR="00584A7C">
        <w:rPr>
          <w:rFonts w:ascii="Arial" w:hAnsi="Arial" w:cs="Arial"/>
          <w:sz w:val="24"/>
          <w:szCs w:val="24"/>
          <w:lang w:val="es-ES"/>
        </w:rPr>
        <w:t xml:space="preserve"> de 2013;</w:t>
      </w:r>
    </w:p>
    <w:p w:rsidR="00584A7C" w:rsidRDefault="00584A7C" w:rsidP="004A1DB3">
      <w:pPr>
        <w:tabs>
          <w:tab w:val="left" w:pos="1701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710795">
        <w:rPr>
          <w:rFonts w:ascii="Arial" w:hAnsi="Arial" w:cs="Arial"/>
          <w:b/>
          <w:sz w:val="24"/>
          <w:szCs w:val="24"/>
          <w:lang w:val="es-ES"/>
        </w:rPr>
        <w:lastRenderedPageBreak/>
        <w:t>10)</w:t>
      </w:r>
      <w:r>
        <w:rPr>
          <w:rFonts w:ascii="Arial" w:hAnsi="Arial" w:cs="Arial"/>
          <w:sz w:val="24"/>
          <w:szCs w:val="24"/>
          <w:lang w:val="es-ES"/>
        </w:rPr>
        <w:t xml:space="preserve"> que se adjunta informe el</w:t>
      </w:r>
      <w:r w:rsidR="0071079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bor</w:t>
      </w:r>
      <w:r w:rsidR="0071079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do el 19 de julio del 2016 por los servicios contables  de la INDDHH, en el cual se señala que existe </w:t>
      </w:r>
      <w:r w:rsidR="00710795">
        <w:rPr>
          <w:rFonts w:ascii="Arial" w:hAnsi="Arial" w:cs="Arial"/>
          <w:sz w:val="24"/>
          <w:szCs w:val="24"/>
          <w:lang w:val="es-ES"/>
        </w:rPr>
        <w:t>disponibilidad</w:t>
      </w:r>
      <w:r>
        <w:rPr>
          <w:rFonts w:ascii="Arial" w:hAnsi="Arial" w:cs="Arial"/>
          <w:sz w:val="24"/>
          <w:szCs w:val="24"/>
          <w:lang w:val="es-ES"/>
        </w:rPr>
        <w:t xml:space="preserve"> sufic</w:t>
      </w:r>
      <w:r w:rsidR="00710795">
        <w:rPr>
          <w:rFonts w:ascii="Arial" w:hAnsi="Arial" w:cs="Arial"/>
          <w:sz w:val="24"/>
          <w:szCs w:val="24"/>
          <w:lang w:val="es-ES"/>
        </w:rPr>
        <w:t>ie</w:t>
      </w:r>
      <w:r>
        <w:rPr>
          <w:rFonts w:ascii="Arial" w:hAnsi="Arial" w:cs="Arial"/>
          <w:sz w:val="24"/>
          <w:szCs w:val="24"/>
          <w:lang w:val="es-ES"/>
        </w:rPr>
        <w:t xml:space="preserve">nte en el Inciso 01 –INDDHH- en el </w:t>
      </w:r>
      <w:r w:rsidR="00710795">
        <w:rPr>
          <w:rFonts w:ascii="Arial" w:hAnsi="Arial" w:cs="Arial"/>
          <w:sz w:val="24"/>
          <w:szCs w:val="24"/>
          <w:lang w:val="es-ES"/>
        </w:rPr>
        <w:t>Proyecto</w:t>
      </w:r>
      <w:r>
        <w:rPr>
          <w:rFonts w:ascii="Arial" w:hAnsi="Arial" w:cs="Arial"/>
          <w:sz w:val="24"/>
          <w:szCs w:val="24"/>
          <w:lang w:val="es-ES"/>
        </w:rPr>
        <w:t xml:space="preserve"> de inversión Nº 781 “Infraestructura edilicia” objeto del g</w:t>
      </w:r>
      <w:r w:rsidR="0071079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sto </w:t>
      </w:r>
      <w:r w:rsidR="00341FA7">
        <w:rPr>
          <w:rFonts w:ascii="Arial" w:hAnsi="Arial" w:cs="Arial"/>
          <w:sz w:val="24"/>
          <w:szCs w:val="24"/>
          <w:lang w:val="es-ES"/>
        </w:rPr>
        <w:t>Nº</w:t>
      </w:r>
      <w:r>
        <w:rPr>
          <w:rFonts w:ascii="Arial" w:hAnsi="Arial" w:cs="Arial"/>
          <w:sz w:val="24"/>
          <w:szCs w:val="24"/>
          <w:lang w:val="es-ES"/>
        </w:rPr>
        <w:t>799, a los efectos de atender l</w:t>
      </w:r>
      <w:r w:rsidR="00710795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s gastos </w:t>
      </w:r>
      <w:r w:rsidR="00710795">
        <w:rPr>
          <w:rFonts w:ascii="Arial" w:hAnsi="Arial" w:cs="Arial"/>
          <w:sz w:val="24"/>
          <w:szCs w:val="24"/>
          <w:lang w:val="es-ES"/>
        </w:rPr>
        <w:t>emergentes</w:t>
      </w:r>
      <w:r>
        <w:rPr>
          <w:rFonts w:ascii="Arial" w:hAnsi="Arial" w:cs="Arial"/>
          <w:sz w:val="24"/>
          <w:szCs w:val="24"/>
          <w:lang w:val="es-ES"/>
        </w:rPr>
        <w:t xml:space="preserve"> del </w:t>
      </w:r>
      <w:r w:rsidR="00710795">
        <w:rPr>
          <w:rFonts w:ascii="Arial" w:hAnsi="Arial" w:cs="Arial"/>
          <w:sz w:val="24"/>
          <w:szCs w:val="24"/>
          <w:lang w:val="es-ES"/>
        </w:rPr>
        <w:t>proyecto</w:t>
      </w:r>
      <w:r>
        <w:rPr>
          <w:rFonts w:ascii="Arial" w:hAnsi="Arial" w:cs="Arial"/>
          <w:sz w:val="24"/>
          <w:szCs w:val="24"/>
          <w:lang w:val="es-ES"/>
        </w:rPr>
        <w:t xml:space="preserve"> de </w:t>
      </w:r>
      <w:r w:rsidR="00710795">
        <w:rPr>
          <w:rFonts w:ascii="Arial" w:hAnsi="Arial" w:cs="Arial"/>
          <w:sz w:val="24"/>
          <w:szCs w:val="24"/>
          <w:lang w:val="es-ES"/>
        </w:rPr>
        <w:t>contrato</w:t>
      </w:r>
      <w:r>
        <w:rPr>
          <w:rFonts w:ascii="Arial" w:hAnsi="Arial" w:cs="Arial"/>
          <w:sz w:val="24"/>
          <w:szCs w:val="24"/>
          <w:lang w:val="es-ES"/>
        </w:rPr>
        <w:t xml:space="preserve"> remitid</w:t>
      </w:r>
      <w:r w:rsidR="00341FA7">
        <w:rPr>
          <w:rFonts w:ascii="Arial" w:hAnsi="Arial" w:cs="Arial"/>
          <w:sz w:val="24"/>
          <w:szCs w:val="24"/>
          <w:lang w:val="es-ES"/>
        </w:rPr>
        <w:t>o,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710795">
        <w:rPr>
          <w:rFonts w:ascii="Arial" w:hAnsi="Arial" w:cs="Arial"/>
          <w:sz w:val="24"/>
          <w:szCs w:val="24"/>
          <w:lang w:val="es-ES"/>
        </w:rPr>
        <w:t>durante</w:t>
      </w:r>
      <w:r>
        <w:rPr>
          <w:rFonts w:ascii="Arial" w:hAnsi="Arial" w:cs="Arial"/>
          <w:sz w:val="24"/>
          <w:szCs w:val="24"/>
          <w:lang w:val="es-ES"/>
        </w:rPr>
        <w:t xml:space="preserve"> el </w:t>
      </w:r>
      <w:r w:rsidR="00710795">
        <w:rPr>
          <w:rFonts w:ascii="Arial" w:hAnsi="Arial" w:cs="Arial"/>
          <w:sz w:val="24"/>
          <w:szCs w:val="24"/>
          <w:lang w:val="es-ES"/>
        </w:rPr>
        <w:t>plazo</w:t>
      </w:r>
      <w:r>
        <w:rPr>
          <w:rFonts w:ascii="Arial" w:hAnsi="Arial" w:cs="Arial"/>
          <w:sz w:val="24"/>
          <w:szCs w:val="24"/>
          <w:lang w:val="es-ES"/>
        </w:rPr>
        <w:t xml:space="preserve"> del mismo, por un monto de hasta $ 27.500.000 más los reajustes p</w:t>
      </w:r>
      <w:r w:rsidR="00710795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r IPC qu</w:t>
      </w:r>
      <w:r w:rsidR="00710795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710795">
        <w:rPr>
          <w:rFonts w:ascii="Arial" w:hAnsi="Arial" w:cs="Arial"/>
          <w:sz w:val="24"/>
          <w:szCs w:val="24"/>
          <w:lang w:val="es-ES"/>
        </w:rPr>
        <w:t>correspondan</w:t>
      </w:r>
      <w:r>
        <w:rPr>
          <w:rFonts w:ascii="Arial" w:hAnsi="Arial" w:cs="Arial"/>
          <w:sz w:val="24"/>
          <w:szCs w:val="24"/>
          <w:lang w:val="es-ES"/>
        </w:rPr>
        <w:t xml:space="preserve"> durante el tr</w:t>
      </w:r>
      <w:r w:rsidR="0071079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n</w:t>
      </w:r>
      <w:r w:rsidR="00710795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>cu</w:t>
      </w:r>
      <w:r w:rsidR="00710795">
        <w:rPr>
          <w:rFonts w:ascii="Arial" w:hAnsi="Arial" w:cs="Arial"/>
          <w:sz w:val="24"/>
          <w:szCs w:val="24"/>
          <w:lang w:val="es-ES"/>
        </w:rPr>
        <w:t>r</w:t>
      </w:r>
      <w:r>
        <w:rPr>
          <w:rFonts w:ascii="Arial" w:hAnsi="Arial" w:cs="Arial"/>
          <w:sz w:val="24"/>
          <w:szCs w:val="24"/>
          <w:lang w:val="es-ES"/>
        </w:rPr>
        <w:t xml:space="preserve">so de  </w:t>
      </w:r>
      <w:r w:rsidR="00DA54BA">
        <w:rPr>
          <w:rFonts w:ascii="Arial" w:hAnsi="Arial" w:cs="Arial"/>
          <w:sz w:val="24"/>
          <w:szCs w:val="24"/>
          <w:lang w:val="es-ES"/>
        </w:rPr>
        <w:t>la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710795">
        <w:rPr>
          <w:rFonts w:ascii="Arial" w:hAnsi="Arial" w:cs="Arial"/>
          <w:sz w:val="24"/>
          <w:szCs w:val="24"/>
          <w:lang w:val="es-ES"/>
        </w:rPr>
        <w:t>misma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B0625A" w:rsidRPr="00341FA7" w:rsidRDefault="005002A1" w:rsidP="004A1DB3">
      <w:pPr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341FA7">
        <w:rPr>
          <w:rFonts w:ascii="Arial" w:hAnsi="Arial" w:cs="Arial"/>
          <w:b/>
          <w:sz w:val="24"/>
          <w:szCs w:val="24"/>
          <w:lang w:val="es-ES"/>
        </w:rPr>
        <w:t xml:space="preserve">CONSIDERANDO: </w:t>
      </w:r>
      <w:r w:rsidR="00B0625A" w:rsidRPr="00341FA7">
        <w:rPr>
          <w:rFonts w:ascii="Arial" w:hAnsi="Arial" w:cs="Arial"/>
          <w:b/>
          <w:bCs/>
          <w:color w:val="000000"/>
          <w:sz w:val="24"/>
          <w:szCs w:val="24"/>
        </w:rPr>
        <w:t xml:space="preserve">1) </w:t>
      </w:r>
      <w:r w:rsidR="00B0625A" w:rsidRPr="00341FA7">
        <w:rPr>
          <w:rFonts w:ascii="Arial" w:hAnsi="Arial" w:cs="Arial"/>
          <w:color w:val="000000"/>
          <w:sz w:val="24"/>
          <w:szCs w:val="24"/>
        </w:rPr>
        <w:t>que la Institución Nacional de Derechos Humanos y Defensoría del Pueblo, fue creada por la Ley Nº 18.446 de 24/12/2008, como una Institución del Poder Legislativo, cuyo cometido es la defensa, promoción y protección en toda su extensión, de los derechos humanos reconocidos por la Constitución de la República y el Derecho Internacional;</w:t>
      </w:r>
    </w:p>
    <w:p w:rsidR="00B0625A" w:rsidRPr="00341FA7" w:rsidRDefault="00B0625A" w:rsidP="004A1DB3">
      <w:pPr>
        <w:spacing w:after="0" w:line="360" w:lineRule="auto"/>
        <w:ind w:firstLine="3119"/>
        <w:jc w:val="both"/>
        <w:rPr>
          <w:rFonts w:ascii="Arial" w:hAnsi="Arial" w:cs="Arial"/>
          <w:color w:val="000000"/>
          <w:sz w:val="24"/>
          <w:szCs w:val="24"/>
        </w:rPr>
      </w:pPr>
      <w:r w:rsidRPr="00341FA7">
        <w:rPr>
          <w:rFonts w:ascii="Arial" w:hAnsi="Arial" w:cs="Arial"/>
          <w:b/>
          <w:bCs/>
          <w:color w:val="000000"/>
          <w:sz w:val="24"/>
          <w:szCs w:val="24"/>
        </w:rPr>
        <w:t xml:space="preserve">2) </w:t>
      </w:r>
      <w:r w:rsidR="004A1DB3">
        <w:rPr>
          <w:rFonts w:ascii="Arial" w:hAnsi="Arial" w:cs="Arial"/>
          <w:color w:val="000000"/>
          <w:sz w:val="24"/>
          <w:szCs w:val="24"/>
        </w:rPr>
        <w:t>que el A</w:t>
      </w:r>
      <w:r w:rsidRPr="00341FA7">
        <w:rPr>
          <w:rFonts w:ascii="Arial" w:hAnsi="Arial" w:cs="Arial"/>
          <w:color w:val="000000"/>
          <w:sz w:val="24"/>
          <w:szCs w:val="24"/>
        </w:rPr>
        <w:t xml:space="preserve">rtículo 80 de la citada ley dispone que el Poder Ejecutivo afectará, como sede de la INDDHH, un inmueble emblemático y simbólico para la naturaleza de la función que desarrollará; </w:t>
      </w:r>
    </w:p>
    <w:p w:rsidR="00B0625A" w:rsidRPr="00341FA7" w:rsidRDefault="00B0625A" w:rsidP="004A1DB3">
      <w:pPr>
        <w:spacing w:after="0" w:line="360" w:lineRule="auto"/>
        <w:ind w:firstLine="3119"/>
        <w:jc w:val="both"/>
        <w:rPr>
          <w:rFonts w:ascii="Arial" w:hAnsi="Arial" w:cs="Arial"/>
          <w:color w:val="000000"/>
          <w:sz w:val="24"/>
          <w:szCs w:val="24"/>
        </w:rPr>
      </w:pPr>
      <w:r w:rsidRPr="00341FA7">
        <w:rPr>
          <w:rFonts w:ascii="Arial" w:hAnsi="Arial" w:cs="Arial"/>
          <w:b/>
          <w:bCs/>
          <w:color w:val="000000"/>
          <w:sz w:val="24"/>
          <w:szCs w:val="24"/>
        </w:rPr>
        <w:t xml:space="preserve">3) </w:t>
      </w:r>
      <w:r w:rsidRPr="00341FA7">
        <w:rPr>
          <w:rFonts w:ascii="Arial" w:hAnsi="Arial" w:cs="Arial"/>
          <w:color w:val="000000"/>
          <w:sz w:val="24"/>
          <w:szCs w:val="24"/>
        </w:rPr>
        <w:t>que en el marco de la reestructura del Banco Hipotecario del Uruguay, el artículo 9 de la Ley Nº 18.125 creó la Agencia Nacional de Vivienda como un servicio descentralizado, con el fin de promover y facilitar el acceso a la vivienda, así como contribuir a la elaboración e implementación de las políticas públicas en materia de hábitat urbano;</w:t>
      </w:r>
    </w:p>
    <w:p w:rsidR="00B0625A" w:rsidRPr="00341FA7" w:rsidRDefault="00B0625A" w:rsidP="004A1DB3">
      <w:pPr>
        <w:spacing w:after="0" w:line="360" w:lineRule="auto"/>
        <w:ind w:firstLine="3119"/>
        <w:jc w:val="both"/>
        <w:rPr>
          <w:rFonts w:ascii="Arial" w:hAnsi="Arial" w:cs="Arial"/>
          <w:color w:val="000000"/>
          <w:sz w:val="24"/>
          <w:szCs w:val="24"/>
        </w:rPr>
      </w:pPr>
      <w:r w:rsidRPr="00341FA7">
        <w:rPr>
          <w:rFonts w:ascii="Arial" w:hAnsi="Arial" w:cs="Arial"/>
          <w:b/>
          <w:bCs/>
          <w:color w:val="000000"/>
          <w:sz w:val="24"/>
          <w:szCs w:val="24"/>
        </w:rPr>
        <w:t xml:space="preserve">4) </w:t>
      </w:r>
      <w:r w:rsidRPr="00341FA7">
        <w:rPr>
          <w:rFonts w:ascii="Arial" w:hAnsi="Arial" w:cs="Arial"/>
          <w:sz w:val="24"/>
          <w:szCs w:val="24"/>
        </w:rPr>
        <w:t xml:space="preserve">que de acuerdo con lo previsto por el </w:t>
      </w:r>
      <w:r w:rsidR="004A1DB3">
        <w:rPr>
          <w:rFonts w:ascii="Arial" w:hAnsi="Arial" w:cs="Arial"/>
          <w:sz w:val="24"/>
          <w:szCs w:val="24"/>
        </w:rPr>
        <w:t>Artículo 12 de la L</w:t>
      </w:r>
      <w:r w:rsidRPr="00341FA7">
        <w:rPr>
          <w:rFonts w:ascii="Arial" w:hAnsi="Arial" w:cs="Arial"/>
          <w:sz w:val="24"/>
          <w:szCs w:val="24"/>
        </w:rPr>
        <w:t>ey 18.125, la Agencia Nacional de Vivienda se encuentra facultada para suscribir convenios con entidades públicas y privadas, así como brindar asistencia técnica, apoyo logístico y asesoramiento a los Poderes y Entes Públicos, en forma directa o mediante convenios, para la formulación e implementación de la política de vivienda y ordenamiento territorial</w:t>
      </w:r>
      <w:r w:rsidRPr="00341FA7">
        <w:rPr>
          <w:rFonts w:ascii="Arial" w:hAnsi="Arial" w:cs="Arial"/>
          <w:color w:val="000000"/>
          <w:sz w:val="24"/>
          <w:szCs w:val="24"/>
        </w:rPr>
        <w:t>;</w:t>
      </w:r>
    </w:p>
    <w:p w:rsidR="00B0625A" w:rsidRPr="00341FA7" w:rsidRDefault="00B0625A" w:rsidP="004A1DB3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341FA7">
        <w:rPr>
          <w:rFonts w:ascii="Arial" w:hAnsi="Arial" w:cs="Arial"/>
          <w:b/>
          <w:bCs/>
          <w:color w:val="000000"/>
          <w:sz w:val="24"/>
          <w:szCs w:val="24"/>
        </w:rPr>
        <w:t xml:space="preserve">5) </w:t>
      </w:r>
      <w:r w:rsidRPr="00341FA7">
        <w:rPr>
          <w:rFonts w:ascii="Arial" w:hAnsi="Arial" w:cs="Arial"/>
          <w:color w:val="000000"/>
          <w:sz w:val="24"/>
          <w:szCs w:val="24"/>
        </w:rPr>
        <w:t xml:space="preserve">que la definición de hábitat urbano se relaciona con unidades territoriales, lugares físicos y simbólicos así como con </w:t>
      </w:r>
      <w:r w:rsidRPr="00341FA7">
        <w:rPr>
          <w:rFonts w:ascii="Arial" w:hAnsi="Arial" w:cs="Arial"/>
          <w:color w:val="000000"/>
          <w:sz w:val="24"/>
          <w:szCs w:val="24"/>
        </w:rPr>
        <w:lastRenderedPageBreak/>
        <w:t xml:space="preserve">determinantes, materiales y técnicas, considerándose como espacio donde se definen “vínculos de identidad cultural”, que suponen la participación de los individuos y las comunidades en diversas esferas, asociado a problemas sociológicos y políticos; </w:t>
      </w:r>
    </w:p>
    <w:p w:rsidR="00B0625A" w:rsidRPr="004A1DB3" w:rsidRDefault="00B0625A" w:rsidP="004A1DB3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MX"/>
        </w:rPr>
      </w:pPr>
      <w:r w:rsidRPr="00341FA7">
        <w:rPr>
          <w:rFonts w:ascii="Arial" w:hAnsi="Arial" w:cs="Arial"/>
          <w:b/>
          <w:color w:val="000000"/>
          <w:sz w:val="24"/>
          <w:szCs w:val="24"/>
        </w:rPr>
        <w:t>6</w:t>
      </w:r>
      <w:r w:rsidRPr="00341FA7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 w:rsidRPr="00341FA7">
        <w:rPr>
          <w:rFonts w:ascii="Arial" w:hAnsi="Arial" w:cs="Arial"/>
          <w:sz w:val="24"/>
          <w:szCs w:val="24"/>
          <w:lang w:val="es-MX"/>
        </w:rPr>
        <w:t xml:space="preserve">que el procedimiento directo seguido para la selección del </w:t>
      </w:r>
      <w:proofErr w:type="spellStart"/>
      <w:r w:rsidRPr="00341FA7">
        <w:rPr>
          <w:rFonts w:ascii="Arial" w:hAnsi="Arial" w:cs="Arial"/>
          <w:sz w:val="24"/>
          <w:szCs w:val="24"/>
          <w:lang w:val="es-MX"/>
        </w:rPr>
        <w:t>co</w:t>
      </w:r>
      <w:proofErr w:type="spellEnd"/>
      <w:r w:rsidRPr="00341FA7">
        <w:rPr>
          <w:rFonts w:ascii="Arial" w:hAnsi="Arial" w:cs="Arial"/>
          <w:sz w:val="24"/>
          <w:szCs w:val="24"/>
          <w:lang w:val="es-MX"/>
        </w:rPr>
        <w:t>-contratante, atendiendo a la naturaleza jurídica de las partes, encuadra en lo dispuesto por el N</w:t>
      </w:r>
      <w:r w:rsidR="004A1DB3">
        <w:rPr>
          <w:rFonts w:ascii="Arial" w:hAnsi="Arial" w:cs="Arial"/>
          <w:sz w:val="24"/>
          <w:szCs w:val="24"/>
          <w:lang w:val="es-MX"/>
        </w:rPr>
        <w:t>umeral 1) del L</w:t>
      </w:r>
      <w:r w:rsidRPr="00341FA7">
        <w:rPr>
          <w:rFonts w:ascii="Arial" w:hAnsi="Arial" w:cs="Arial"/>
          <w:sz w:val="24"/>
          <w:szCs w:val="24"/>
          <w:lang w:val="es-MX"/>
        </w:rPr>
        <w:t>it</w:t>
      </w:r>
      <w:r w:rsidR="004A1DB3">
        <w:rPr>
          <w:rFonts w:ascii="Arial" w:hAnsi="Arial" w:cs="Arial"/>
          <w:sz w:val="24"/>
          <w:szCs w:val="24"/>
          <w:lang w:val="es-MX"/>
        </w:rPr>
        <w:t>eral C) A</w:t>
      </w:r>
      <w:r w:rsidRPr="00341FA7">
        <w:rPr>
          <w:rFonts w:ascii="Arial" w:hAnsi="Arial" w:cs="Arial"/>
          <w:sz w:val="24"/>
          <w:szCs w:val="24"/>
          <w:lang w:val="es-MX"/>
        </w:rPr>
        <w:t>rt</w:t>
      </w:r>
      <w:r w:rsidR="004A1DB3">
        <w:rPr>
          <w:rFonts w:ascii="Arial" w:hAnsi="Arial" w:cs="Arial"/>
          <w:sz w:val="24"/>
          <w:szCs w:val="24"/>
          <w:lang w:val="es-MX"/>
        </w:rPr>
        <w:t>ículo</w:t>
      </w:r>
      <w:r w:rsidRPr="00341FA7">
        <w:rPr>
          <w:rFonts w:ascii="Arial" w:hAnsi="Arial" w:cs="Arial"/>
          <w:sz w:val="24"/>
          <w:szCs w:val="24"/>
          <w:lang w:val="es-MX"/>
        </w:rPr>
        <w:t xml:space="preserve"> 33 del TOCAF;</w:t>
      </w:r>
    </w:p>
    <w:p w:rsidR="005002A1" w:rsidRDefault="005002A1" w:rsidP="004A1DB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F16561">
        <w:rPr>
          <w:rFonts w:ascii="Arial" w:hAnsi="Arial" w:cs="Arial"/>
          <w:b/>
          <w:sz w:val="24"/>
          <w:szCs w:val="24"/>
          <w:lang w:val="es-ES"/>
        </w:rPr>
        <w:t>ATENTO: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a lo precedentemente expuesto;</w:t>
      </w:r>
    </w:p>
    <w:p w:rsidR="00B0625A" w:rsidRDefault="00B0625A" w:rsidP="004A1DB3">
      <w:pPr>
        <w:spacing w:after="0" w:line="360" w:lineRule="auto"/>
        <w:jc w:val="both"/>
        <w:rPr>
          <w:color w:val="000000"/>
        </w:rPr>
      </w:pPr>
    </w:p>
    <w:p w:rsidR="00B0625A" w:rsidRPr="00341FA7" w:rsidRDefault="00B0625A" w:rsidP="004A1DB3">
      <w:pPr>
        <w:pStyle w:val="Ttulo1"/>
        <w:rPr>
          <w:rFonts w:cs="Arial"/>
          <w:color w:val="000000"/>
        </w:rPr>
      </w:pPr>
      <w:r w:rsidRPr="00341FA7">
        <w:rPr>
          <w:rFonts w:cs="Arial"/>
          <w:color w:val="000000"/>
        </w:rPr>
        <w:t>EL TRIBUNAL ACUERDA</w:t>
      </w:r>
    </w:p>
    <w:p w:rsidR="00B0625A" w:rsidRPr="00341FA7" w:rsidRDefault="00B0625A" w:rsidP="004A1DB3">
      <w:pPr>
        <w:tabs>
          <w:tab w:val="left" w:pos="6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5C6C" w:rsidRPr="00CA5C6C" w:rsidRDefault="00BB3AE1" w:rsidP="004A1DB3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Cuando el O</w:t>
      </w:r>
      <w:bookmarkStart w:id="0" w:name="_GoBack"/>
      <w:bookmarkEnd w:id="0"/>
      <w:r w:rsidR="00B0625A" w:rsidRPr="00341FA7">
        <w:rPr>
          <w:rFonts w:ascii="Arial" w:hAnsi="Arial" w:cs="Arial"/>
          <w:sz w:val="24"/>
          <w:szCs w:val="24"/>
        </w:rPr>
        <w:t xml:space="preserve">rdenador competente disponga el gasto en la forma prevista en el proyecto de contrato remitido, se </w:t>
      </w:r>
      <w:r w:rsidR="00CA5C6C">
        <w:rPr>
          <w:rFonts w:ascii="Arial" w:hAnsi="Arial" w:cs="Arial"/>
          <w:sz w:val="24"/>
          <w:szCs w:val="24"/>
        </w:rPr>
        <w:t>tendrá por intervenido el</w:t>
      </w:r>
      <w:r w:rsidR="00BA714C">
        <w:rPr>
          <w:rFonts w:ascii="Arial" w:hAnsi="Arial" w:cs="Arial"/>
          <w:sz w:val="24"/>
          <w:szCs w:val="24"/>
        </w:rPr>
        <w:t xml:space="preserve"> </w:t>
      </w:r>
      <w:r w:rsidR="00B0625A" w:rsidRPr="00341FA7">
        <w:rPr>
          <w:rFonts w:ascii="Arial" w:hAnsi="Arial" w:cs="Arial"/>
          <w:sz w:val="24"/>
          <w:szCs w:val="24"/>
        </w:rPr>
        <w:t>mismo</w:t>
      </w:r>
      <w:r w:rsidR="00BA714C">
        <w:rPr>
          <w:rFonts w:ascii="Arial" w:hAnsi="Arial" w:cs="Arial"/>
          <w:sz w:val="24"/>
          <w:szCs w:val="24"/>
        </w:rPr>
        <w:t xml:space="preserve"> por hasta </w:t>
      </w:r>
      <w:r w:rsidR="00CA5C6C">
        <w:rPr>
          <w:rFonts w:ascii="Arial" w:hAnsi="Arial" w:cs="Arial"/>
          <w:sz w:val="24"/>
          <w:szCs w:val="24"/>
        </w:rPr>
        <w:t xml:space="preserve">la suma de </w:t>
      </w:r>
      <w:r w:rsidR="00BA714C">
        <w:rPr>
          <w:rFonts w:ascii="Arial" w:hAnsi="Arial" w:cs="Arial"/>
          <w:sz w:val="24"/>
          <w:szCs w:val="24"/>
        </w:rPr>
        <w:t xml:space="preserve">$ </w:t>
      </w:r>
      <w:r w:rsidR="00BA714C">
        <w:rPr>
          <w:rFonts w:ascii="Arial" w:hAnsi="Arial" w:cs="Arial"/>
          <w:sz w:val="24"/>
          <w:szCs w:val="24"/>
          <w:lang w:val="es-ES"/>
        </w:rPr>
        <w:t>27.500.000</w:t>
      </w:r>
      <w:r w:rsidR="00B0625A" w:rsidRPr="00341FA7">
        <w:rPr>
          <w:rFonts w:ascii="Arial" w:hAnsi="Arial" w:cs="Arial"/>
          <w:sz w:val="24"/>
          <w:szCs w:val="24"/>
        </w:rPr>
        <w:t>,</w:t>
      </w:r>
      <w:r w:rsidR="00BA714C" w:rsidRPr="00BA714C">
        <w:rPr>
          <w:rFonts w:cs="Arial"/>
          <w:lang w:val="es-MX"/>
        </w:rPr>
        <w:t xml:space="preserve"> </w:t>
      </w:r>
    </w:p>
    <w:p w:rsidR="00B0625A" w:rsidRPr="00341FA7" w:rsidRDefault="00CA5C6C" w:rsidP="004A1DB3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A5C6C">
        <w:rPr>
          <w:rFonts w:ascii="Arial" w:hAnsi="Arial" w:cs="Arial"/>
          <w:sz w:val="24"/>
          <w:szCs w:val="24"/>
        </w:rPr>
        <w:t>Cometer a</w:t>
      </w:r>
      <w:r>
        <w:rPr>
          <w:rFonts w:ascii="Arial" w:hAnsi="Arial" w:cs="Arial"/>
          <w:sz w:val="24"/>
          <w:szCs w:val="24"/>
        </w:rPr>
        <w:t>l Contador Auditor en el Poder L</w:t>
      </w:r>
      <w:r w:rsidRPr="00CA5C6C">
        <w:rPr>
          <w:rFonts w:ascii="Arial" w:hAnsi="Arial" w:cs="Arial"/>
          <w:sz w:val="24"/>
          <w:szCs w:val="24"/>
        </w:rPr>
        <w:t>egislativo el control de que</w:t>
      </w:r>
      <w:r>
        <w:rPr>
          <w:rFonts w:cs="Arial"/>
        </w:rPr>
        <w:t xml:space="preserve"> </w:t>
      </w:r>
      <w:r w:rsidR="00BA714C" w:rsidRPr="00BA714C">
        <w:rPr>
          <w:rFonts w:ascii="Arial" w:hAnsi="Arial" w:cs="Arial"/>
          <w:sz w:val="24"/>
          <w:szCs w:val="24"/>
          <w:lang w:val="es-MX"/>
        </w:rPr>
        <w:t>las condiciones de la contratación se ajusten a las remitida</w:t>
      </w:r>
      <w:r w:rsidR="00266DE0">
        <w:rPr>
          <w:rFonts w:ascii="Arial" w:hAnsi="Arial" w:cs="Arial"/>
          <w:sz w:val="24"/>
          <w:szCs w:val="24"/>
          <w:lang w:val="es-MX"/>
        </w:rPr>
        <w:t>s</w:t>
      </w:r>
      <w:r w:rsidR="00BA714C" w:rsidRPr="00BA714C">
        <w:rPr>
          <w:rFonts w:ascii="Arial" w:hAnsi="Arial" w:cs="Arial"/>
          <w:sz w:val="24"/>
          <w:szCs w:val="24"/>
          <w:lang w:val="es-MX"/>
        </w:rPr>
        <w:t xml:space="preserve"> a este Tribunal, conforme con lo dispuesto por el artículo 8 de la Ordenanza de 22 de mayo de 1958, en la redacción dada por la Resolución de fecha 16 de junio de 2010</w:t>
      </w:r>
      <w:r w:rsidR="00BA714C">
        <w:rPr>
          <w:rFonts w:cs="Arial"/>
          <w:lang w:val="es-MX"/>
        </w:rPr>
        <w:t>;</w:t>
      </w:r>
    </w:p>
    <w:p w:rsidR="00B0625A" w:rsidRPr="00341FA7" w:rsidRDefault="00B0625A" w:rsidP="004A1DB3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41FA7">
        <w:rPr>
          <w:rFonts w:ascii="Arial" w:hAnsi="Arial" w:cs="Arial"/>
          <w:sz w:val="24"/>
          <w:szCs w:val="24"/>
        </w:rPr>
        <w:t>Comunicar al Contador Auditor;</w:t>
      </w:r>
    </w:p>
    <w:p w:rsidR="00B0625A" w:rsidRPr="00341FA7" w:rsidRDefault="00B0625A" w:rsidP="004A1DB3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41FA7">
        <w:rPr>
          <w:rFonts w:ascii="Arial" w:hAnsi="Arial" w:cs="Arial"/>
          <w:sz w:val="24"/>
          <w:szCs w:val="24"/>
        </w:rPr>
        <w:t>Devolver las actuaciones a la Administración actuante.-</w:t>
      </w:r>
    </w:p>
    <w:p w:rsidR="00B0625A" w:rsidRPr="00341FA7" w:rsidRDefault="00B0625A" w:rsidP="004A1DB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41FA7">
        <w:rPr>
          <w:rFonts w:ascii="Arial" w:hAnsi="Arial" w:cs="Arial"/>
          <w:sz w:val="24"/>
          <w:szCs w:val="24"/>
        </w:rPr>
        <w:t xml:space="preserve">. </w:t>
      </w:r>
    </w:p>
    <w:p w:rsidR="00B0625A" w:rsidRPr="00341FA7" w:rsidRDefault="00B0625A" w:rsidP="004A1DB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0625A" w:rsidRPr="004A1DB3" w:rsidRDefault="004A1DB3" w:rsidP="00B062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B0625A" w:rsidRPr="00341FA7" w:rsidRDefault="00B0625A" w:rsidP="00B0625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1FA7">
        <w:rPr>
          <w:rFonts w:ascii="Arial" w:hAnsi="Arial" w:cs="Arial"/>
          <w:sz w:val="24"/>
          <w:szCs w:val="24"/>
        </w:rPr>
        <w:t xml:space="preserve">  </w:t>
      </w:r>
      <w:r w:rsidRPr="00341FA7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:rsidR="00B0625A" w:rsidRPr="00341FA7" w:rsidRDefault="00B0625A" w:rsidP="00B0625A">
      <w:pPr>
        <w:jc w:val="both"/>
        <w:rPr>
          <w:rFonts w:ascii="Arial" w:hAnsi="Arial" w:cs="Arial"/>
          <w:sz w:val="24"/>
          <w:szCs w:val="24"/>
        </w:rPr>
      </w:pPr>
    </w:p>
    <w:p w:rsidR="00B0625A" w:rsidRDefault="00B0625A" w:rsidP="005002A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B0625A" w:rsidSect="006141C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E2D"/>
    <w:multiLevelType w:val="hybridMultilevel"/>
    <w:tmpl w:val="C764D520"/>
    <w:lvl w:ilvl="0" w:tplc="E952747E">
      <w:start w:val="1"/>
      <w:numFmt w:val="decimal"/>
      <w:lvlText w:val="%1)"/>
      <w:lvlJc w:val="left"/>
      <w:pPr>
        <w:ind w:left="2136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2856" w:hanging="360"/>
      </w:pPr>
    </w:lvl>
    <w:lvl w:ilvl="2" w:tplc="380A001B" w:tentative="1">
      <w:start w:val="1"/>
      <w:numFmt w:val="lowerRoman"/>
      <w:lvlText w:val="%3."/>
      <w:lvlJc w:val="right"/>
      <w:pPr>
        <w:ind w:left="3576" w:hanging="180"/>
      </w:pPr>
    </w:lvl>
    <w:lvl w:ilvl="3" w:tplc="380A000F" w:tentative="1">
      <w:start w:val="1"/>
      <w:numFmt w:val="decimal"/>
      <w:lvlText w:val="%4."/>
      <w:lvlJc w:val="left"/>
      <w:pPr>
        <w:ind w:left="4296" w:hanging="360"/>
      </w:pPr>
    </w:lvl>
    <w:lvl w:ilvl="4" w:tplc="380A0019" w:tentative="1">
      <w:start w:val="1"/>
      <w:numFmt w:val="lowerLetter"/>
      <w:lvlText w:val="%5."/>
      <w:lvlJc w:val="left"/>
      <w:pPr>
        <w:ind w:left="5016" w:hanging="360"/>
      </w:pPr>
    </w:lvl>
    <w:lvl w:ilvl="5" w:tplc="380A001B" w:tentative="1">
      <w:start w:val="1"/>
      <w:numFmt w:val="lowerRoman"/>
      <w:lvlText w:val="%6."/>
      <w:lvlJc w:val="right"/>
      <w:pPr>
        <w:ind w:left="5736" w:hanging="180"/>
      </w:pPr>
    </w:lvl>
    <w:lvl w:ilvl="6" w:tplc="380A000F" w:tentative="1">
      <w:start w:val="1"/>
      <w:numFmt w:val="decimal"/>
      <w:lvlText w:val="%7."/>
      <w:lvlJc w:val="left"/>
      <w:pPr>
        <w:ind w:left="6456" w:hanging="360"/>
      </w:pPr>
    </w:lvl>
    <w:lvl w:ilvl="7" w:tplc="380A0019" w:tentative="1">
      <w:start w:val="1"/>
      <w:numFmt w:val="lowerLetter"/>
      <w:lvlText w:val="%8."/>
      <w:lvlJc w:val="left"/>
      <w:pPr>
        <w:ind w:left="7176" w:hanging="360"/>
      </w:pPr>
    </w:lvl>
    <w:lvl w:ilvl="8" w:tplc="3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45614EB8"/>
    <w:multiLevelType w:val="hybridMultilevel"/>
    <w:tmpl w:val="AB901D7A"/>
    <w:lvl w:ilvl="0" w:tplc="563CD62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A1"/>
    <w:rsid w:val="00212424"/>
    <w:rsid w:val="00266DE0"/>
    <w:rsid w:val="002C1FEB"/>
    <w:rsid w:val="00300383"/>
    <w:rsid w:val="00341FA7"/>
    <w:rsid w:val="004A1DB3"/>
    <w:rsid w:val="005002A1"/>
    <w:rsid w:val="00520C88"/>
    <w:rsid w:val="00584A7C"/>
    <w:rsid w:val="005C7A32"/>
    <w:rsid w:val="006141CF"/>
    <w:rsid w:val="00643F8E"/>
    <w:rsid w:val="00710795"/>
    <w:rsid w:val="007D6FFD"/>
    <w:rsid w:val="00A34E14"/>
    <w:rsid w:val="00B0625A"/>
    <w:rsid w:val="00B5181D"/>
    <w:rsid w:val="00BA714C"/>
    <w:rsid w:val="00BB3AE1"/>
    <w:rsid w:val="00C3232D"/>
    <w:rsid w:val="00CA5C6C"/>
    <w:rsid w:val="00DA54BA"/>
    <w:rsid w:val="00E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2A1"/>
    <w:rPr>
      <w:rFonts w:ascii="Calibri" w:eastAsia="Calibri" w:hAnsi="Calibri" w:cs="Times New Roman"/>
      <w:lang w:val="es-UY"/>
    </w:rPr>
  </w:style>
  <w:style w:type="paragraph" w:styleId="Ttulo1">
    <w:name w:val="heading 1"/>
    <w:basedOn w:val="Normal"/>
    <w:next w:val="Normal"/>
    <w:link w:val="Ttulo1Car"/>
    <w:qFormat/>
    <w:rsid w:val="00B0625A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02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0625A"/>
    <w:rPr>
      <w:rFonts w:ascii="Arial" w:eastAsia="Times New Roman" w:hAnsi="Arial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2A1"/>
    <w:rPr>
      <w:rFonts w:ascii="Calibri" w:eastAsia="Calibri" w:hAnsi="Calibri" w:cs="Times New Roman"/>
      <w:lang w:val="es-UY"/>
    </w:rPr>
  </w:style>
  <w:style w:type="paragraph" w:styleId="Ttulo1">
    <w:name w:val="heading 1"/>
    <w:basedOn w:val="Normal"/>
    <w:next w:val="Normal"/>
    <w:link w:val="Ttulo1Car"/>
    <w:qFormat/>
    <w:rsid w:val="00B0625A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02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0625A"/>
    <w:rPr>
      <w:rFonts w:ascii="Arial" w:eastAsia="Times New Roman" w:hAnsi="Arial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MIGUEL ECHEVERRIA SOUTO</dc:creator>
  <cp:lastModifiedBy>Tribunal1</cp:lastModifiedBy>
  <cp:revision>4</cp:revision>
  <cp:lastPrinted>2016-09-01T15:15:00Z</cp:lastPrinted>
  <dcterms:created xsi:type="dcterms:W3CDTF">2016-09-01T15:15:00Z</dcterms:created>
  <dcterms:modified xsi:type="dcterms:W3CDTF">2016-09-01T15:15:00Z</dcterms:modified>
</cp:coreProperties>
</file>