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850" w:rsidRPr="0041796E" w:rsidRDefault="00F72850" w:rsidP="00F72850">
      <w:pPr>
        <w:tabs>
          <w:tab w:val="center" w:pos="4253"/>
        </w:tabs>
        <w:suppressAutoHyphens/>
        <w:spacing w:after="0" w:line="240" w:lineRule="auto"/>
        <w:jc w:val="right"/>
        <w:rPr>
          <w:rFonts w:ascii="Arial" w:hAnsi="Arial" w:cs="Arial"/>
          <w:b/>
          <w:sz w:val="28"/>
          <w:szCs w:val="28"/>
          <w:lang w:val="es-ES_tradnl"/>
        </w:rPr>
      </w:pPr>
      <w:bookmarkStart w:id="0" w:name="_GoBack"/>
      <w:bookmarkEnd w:id="0"/>
      <w:r w:rsidRPr="0041796E">
        <w:rPr>
          <w:rFonts w:ascii="Arial" w:hAnsi="Arial" w:cs="Arial"/>
          <w:b/>
          <w:sz w:val="28"/>
          <w:szCs w:val="28"/>
          <w:lang w:val="es-ES_tradnl"/>
        </w:rPr>
        <w:t xml:space="preserve">RES. </w:t>
      </w:r>
      <w:r w:rsidR="003E3A52">
        <w:rPr>
          <w:rFonts w:ascii="Arial" w:hAnsi="Arial" w:cs="Arial"/>
          <w:b/>
          <w:sz w:val="28"/>
          <w:szCs w:val="28"/>
          <w:lang w:val="es-ES_tradnl"/>
        </w:rPr>
        <w:t>2737</w:t>
      </w:r>
      <w:r w:rsidRPr="0041796E">
        <w:rPr>
          <w:rFonts w:ascii="Arial" w:hAnsi="Arial" w:cs="Arial"/>
          <w:b/>
          <w:sz w:val="28"/>
          <w:szCs w:val="28"/>
          <w:lang w:val="es-ES_tradnl"/>
        </w:rPr>
        <w:t>/16</w:t>
      </w:r>
    </w:p>
    <w:p w:rsidR="00F72850" w:rsidRPr="00F72850" w:rsidRDefault="00F72850" w:rsidP="00F72850">
      <w:pPr>
        <w:tabs>
          <w:tab w:val="center" w:pos="4253"/>
        </w:tabs>
        <w:suppressAutoHyphens/>
        <w:spacing w:after="0" w:line="240" w:lineRule="auto"/>
        <w:jc w:val="center"/>
        <w:rPr>
          <w:rFonts w:ascii="Arial" w:hAnsi="Arial" w:cs="Arial"/>
          <w:b/>
          <w:sz w:val="24"/>
          <w:szCs w:val="24"/>
          <w:lang w:val="es-ES_tradnl"/>
        </w:rPr>
      </w:pPr>
    </w:p>
    <w:p w:rsidR="00F72850" w:rsidRPr="00F72850" w:rsidRDefault="00F72850" w:rsidP="00F72850">
      <w:pPr>
        <w:tabs>
          <w:tab w:val="center" w:pos="4253"/>
        </w:tabs>
        <w:suppressAutoHyphens/>
        <w:spacing w:after="0" w:line="240" w:lineRule="auto"/>
        <w:jc w:val="center"/>
        <w:rPr>
          <w:rFonts w:ascii="Arial" w:hAnsi="Arial" w:cs="Arial"/>
          <w:b/>
          <w:sz w:val="24"/>
          <w:szCs w:val="24"/>
          <w:lang w:val="es-ES_tradnl"/>
        </w:rPr>
      </w:pPr>
      <w:r w:rsidRPr="00F72850">
        <w:rPr>
          <w:rFonts w:ascii="Arial" w:hAnsi="Arial" w:cs="Arial"/>
          <w:b/>
          <w:sz w:val="24"/>
          <w:szCs w:val="24"/>
          <w:lang w:val="es-ES_tradnl"/>
        </w:rPr>
        <w:t>RESOLUCION ADOPTADA POR EL</w:t>
      </w:r>
    </w:p>
    <w:p w:rsidR="00F72850" w:rsidRPr="00F72850" w:rsidRDefault="00F72850" w:rsidP="00F72850">
      <w:pPr>
        <w:tabs>
          <w:tab w:val="left" w:pos="-720"/>
        </w:tabs>
        <w:suppressAutoHyphens/>
        <w:spacing w:after="0" w:line="240" w:lineRule="auto"/>
        <w:jc w:val="center"/>
        <w:rPr>
          <w:rFonts w:ascii="Arial" w:hAnsi="Arial" w:cs="Arial"/>
          <w:b/>
          <w:sz w:val="24"/>
          <w:szCs w:val="24"/>
          <w:lang w:val="es-ES_tradnl"/>
        </w:rPr>
      </w:pPr>
    </w:p>
    <w:p w:rsidR="00F72850" w:rsidRPr="00F72850" w:rsidRDefault="00F72850" w:rsidP="00F72850">
      <w:pPr>
        <w:tabs>
          <w:tab w:val="center" w:pos="4253"/>
        </w:tabs>
        <w:suppressAutoHyphens/>
        <w:spacing w:after="0" w:line="240" w:lineRule="auto"/>
        <w:jc w:val="center"/>
        <w:rPr>
          <w:rFonts w:ascii="Arial" w:hAnsi="Arial" w:cs="Arial"/>
          <w:b/>
          <w:sz w:val="24"/>
          <w:szCs w:val="24"/>
          <w:lang w:val="es-ES_tradnl"/>
        </w:rPr>
      </w:pPr>
      <w:r w:rsidRPr="00F72850">
        <w:rPr>
          <w:rFonts w:ascii="Arial" w:hAnsi="Arial" w:cs="Arial"/>
          <w:b/>
          <w:sz w:val="24"/>
          <w:szCs w:val="24"/>
          <w:lang w:val="es-ES_tradnl"/>
        </w:rPr>
        <w:t>TRIBUNAL DE CUENTAS</w:t>
      </w:r>
    </w:p>
    <w:p w:rsidR="00F72850" w:rsidRPr="00F72850" w:rsidRDefault="00F72850" w:rsidP="00F72850">
      <w:pPr>
        <w:tabs>
          <w:tab w:val="left" w:pos="-720"/>
        </w:tabs>
        <w:suppressAutoHyphens/>
        <w:spacing w:after="0" w:line="240" w:lineRule="auto"/>
        <w:jc w:val="center"/>
        <w:rPr>
          <w:rFonts w:ascii="Arial" w:hAnsi="Arial" w:cs="Arial"/>
          <w:b/>
          <w:sz w:val="24"/>
          <w:szCs w:val="24"/>
          <w:lang w:val="es-ES_tradnl"/>
        </w:rPr>
      </w:pPr>
    </w:p>
    <w:p w:rsidR="00F72850" w:rsidRPr="00F72850" w:rsidRDefault="00F72850" w:rsidP="00F72850">
      <w:pPr>
        <w:tabs>
          <w:tab w:val="center" w:pos="4253"/>
        </w:tabs>
        <w:suppressAutoHyphens/>
        <w:spacing w:after="0" w:line="240" w:lineRule="auto"/>
        <w:jc w:val="center"/>
        <w:rPr>
          <w:rFonts w:ascii="Arial" w:hAnsi="Arial" w:cs="Arial"/>
          <w:b/>
          <w:sz w:val="24"/>
          <w:szCs w:val="24"/>
          <w:lang w:val="es-ES_tradnl"/>
        </w:rPr>
      </w:pPr>
      <w:r w:rsidRPr="00F72850">
        <w:rPr>
          <w:rFonts w:ascii="Arial" w:hAnsi="Arial" w:cs="Arial"/>
          <w:b/>
          <w:sz w:val="24"/>
          <w:szCs w:val="24"/>
          <w:lang w:val="es-ES_tradnl"/>
        </w:rPr>
        <w:t>EN SESION DE FECHA 3 DE AGOSTO DE 2016</w:t>
      </w:r>
    </w:p>
    <w:p w:rsidR="00F72850" w:rsidRPr="00F72850" w:rsidRDefault="00F72850" w:rsidP="00F72850">
      <w:pPr>
        <w:tabs>
          <w:tab w:val="center" w:pos="4253"/>
        </w:tabs>
        <w:suppressAutoHyphens/>
        <w:spacing w:after="0" w:line="240" w:lineRule="auto"/>
        <w:jc w:val="center"/>
        <w:rPr>
          <w:rFonts w:ascii="Arial" w:hAnsi="Arial" w:cs="Arial"/>
          <w:b/>
          <w:sz w:val="24"/>
          <w:szCs w:val="24"/>
          <w:lang w:val="es-ES_tradnl"/>
        </w:rPr>
      </w:pPr>
    </w:p>
    <w:p w:rsidR="00F72850" w:rsidRPr="00F72850" w:rsidRDefault="00F72850" w:rsidP="00F72850">
      <w:pPr>
        <w:tabs>
          <w:tab w:val="center" w:pos="4253"/>
        </w:tabs>
        <w:suppressAutoHyphens/>
        <w:spacing w:after="0" w:line="240" w:lineRule="auto"/>
        <w:jc w:val="center"/>
        <w:rPr>
          <w:rFonts w:ascii="Arial" w:hAnsi="Arial" w:cs="Arial"/>
          <w:b/>
          <w:sz w:val="24"/>
          <w:szCs w:val="24"/>
          <w:lang w:val="es-UY"/>
        </w:rPr>
      </w:pPr>
      <w:r w:rsidRPr="00F72850">
        <w:rPr>
          <w:rFonts w:ascii="Arial" w:hAnsi="Arial" w:cs="Arial"/>
          <w:b/>
          <w:sz w:val="24"/>
          <w:szCs w:val="24"/>
          <w:lang w:val="es-UY"/>
        </w:rPr>
        <w:t xml:space="preserve">(E. E. Nº 2016-17-1-0004497, </w:t>
      </w:r>
      <w:proofErr w:type="spellStart"/>
      <w:r w:rsidRPr="00F72850">
        <w:rPr>
          <w:rFonts w:ascii="Arial" w:hAnsi="Arial" w:cs="Arial"/>
          <w:b/>
          <w:sz w:val="24"/>
          <w:szCs w:val="24"/>
          <w:lang w:val="es-UY"/>
        </w:rPr>
        <w:t>Ent</w:t>
      </w:r>
      <w:proofErr w:type="spellEnd"/>
      <w:r w:rsidRPr="00F72850">
        <w:rPr>
          <w:rFonts w:ascii="Arial" w:hAnsi="Arial" w:cs="Arial"/>
          <w:b/>
          <w:sz w:val="24"/>
          <w:szCs w:val="24"/>
          <w:lang w:val="es-UY"/>
        </w:rPr>
        <w:t>. N° 3427/16)</w:t>
      </w:r>
    </w:p>
    <w:p w:rsidR="00F72850" w:rsidRPr="00F72850" w:rsidRDefault="00F72850" w:rsidP="00F72850">
      <w:pPr>
        <w:tabs>
          <w:tab w:val="center" w:pos="4253"/>
        </w:tabs>
        <w:suppressAutoHyphens/>
        <w:spacing w:after="0" w:line="240" w:lineRule="auto"/>
        <w:jc w:val="center"/>
        <w:rPr>
          <w:rFonts w:ascii="Arial" w:hAnsi="Arial" w:cs="Arial"/>
          <w:b/>
          <w:sz w:val="24"/>
          <w:szCs w:val="24"/>
          <w:lang w:val="es-UY"/>
        </w:rPr>
      </w:pPr>
    </w:p>
    <w:p w:rsidR="00DB690C" w:rsidRPr="009F3311" w:rsidRDefault="00DB690C" w:rsidP="00DB690C">
      <w:pPr>
        <w:autoSpaceDE w:val="0"/>
        <w:autoSpaceDN w:val="0"/>
        <w:adjustRightInd w:val="0"/>
        <w:spacing w:after="0" w:line="360" w:lineRule="auto"/>
        <w:rPr>
          <w:rFonts w:ascii="Arial" w:hAnsi="Arial" w:cs="Arial"/>
          <w:b/>
          <w:bCs/>
          <w:sz w:val="24"/>
          <w:szCs w:val="24"/>
        </w:rPr>
      </w:pPr>
    </w:p>
    <w:p w:rsidR="00DB690C" w:rsidRPr="009F3311" w:rsidRDefault="00DB690C" w:rsidP="0066693B">
      <w:pPr>
        <w:autoSpaceDE w:val="0"/>
        <w:autoSpaceDN w:val="0"/>
        <w:adjustRightInd w:val="0"/>
        <w:spacing w:after="0" w:line="360" w:lineRule="auto"/>
        <w:ind w:firstLine="851"/>
        <w:jc w:val="both"/>
        <w:rPr>
          <w:rFonts w:ascii="Arial" w:hAnsi="Arial" w:cs="Arial"/>
          <w:sz w:val="24"/>
          <w:szCs w:val="24"/>
        </w:rPr>
      </w:pPr>
      <w:r w:rsidRPr="009F3311">
        <w:rPr>
          <w:rFonts w:ascii="Arial" w:hAnsi="Arial" w:cs="Arial"/>
          <w:b/>
          <w:bCs/>
          <w:sz w:val="24"/>
          <w:szCs w:val="24"/>
        </w:rPr>
        <w:t>VISTO Y CONSIDERANDO</w:t>
      </w:r>
      <w:r w:rsidRPr="001B6679">
        <w:rPr>
          <w:rFonts w:ascii="Arial" w:hAnsi="Arial" w:cs="Arial"/>
          <w:b/>
          <w:sz w:val="24"/>
          <w:szCs w:val="24"/>
        </w:rPr>
        <w:t>:</w:t>
      </w:r>
      <w:r w:rsidRPr="009F3311">
        <w:rPr>
          <w:rFonts w:ascii="Arial" w:hAnsi="Arial" w:cs="Arial"/>
          <w:sz w:val="24"/>
          <w:szCs w:val="24"/>
        </w:rPr>
        <w:t xml:space="preserve"> </w:t>
      </w:r>
      <w:r w:rsidR="0038173F">
        <w:rPr>
          <w:rFonts w:ascii="Arial" w:hAnsi="Arial" w:cs="Arial"/>
          <w:sz w:val="24"/>
          <w:szCs w:val="24"/>
        </w:rPr>
        <w:t xml:space="preserve">los antecedentes remitidos por la Junta Departamental de Maldonado relativos a </w:t>
      </w:r>
      <w:r w:rsidRPr="009F3311">
        <w:rPr>
          <w:rFonts w:ascii="Arial" w:hAnsi="Arial" w:cs="Arial"/>
          <w:sz w:val="24"/>
          <w:szCs w:val="24"/>
        </w:rPr>
        <w:t xml:space="preserve">la </w:t>
      </w:r>
      <w:r w:rsidR="00E52499">
        <w:rPr>
          <w:rFonts w:ascii="Arial" w:hAnsi="Arial" w:cs="Arial"/>
          <w:sz w:val="24"/>
          <w:szCs w:val="24"/>
        </w:rPr>
        <w:t xml:space="preserve">Resolución Nº </w:t>
      </w:r>
      <w:r w:rsidR="00F71757">
        <w:rPr>
          <w:rFonts w:ascii="Arial" w:hAnsi="Arial" w:cs="Arial"/>
          <w:sz w:val="24"/>
          <w:szCs w:val="24"/>
        </w:rPr>
        <w:t>04480</w:t>
      </w:r>
      <w:r w:rsidR="00E52499">
        <w:rPr>
          <w:rFonts w:ascii="Arial" w:hAnsi="Arial" w:cs="Arial"/>
          <w:sz w:val="24"/>
          <w:szCs w:val="24"/>
        </w:rPr>
        <w:t>/2016 de la Intendencia, por la que se</w:t>
      </w:r>
      <w:r w:rsidRPr="009F3311">
        <w:rPr>
          <w:rFonts w:ascii="Arial" w:hAnsi="Arial" w:cs="Arial"/>
          <w:sz w:val="24"/>
          <w:szCs w:val="24"/>
        </w:rPr>
        <w:t xml:space="preserve"> </w:t>
      </w:r>
      <w:r w:rsidR="00E52499">
        <w:rPr>
          <w:rFonts w:ascii="Arial" w:hAnsi="Arial" w:cs="Arial"/>
          <w:bCs/>
          <w:sz w:val="24"/>
          <w:szCs w:val="24"/>
        </w:rPr>
        <w:t xml:space="preserve">dispuso requerir autorización a </w:t>
      </w:r>
      <w:r w:rsidR="0038173F">
        <w:rPr>
          <w:rFonts w:ascii="Arial" w:hAnsi="Arial" w:cs="Arial"/>
          <w:bCs/>
          <w:sz w:val="24"/>
          <w:szCs w:val="24"/>
        </w:rPr>
        <w:t>dicha Corporación</w:t>
      </w:r>
      <w:r w:rsidR="00E52499">
        <w:rPr>
          <w:rFonts w:ascii="Arial" w:hAnsi="Arial" w:cs="Arial"/>
          <w:bCs/>
          <w:sz w:val="24"/>
          <w:szCs w:val="24"/>
        </w:rPr>
        <w:t xml:space="preserve"> a efectos de ajustar la aprobación realizada por Resolución Nº 4</w:t>
      </w:r>
      <w:r w:rsidR="00BA12D0">
        <w:rPr>
          <w:rFonts w:ascii="Arial" w:hAnsi="Arial" w:cs="Arial"/>
          <w:bCs/>
          <w:sz w:val="24"/>
          <w:szCs w:val="24"/>
        </w:rPr>
        <w:t>42</w:t>
      </w:r>
      <w:r w:rsidR="00E52499">
        <w:rPr>
          <w:rFonts w:ascii="Arial" w:hAnsi="Arial" w:cs="Arial"/>
          <w:bCs/>
          <w:sz w:val="24"/>
          <w:szCs w:val="24"/>
        </w:rPr>
        <w:t>/201</w:t>
      </w:r>
      <w:r w:rsidR="00BA12D0">
        <w:rPr>
          <w:rFonts w:ascii="Arial" w:hAnsi="Arial" w:cs="Arial"/>
          <w:bCs/>
          <w:sz w:val="24"/>
          <w:szCs w:val="24"/>
        </w:rPr>
        <w:t>4</w:t>
      </w:r>
      <w:r w:rsidR="00E52499">
        <w:rPr>
          <w:rFonts w:ascii="Arial" w:hAnsi="Arial" w:cs="Arial"/>
          <w:bCs/>
          <w:sz w:val="24"/>
          <w:szCs w:val="24"/>
        </w:rPr>
        <w:t xml:space="preserve">, </w:t>
      </w:r>
      <w:r w:rsidRPr="009F3311">
        <w:rPr>
          <w:rFonts w:ascii="Arial" w:hAnsi="Arial" w:cs="Arial"/>
          <w:sz w:val="24"/>
          <w:szCs w:val="24"/>
        </w:rPr>
        <w:t>para la obtención de líneas de crédito con destino a atender</w:t>
      </w:r>
      <w:r w:rsidR="00F71757">
        <w:rPr>
          <w:rFonts w:ascii="Arial" w:hAnsi="Arial" w:cs="Arial"/>
          <w:sz w:val="24"/>
          <w:szCs w:val="24"/>
        </w:rPr>
        <w:t xml:space="preserve"> la</w:t>
      </w:r>
      <w:r w:rsidRPr="009F3311">
        <w:rPr>
          <w:rFonts w:ascii="Arial" w:hAnsi="Arial" w:cs="Arial"/>
          <w:sz w:val="24"/>
          <w:szCs w:val="24"/>
        </w:rPr>
        <w:t xml:space="preserve"> reconstru</w:t>
      </w:r>
      <w:r w:rsidR="00F71757">
        <w:rPr>
          <w:rFonts w:ascii="Arial" w:hAnsi="Arial" w:cs="Arial"/>
          <w:sz w:val="24"/>
          <w:szCs w:val="24"/>
        </w:rPr>
        <w:t>cción</w:t>
      </w:r>
      <w:r w:rsidRPr="009F3311">
        <w:rPr>
          <w:rFonts w:ascii="Arial" w:hAnsi="Arial" w:cs="Arial"/>
          <w:sz w:val="24"/>
          <w:szCs w:val="24"/>
        </w:rPr>
        <w:t xml:space="preserve"> los fondos operativos</w:t>
      </w:r>
      <w:r w:rsidR="00F71757">
        <w:rPr>
          <w:rFonts w:ascii="Arial" w:hAnsi="Arial" w:cs="Arial"/>
          <w:sz w:val="24"/>
          <w:szCs w:val="24"/>
        </w:rPr>
        <w:t xml:space="preserve"> y el financiamiento d</w:t>
      </w:r>
      <w:r w:rsidR="00E52499">
        <w:rPr>
          <w:rFonts w:ascii="Arial" w:hAnsi="Arial" w:cs="Arial"/>
          <w:sz w:val="24"/>
          <w:szCs w:val="24"/>
        </w:rPr>
        <w:t xml:space="preserve">el Plan de Obras Departamental, </w:t>
      </w:r>
      <w:r w:rsidRPr="009F3311">
        <w:rPr>
          <w:rFonts w:ascii="Arial" w:hAnsi="Arial" w:cs="Arial"/>
          <w:sz w:val="24"/>
          <w:szCs w:val="24"/>
        </w:rPr>
        <w:t xml:space="preserve">en cumplimiento de lo dispuesto por el </w:t>
      </w:r>
      <w:r w:rsidR="0098481B">
        <w:rPr>
          <w:rFonts w:ascii="Arial" w:hAnsi="Arial" w:cs="Arial"/>
          <w:sz w:val="24"/>
          <w:szCs w:val="24"/>
        </w:rPr>
        <w:t>I</w:t>
      </w:r>
      <w:r w:rsidRPr="009F3311">
        <w:rPr>
          <w:rFonts w:ascii="Arial" w:hAnsi="Arial" w:cs="Arial"/>
          <w:sz w:val="24"/>
          <w:szCs w:val="24"/>
        </w:rPr>
        <w:t>n</w:t>
      </w:r>
      <w:r>
        <w:rPr>
          <w:rFonts w:ascii="Arial" w:hAnsi="Arial" w:cs="Arial"/>
          <w:sz w:val="24"/>
          <w:szCs w:val="24"/>
        </w:rPr>
        <w:t>c</w:t>
      </w:r>
      <w:r w:rsidRPr="009F3311">
        <w:rPr>
          <w:rFonts w:ascii="Arial" w:hAnsi="Arial" w:cs="Arial"/>
          <w:sz w:val="24"/>
          <w:szCs w:val="24"/>
        </w:rPr>
        <w:t>iso 2</w:t>
      </w:r>
      <w:r>
        <w:rPr>
          <w:rFonts w:ascii="Arial" w:hAnsi="Arial" w:cs="Arial"/>
          <w:sz w:val="24"/>
          <w:szCs w:val="24"/>
        </w:rPr>
        <w:t>º</w:t>
      </w:r>
      <w:r w:rsidRPr="009F3311">
        <w:rPr>
          <w:rFonts w:ascii="Arial" w:hAnsi="Arial" w:cs="Arial"/>
          <w:sz w:val="24"/>
          <w:szCs w:val="24"/>
        </w:rPr>
        <w:t xml:space="preserve"> del Artículo 301 de la Constitución de la República;</w:t>
      </w:r>
    </w:p>
    <w:p w:rsidR="00DB690C" w:rsidRPr="009F3311" w:rsidRDefault="00DB690C" w:rsidP="00594DB8">
      <w:pPr>
        <w:tabs>
          <w:tab w:val="left" w:pos="-1440"/>
          <w:tab w:val="left" w:pos="-720"/>
          <w:tab w:val="left" w:pos="0"/>
          <w:tab w:val="left" w:pos="720"/>
          <w:tab w:val="left" w:pos="1440"/>
          <w:tab w:val="left" w:pos="2160"/>
          <w:tab w:val="left" w:pos="2448"/>
          <w:tab w:val="left" w:pos="6480"/>
          <w:tab w:val="left" w:pos="7920"/>
        </w:tabs>
        <w:suppressAutoHyphens/>
        <w:spacing w:after="0" w:line="360" w:lineRule="auto"/>
        <w:ind w:firstLine="851"/>
        <w:jc w:val="both"/>
        <w:rPr>
          <w:rFonts w:ascii="Arial" w:hAnsi="Arial" w:cs="Arial"/>
          <w:sz w:val="24"/>
          <w:szCs w:val="24"/>
        </w:rPr>
      </w:pPr>
      <w:r w:rsidRPr="009F3311">
        <w:rPr>
          <w:rFonts w:ascii="Arial" w:hAnsi="Arial" w:cs="Arial"/>
          <w:b/>
          <w:bCs/>
          <w:sz w:val="24"/>
          <w:szCs w:val="24"/>
        </w:rPr>
        <w:t>ATENTO</w:t>
      </w:r>
      <w:r w:rsidRPr="0066693B">
        <w:rPr>
          <w:rFonts w:ascii="Arial" w:hAnsi="Arial" w:cs="Arial"/>
          <w:b/>
          <w:sz w:val="24"/>
          <w:szCs w:val="24"/>
        </w:rPr>
        <w:t>:</w:t>
      </w:r>
      <w:r w:rsidRPr="009F3311">
        <w:rPr>
          <w:rFonts w:ascii="Arial" w:hAnsi="Arial" w:cs="Arial"/>
          <w:sz w:val="24"/>
          <w:szCs w:val="24"/>
        </w:rPr>
        <w:t xml:space="preserve"> a lo establecido precedentemente;</w:t>
      </w:r>
    </w:p>
    <w:p w:rsidR="00DB690C" w:rsidRPr="004E256D" w:rsidRDefault="00DB690C" w:rsidP="00594DB8">
      <w:pPr>
        <w:tabs>
          <w:tab w:val="left" w:pos="-1440"/>
          <w:tab w:val="left" w:pos="-720"/>
          <w:tab w:val="left" w:pos="0"/>
          <w:tab w:val="left" w:pos="720"/>
          <w:tab w:val="left" w:pos="1440"/>
          <w:tab w:val="left" w:pos="2160"/>
          <w:tab w:val="left" w:pos="2448"/>
          <w:tab w:val="left" w:pos="6480"/>
          <w:tab w:val="left" w:pos="7920"/>
        </w:tabs>
        <w:suppressAutoHyphens/>
        <w:spacing w:after="0" w:line="360" w:lineRule="auto"/>
        <w:jc w:val="center"/>
        <w:rPr>
          <w:rFonts w:ascii="Arial" w:hAnsi="Arial" w:cs="Arial"/>
          <w:b/>
          <w:bCs/>
          <w:sz w:val="24"/>
          <w:szCs w:val="24"/>
        </w:rPr>
      </w:pPr>
      <w:r w:rsidRPr="004E256D">
        <w:rPr>
          <w:rFonts w:ascii="Arial" w:hAnsi="Arial" w:cs="Arial"/>
          <w:b/>
          <w:bCs/>
          <w:sz w:val="24"/>
          <w:szCs w:val="24"/>
        </w:rPr>
        <w:t>EL TRIBUNAL ACUERDA</w:t>
      </w:r>
    </w:p>
    <w:p w:rsidR="00DB690C" w:rsidRPr="0066693B" w:rsidRDefault="00DB690C" w:rsidP="00594DB8">
      <w:pPr>
        <w:pStyle w:val="Prrafodelista"/>
        <w:numPr>
          <w:ilvl w:val="0"/>
          <w:numId w:val="1"/>
        </w:numPr>
        <w:tabs>
          <w:tab w:val="left" w:pos="-1440"/>
          <w:tab w:val="left" w:pos="-720"/>
          <w:tab w:val="left" w:pos="0"/>
          <w:tab w:val="left" w:pos="426"/>
          <w:tab w:val="left" w:pos="851"/>
          <w:tab w:val="left" w:pos="1440"/>
          <w:tab w:val="left" w:pos="2160"/>
          <w:tab w:val="left" w:pos="2448"/>
          <w:tab w:val="left" w:pos="6480"/>
          <w:tab w:val="left" w:pos="7920"/>
        </w:tabs>
        <w:suppressAutoHyphens/>
        <w:spacing w:after="0" w:line="360" w:lineRule="auto"/>
        <w:jc w:val="both"/>
        <w:rPr>
          <w:rFonts w:ascii="Arial" w:hAnsi="Arial" w:cs="Arial"/>
          <w:sz w:val="24"/>
          <w:szCs w:val="24"/>
        </w:rPr>
      </w:pPr>
      <w:r w:rsidRPr="0066693B">
        <w:rPr>
          <w:rFonts w:ascii="Arial" w:hAnsi="Arial" w:cs="Arial"/>
          <w:sz w:val="24"/>
          <w:szCs w:val="24"/>
        </w:rPr>
        <w:t xml:space="preserve">Aprobar el informe que se </w:t>
      </w:r>
      <w:r w:rsidR="00594DB8">
        <w:rPr>
          <w:rFonts w:ascii="Arial" w:hAnsi="Arial" w:cs="Arial"/>
          <w:sz w:val="24"/>
          <w:szCs w:val="24"/>
        </w:rPr>
        <w:t>adjunta;</w:t>
      </w:r>
    </w:p>
    <w:p w:rsidR="00DB690C" w:rsidRPr="00594DB8" w:rsidRDefault="00DB690C" w:rsidP="00594DB8">
      <w:pPr>
        <w:pStyle w:val="Prrafodelista"/>
        <w:numPr>
          <w:ilvl w:val="0"/>
          <w:numId w:val="1"/>
        </w:numPr>
        <w:tabs>
          <w:tab w:val="left" w:pos="-1440"/>
          <w:tab w:val="left" w:pos="-720"/>
          <w:tab w:val="left" w:pos="0"/>
          <w:tab w:val="left" w:pos="426"/>
          <w:tab w:val="left" w:pos="851"/>
          <w:tab w:val="left" w:pos="1440"/>
          <w:tab w:val="left" w:pos="2160"/>
          <w:tab w:val="left" w:pos="2448"/>
          <w:tab w:val="left" w:pos="6480"/>
          <w:tab w:val="left" w:pos="7920"/>
        </w:tabs>
        <w:suppressAutoHyphens/>
        <w:spacing w:after="0" w:line="360" w:lineRule="auto"/>
        <w:jc w:val="both"/>
        <w:rPr>
          <w:rFonts w:ascii="Arial" w:hAnsi="Arial" w:cs="Arial"/>
          <w:sz w:val="24"/>
          <w:szCs w:val="24"/>
        </w:rPr>
      </w:pPr>
      <w:r w:rsidRPr="00594DB8">
        <w:rPr>
          <w:rFonts w:ascii="Arial" w:hAnsi="Arial" w:cs="Arial"/>
          <w:sz w:val="24"/>
          <w:szCs w:val="24"/>
        </w:rPr>
        <w:t>Comunicar a la Intendencia y a la J</w:t>
      </w:r>
      <w:r w:rsidR="00594DB8">
        <w:rPr>
          <w:rFonts w:ascii="Arial" w:hAnsi="Arial" w:cs="Arial"/>
          <w:sz w:val="24"/>
          <w:szCs w:val="24"/>
        </w:rPr>
        <w:t>unta Departamental de Maldonado;</w:t>
      </w:r>
    </w:p>
    <w:p w:rsidR="00DB690C" w:rsidRPr="00594DB8" w:rsidRDefault="00DB690C" w:rsidP="00594DB8">
      <w:pPr>
        <w:pStyle w:val="Prrafodelista"/>
        <w:numPr>
          <w:ilvl w:val="0"/>
          <w:numId w:val="1"/>
        </w:numPr>
        <w:tabs>
          <w:tab w:val="left" w:pos="-1440"/>
          <w:tab w:val="left" w:pos="-720"/>
          <w:tab w:val="left" w:pos="0"/>
          <w:tab w:val="left" w:pos="426"/>
          <w:tab w:val="left" w:pos="851"/>
          <w:tab w:val="left" w:pos="1440"/>
          <w:tab w:val="left" w:pos="2160"/>
          <w:tab w:val="left" w:pos="2448"/>
          <w:tab w:val="left" w:pos="6480"/>
          <w:tab w:val="left" w:pos="7920"/>
        </w:tabs>
        <w:suppressAutoHyphens/>
        <w:spacing w:after="0" w:line="360" w:lineRule="auto"/>
        <w:jc w:val="both"/>
        <w:rPr>
          <w:rFonts w:ascii="Arial" w:hAnsi="Arial" w:cs="Arial"/>
          <w:sz w:val="24"/>
          <w:szCs w:val="24"/>
        </w:rPr>
      </w:pPr>
      <w:r w:rsidRPr="00594DB8">
        <w:rPr>
          <w:rFonts w:ascii="Arial" w:hAnsi="Arial" w:cs="Arial"/>
          <w:sz w:val="24"/>
          <w:szCs w:val="24"/>
        </w:rPr>
        <w:t>Devolver los antecedentes.</w:t>
      </w:r>
    </w:p>
    <w:p w:rsidR="00DB690C" w:rsidRPr="009F3311" w:rsidRDefault="00DB690C" w:rsidP="00DB690C">
      <w:pPr>
        <w:tabs>
          <w:tab w:val="left" w:pos="-1440"/>
          <w:tab w:val="left" w:pos="-720"/>
          <w:tab w:val="left" w:pos="0"/>
          <w:tab w:val="left" w:pos="720"/>
          <w:tab w:val="left" w:pos="1440"/>
          <w:tab w:val="left" w:pos="2160"/>
          <w:tab w:val="left" w:pos="2448"/>
          <w:tab w:val="left" w:pos="6480"/>
          <w:tab w:val="left" w:pos="7920"/>
        </w:tabs>
        <w:suppressAutoHyphens/>
        <w:spacing w:line="360" w:lineRule="auto"/>
        <w:jc w:val="both"/>
        <w:rPr>
          <w:rFonts w:ascii="Arial" w:hAnsi="Arial" w:cs="Arial"/>
          <w:sz w:val="24"/>
          <w:szCs w:val="24"/>
        </w:rPr>
      </w:pPr>
    </w:p>
    <w:p w:rsidR="00DB690C" w:rsidRPr="00DB690C" w:rsidRDefault="00424A68" w:rsidP="00DB690C">
      <w:pPr>
        <w:tabs>
          <w:tab w:val="left" w:pos="-1440"/>
          <w:tab w:val="left" w:pos="-720"/>
          <w:tab w:val="left" w:pos="0"/>
          <w:tab w:val="left" w:pos="720"/>
          <w:tab w:val="left" w:pos="1440"/>
          <w:tab w:val="left" w:pos="2160"/>
          <w:tab w:val="left" w:pos="2448"/>
          <w:tab w:val="left" w:pos="6480"/>
          <w:tab w:val="left" w:pos="7920"/>
        </w:tabs>
        <w:suppressAutoHyphens/>
        <w:spacing w:after="0" w:line="360" w:lineRule="auto"/>
        <w:jc w:val="both"/>
        <w:rPr>
          <w:rFonts w:ascii="Arial" w:hAnsi="Arial" w:cs="Arial"/>
          <w:sz w:val="20"/>
          <w:szCs w:val="20"/>
        </w:rPr>
      </w:pPr>
      <w:proofErr w:type="spellStart"/>
      <w:proofErr w:type="gramStart"/>
      <w:r>
        <w:rPr>
          <w:rFonts w:ascii="Arial" w:hAnsi="Arial" w:cs="Arial"/>
          <w:sz w:val="24"/>
          <w:szCs w:val="24"/>
        </w:rPr>
        <w:t>ag</w:t>
      </w:r>
      <w:proofErr w:type="spellEnd"/>
      <w:proofErr w:type="gramEnd"/>
    </w:p>
    <w:p w:rsidR="00DB690C" w:rsidRDefault="00DB690C" w:rsidP="00DB690C">
      <w:pPr>
        <w:tabs>
          <w:tab w:val="left" w:pos="-1440"/>
          <w:tab w:val="left" w:pos="-720"/>
          <w:tab w:val="left" w:pos="0"/>
          <w:tab w:val="left" w:pos="720"/>
          <w:tab w:val="left" w:pos="1440"/>
          <w:tab w:val="left" w:pos="2160"/>
          <w:tab w:val="left" w:pos="2448"/>
          <w:tab w:val="left" w:pos="6480"/>
          <w:tab w:val="left" w:pos="7920"/>
        </w:tabs>
        <w:suppressAutoHyphens/>
        <w:spacing w:line="360" w:lineRule="auto"/>
        <w:jc w:val="both"/>
        <w:rPr>
          <w:rFonts w:ascii="Arial" w:hAnsi="Arial" w:cs="Arial"/>
          <w:sz w:val="24"/>
          <w:szCs w:val="24"/>
        </w:rPr>
      </w:pPr>
    </w:p>
    <w:p w:rsidR="00DB690C" w:rsidRDefault="00DB690C" w:rsidP="00DB690C">
      <w:pPr>
        <w:rPr>
          <w:rFonts w:ascii="Arial" w:hAnsi="Arial" w:cs="Arial"/>
          <w:sz w:val="24"/>
          <w:szCs w:val="24"/>
        </w:rPr>
      </w:pPr>
    </w:p>
    <w:p w:rsidR="00AA0A37" w:rsidRDefault="00AA0A37" w:rsidP="00DB690C">
      <w:pPr>
        <w:rPr>
          <w:rFonts w:ascii="Arial" w:hAnsi="Arial" w:cs="Arial"/>
          <w:sz w:val="24"/>
          <w:szCs w:val="24"/>
        </w:rPr>
      </w:pPr>
    </w:p>
    <w:p w:rsidR="00AA0A37" w:rsidRPr="009F3311" w:rsidRDefault="00AA0A37" w:rsidP="00DB690C">
      <w:pPr>
        <w:rPr>
          <w:rFonts w:ascii="Arial" w:hAnsi="Arial" w:cs="Arial"/>
          <w:sz w:val="24"/>
          <w:szCs w:val="24"/>
        </w:rPr>
      </w:pPr>
    </w:p>
    <w:p w:rsidR="009E3E57" w:rsidRDefault="009E3E57">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INFORME</w:t>
      </w:r>
    </w:p>
    <w:p w:rsidR="009E3E57" w:rsidRDefault="009E3E57">
      <w:pPr>
        <w:autoSpaceDE w:val="0"/>
        <w:autoSpaceDN w:val="0"/>
        <w:adjustRightInd w:val="0"/>
        <w:spacing w:after="0" w:line="240" w:lineRule="auto"/>
        <w:jc w:val="center"/>
        <w:rPr>
          <w:rFonts w:ascii="Arial" w:hAnsi="Arial" w:cs="Arial"/>
          <w:b/>
          <w:bCs/>
          <w:sz w:val="24"/>
          <w:szCs w:val="24"/>
        </w:rPr>
      </w:pPr>
    </w:p>
    <w:p w:rsidR="009E3E57" w:rsidRDefault="009E3E57">
      <w:pPr>
        <w:autoSpaceDE w:val="0"/>
        <w:autoSpaceDN w:val="0"/>
        <w:adjustRightInd w:val="0"/>
        <w:spacing w:after="0" w:line="240" w:lineRule="auto"/>
        <w:rPr>
          <w:rFonts w:ascii="LiberationSans-Bold" w:hAnsi="LiberationSans-Bold" w:cs="LiberationSans-Bold"/>
          <w:b/>
          <w:bCs/>
          <w:sz w:val="24"/>
          <w:szCs w:val="24"/>
        </w:rPr>
      </w:pPr>
    </w:p>
    <w:p w:rsidR="009E3E57" w:rsidRPr="002F292D" w:rsidRDefault="009E3E57" w:rsidP="00AA0A37">
      <w:pPr>
        <w:autoSpaceDE w:val="0"/>
        <w:autoSpaceDN w:val="0"/>
        <w:adjustRightInd w:val="0"/>
        <w:spacing w:after="0" w:line="240" w:lineRule="auto"/>
        <w:rPr>
          <w:rFonts w:ascii="Arial" w:hAnsi="Arial" w:cs="Arial"/>
          <w:b/>
          <w:bCs/>
          <w:sz w:val="24"/>
          <w:szCs w:val="24"/>
        </w:rPr>
      </w:pPr>
      <w:r>
        <w:rPr>
          <w:rFonts w:ascii="LiberationSans-Bold" w:hAnsi="LiberationSans-Bold" w:cs="LiberationSans-Bold"/>
          <w:b/>
          <w:bCs/>
          <w:sz w:val="24"/>
          <w:szCs w:val="24"/>
        </w:rPr>
        <w:lastRenderedPageBreak/>
        <w:t>1</w:t>
      </w:r>
      <w:r w:rsidRPr="002F292D">
        <w:rPr>
          <w:rFonts w:ascii="Arial" w:hAnsi="Arial" w:cs="Arial"/>
          <w:b/>
          <w:bCs/>
          <w:sz w:val="24"/>
          <w:szCs w:val="24"/>
        </w:rPr>
        <w:t>) OBJETO</w:t>
      </w:r>
    </w:p>
    <w:p w:rsidR="009E3E57" w:rsidRPr="002F292D" w:rsidRDefault="009E3E57">
      <w:pPr>
        <w:autoSpaceDE w:val="0"/>
        <w:autoSpaceDN w:val="0"/>
        <w:adjustRightInd w:val="0"/>
        <w:spacing w:after="0" w:line="240" w:lineRule="auto"/>
        <w:rPr>
          <w:rFonts w:ascii="Arial" w:hAnsi="Arial" w:cs="Arial"/>
          <w:sz w:val="24"/>
          <w:szCs w:val="24"/>
        </w:rPr>
      </w:pPr>
    </w:p>
    <w:p w:rsidR="009E3E57" w:rsidRPr="002F292D" w:rsidRDefault="009E3E57" w:rsidP="00AA0A37">
      <w:pPr>
        <w:autoSpaceDE w:val="0"/>
        <w:autoSpaceDN w:val="0"/>
        <w:adjustRightInd w:val="0"/>
        <w:spacing w:after="0" w:line="360" w:lineRule="auto"/>
        <w:jc w:val="both"/>
        <w:rPr>
          <w:rFonts w:ascii="Arial" w:hAnsi="Arial" w:cs="Arial"/>
          <w:sz w:val="24"/>
          <w:szCs w:val="24"/>
        </w:rPr>
      </w:pPr>
      <w:r w:rsidRPr="002F292D">
        <w:rPr>
          <w:rFonts w:ascii="Arial" w:hAnsi="Arial" w:cs="Arial"/>
          <w:sz w:val="24"/>
          <w:szCs w:val="24"/>
        </w:rPr>
        <w:t xml:space="preserve">El presente informe se emite en ejercicio de la atribución asignada al Tribunal </w:t>
      </w:r>
      <w:r>
        <w:rPr>
          <w:rFonts w:ascii="Arial" w:hAnsi="Arial" w:cs="Arial"/>
          <w:sz w:val="24"/>
          <w:szCs w:val="24"/>
        </w:rPr>
        <w:t>de Cuentas por el Artículo 301 I</w:t>
      </w:r>
      <w:r w:rsidRPr="002F292D">
        <w:rPr>
          <w:rFonts w:ascii="Arial" w:hAnsi="Arial" w:cs="Arial"/>
          <w:sz w:val="24"/>
          <w:szCs w:val="24"/>
        </w:rPr>
        <w:t>nciso 2º de la Constitución de la República.</w:t>
      </w:r>
    </w:p>
    <w:p w:rsidR="009E3E57" w:rsidRPr="002F292D" w:rsidRDefault="009E3E57">
      <w:pPr>
        <w:autoSpaceDE w:val="0"/>
        <w:autoSpaceDN w:val="0"/>
        <w:adjustRightInd w:val="0"/>
        <w:spacing w:after="0" w:line="360" w:lineRule="auto"/>
        <w:jc w:val="center"/>
        <w:rPr>
          <w:rFonts w:ascii="Arial" w:hAnsi="Arial" w:cs="Arial"/>
          <w:b/>
          <w:bCs/>
          <w:sz w:val="24"/>
          <w:szCs w:val="24"/>
        </w:rPr>
      </w:pPr>
    </w:p>
    <w:p w:rsidR="009E3E57" w:rsidRPr="002F292D" w:rsidRDefault="009E3E57" w:rsidP="00AA0A37">
      <w:pPr>
        <w:autoSpaceDE w:val="0"/>
        <w:autoSpaceDN w:val="0"/>
        <w:adjustRightInd w:val="0"/>
        <w:spacing w:after="0" w:line="360" w:lineRule="auto"/>
        <w:rPr>
          <w:rFonts w:ascii="Arial" w:hAnsi="Arial" w:cs="Arial"/>
          <w:b/>
          <w:bCs/>
          <w:sz w:val="24"/>
          <w:szCs w:val="24"/>
        </w:rPr>
      </w:pPr>
      <w:r w:rsidRPr="002F292D">
        <w:rPr>
          <w:rFonts w:ascii="Arial" w:hAnsi="Arial" w:cs="Arial"/>
          <w:b/>
          <w:bCs/>
          <w:sz w:val="24"/>
          <w:szCs w:val="24"/>
        </w:rPr>
        <w:t>2) ANTECEDENTES</w:t>
      </w:r>
    </w:p>
    <w:p w:rsidR="009E3E57" w:rsidRDefault="009E3E57">
      <w:pPr>
        <w:autoSpaceDE w:val="0"/>
        <w:autoSpaceDN w:val="0"/>
        <w:adjustRightInd w:val="0"/>
        <w:spacing w:after="0" w:line="360" w:lineRule="auto"/>
        <w:ind w:left="2832"/>
        <w:rPr>
          <w:rFonts w:ascii="Arial" w:hAnsi="Arial" w:cs="Arial"/>
          <w:b/>
          <w:bCs/>
          <w:sz w:val="24"/>
          <w:szCs w:val="24"/>
        </w:rPr>
      </w:pPr>
    </w:p>
    <w:p w:rsidR="009E3E57" w:rsidRDefault="009E3E57" w:rsidP="00AA0A37">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2.1.</w:t>
      </w:r>
      <w:r>
        <w:rPr>
          <w:rFonts w:ascii="Arial" w:hAnsi="Arial" w:cs="Arial"/>
          <w:sz w:val="24"/>
          <w:szCs w:val="24"/>
        </w:rPr>
        <w:t xml:space="preserve">  Este Tribunal, a solicitud de la Junta Departamental de Maldonado, emitió en sesión de fecha </w:t>
      </w:r>
      <w:r w:rsidRPr="00023F05">
        <w:rPr>
          <w:rFonts w:ascii="Arial" w:hAnsi="Arial" w:cs="Arial"/>
          <w:sz w:val="24"/>
          <w:szCs w:val="24"/>
        </w:rPr>
        <w:t>1.10.14 un</w:t>
      </w:r>
      <w:r>
        <w:rPr>
          <w:rFonts w:ascii="Arial" w:hAnsi="Arial" w:cs="Arial"/>
          <w:sz w:val="24"/>
          <w:szCs w:val="24"/>
        </w:rPr>
        <w:t xml:space="preserve"> informe sobre la obtención por parte de la Intendencia de ese Departamento, de una línea de crédito  con  instituciones financieras por un monto de hasta 10:500.000 dólares, planteada al amparo de lo previsto por el Artículo 301 de la Constitución de la República. En el mismo se concluyó que se dio cumplimiento a lo establecido en la norma precitada, señalándose que otorgada la anuencia respectiva y culminado el procedimiento legal de contratación, el mismo debería ser sometido por la Intendencia actuante, junto con el contrato proyectado, o suscrito ad referéndum, a la intervención preventi</w:t>
      </w:r>
      <w:r w:rsidR="00AA0A37">
        <w:rPr>
          <w:rFonts w:ascii="Arial" w:hAnsi="Arial" w:cs="Arial"/>
          <w:sz w:val="24"/>
          <w:szCs w:val="24"/>
        </w:rPr>
        <w:t>va que compete a este Tribunal.</w:t>
      </w:r>
    </w:p>
    <w:p w:rsidR="009E3E57" w:rsidRPr="00B75F38" w:rsidRDefault="009E3E57" w:rsidP="00AA0A37">
      <w:pPr>
        <w:autoSpaceDE w:val="0"/>
        <w:autoSpaceDN w:val="0"/>
        <w:adjustRightInd w:val="0"/>
        <w:spacing w:after="0" w:line="360" w:lineRule="auto"/>
        <w:jc w:val="both"/>
        <w:rPr>
          <w:rFonts w:ascii="Arial" w:hAnsi="Arial" w:cs="Arial"/>
          <w:sz w:val="24"/>
          <w:szCs w:val="24"/>
          <w:highlight w:val="yellow"/>
        </w:rPr>
      </w:pPr>
      <w:r w:rsidRPr="00C02237">
        <w:rPr>
          <w:rFonts w:ascii="Arial" w:hAnsi="Arial" w:cs="Arial"/>
          <w:b/>
          <w:sz w:val="24"/>
          <w:szCs w:val="24"/>
        </w:rPr>
        <w:t>2.2</w:t>
      </w:r>
      <w:r>
        <w:rPr>
          <w:rFonts w:ascii="Arial" w:hAnsi="Arial" w:cs="Arial"/>
          <w:b/>
          <w:sz w:val="24"/>
          <w:szCs w:val="24"/>
        </w:rPr>
        <w:t xml:space="preserve">. </w:t>
      </w:r>
      <w:r>
        <w:rPr>
          <w:rFonts w:ascii="Arial" w:hAnsi="Arial" w:cs="Arial"/>
          <w:sz w:val="24"/>
          <w:szCs w:val="24"/>
        </w:rPr>
        <w:t xml:space="preserve">La Junta Departamental en sesión de fecha 16.12.14 adoptó la Resolución Nº 442/2014, por la cual concedió la anuencia solicitada por la Intendencia para suscribir líneas de crédito por el monto reseñado o su equivalente en moneda nacional o extranjera, cuyo único destino era la provisión de disponibilidades al Fideicomiso de Administración “Centro de Convenciones y Predio ferial de Punta del Este” por el Fideicomiso Financiero Inmobiliario de Maldonado, oficiando como financiación transitoria mientras no se transfirieran al mismo los fondos provenientes de la venta de terrenos. </w:t>
      </w:r>
      <w:r w:rsidRPr="006936D6">
        <w:rPr>
          <w:rFonts w:ascii="Arial" w:hAnsi="Arial" w:cs="Arial"/>
          <w:sz w:val="24"/>
          <w:szCs w:val="24"/>
        </w:rPr>
        <w:t>El plazo para la amortización de los créditos que se tomarían al amparo de esa anuencia no podría superar el 31/12/2017</w:t>
      </w:r>
      <w:r>
        <w:rPr>
          <w:rFonts w:ascii="Arial" w:hAnsi="Arial" w:cs="Arial"/>
          <w:sz w:val="24"/>
          <w:szCs w:val="24"/>
        </w:rPr>
        <w:t>.</w:t>
      </w:r>
    </w:p>
    <w:p w:rsidR="009E3E57" w:rsidRDefault="009E3E57" w:rsidP="00AA0A37">
      <w:pPr>
        <w:autoSpaceDE w:val="0"/>
        <w:autoSpaceDN w:val="0"/>
        <w:adjustRightInd w:val="0"/>
        <w:spacing w:after="0" w:line="360" w:lineRule="auto"/>
        <w:rPr>
          <w:rFonts w:ascii="Arial" w:hAnsi="Arial" w:cs="Arial"/>
          <w:b/>
          <w:bCs/>
          <w:sz w:val="24"/>
          <w:szCs w:val="24"/>
        </w:rPr>
      </w:pPr>
      <w:r w:rsidRPr="00B75F38">
        <w:rPr>
          <w:rFonts w:ascii="Arial" w:hAnsi="Arial" w:cs="Arial"/>
          <w:b/>
          <w:bCs/>
          <w:sz w:val="24"/>
          <w:szCs w:val="24"/>
        </w:rPr>
        <w:t>3) RESULTANCIAS DEL TR</w:t>
      </w:r>
      <w:r>
        <w:rPr>
          <w:rFonts w:ascii="Arial" w:hAnsi="Arial" w:cs="Arial"/>
          <w:b/>
          <w:bCs/>
          <w:sz w:val="24"/>
          <w:szCs w:val="24"/>
        </w:rPr>
        <w:t>Á</w:t>
      </w:r>
      <w:r w:rsidRPr="00B75F38">
        <w:rPr>
          <w:rFonts w:ascii="Arial" w:hAnsi="Arial" w:cs="Arial"/>
          <w:b/>
          <w:bCs/>
          <w:sz w:val="24"/>
          <w:szCs w:val="24"/>
        </w:rPr>
        <w:t>MITE</w:t>
      </w:r>
    </w:p>
    <w:p w:rsidR="009E3E57" w:rsidRDefault="009E3E57">
      <w:pPr>
        <w:autoSpaceDE w:val="0"/>
        <w:autoSpaceDN w:val="0"/>
        <w:adjustRightInd w:val="0"/>
        <w:spacing w:after="0" w:line="360" w:lineRule="auto"/>
        <w:ind w:left="2124" w:firstLine="708"/>
        <w:rPr>
          <w:rFonts w:ascii="Arial" w:hAnsi="Arial" w:cs="Arial"/>
          <w:b/>
          <w:bCs/>
          <w:sz w:val="24"/>
          <w:szCs w:val="24"/>
        </w:rPr>
      </w:pPr>
    </w:p>
    <w:p w:rsidR="009E3E57" w:rsidRDefault="009E3E57" w:rsidP="00AA0A37">
      <w:pPr>
        <w:autoSpaceDE w:val="0"/>
        <w:autoSpaceDN w:val="0"/>
        <w:adjustRightInd w:val="0"/>
        <w:spacing w:after="0" w:line="360" w:lineRule="auto"/>
        <w:jc w:val="both"/>
        <w:rPr>
          <w:rFonts w:ascii="Arial" w:hAnsi="Arial" w:cs="Arial"/>
          <w:bCs/>
          <w:sz w:val="24"/>
          <w:szCs w:val="24"/>
        </w:rPr>
      </w:pPr>
      <w:r>
        <w:rPr>
          <w:rFonts w:ascii="Arial" w:hAnsi="Arial" w:cs="Arial"/>
          <w:b/>
          <w:bCs/>
          <w:sz w:val="24"/>
          <w:szCs w:val="24"/>
        </w:rPr>
        <w:t xml:space="preserve">3.1 </w:t>
      </w:r>
      <w:r>
        <w:rPr>
          <w:rFonts w:ascii="Arial" w:hAnsi="Arial" w:cs="Arial"/>
          <w:bCs/>
          <w:sz w:val="24"/>
          <w:szCs w:val="24"/>
        </w:rPr>
        <w:t xml:space="preserve">Con fecha 28.06.16 el Intendente, por Resolución Nº 4480/2016, dispuso requerir autorización a la Junta Departamental a efectos de sustituir la línea de crédito aprobada por la ya citada Resolución Nº 442/2014 de ese Cuerpo. Las </w:t>
      </w:r>
      <w:r w:rsidR="00AA0A37">
        <w:rPr>
          <w:rFonts w:ascii="Arial" w:hAnsi="Arial" w:cs="Arial"/>
          <w:bCs/>
          <w:sz w:val="24"/>
          <w:szCs w:val="24"/>
        </w:rPr>
        <w:t>modificaciones consistirían en:</w:t>
      </w:r>
    </w:p>
    <w:p w:rsidR="009E3E57" w:rsidRDefault="009E3E57" w:rsidP="00AA0A37">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 xml:space="preserve">a) </w:t>
      </w:r>
      <w:proofErr w:type="gramStart"/>
      <w:r>
        <w:rPr>
          <w:rFonts w:ascii="Arial" w:hAnsi="Arial" w:cs="Arial"/>
          <w:bCs/>
          <w:sz w:val="24"/>
          <w:szCs w:val="24"/>
        </w:rPr>
        <w:t>un</w:t>
      </w:r>
      <w:proofErr w:type="gramEnd"/>
      <w:r>
        <w:rPr>
          <w:rFonts w:ascii="Arial" w:hAnsi="Arial" w:cs="Arial"/>
          <w:bCs/>
          <w:sz w:val="24"/>
          <w:szCs w:val="24"/>
        </w:rPr>
        <w:t xml:space="preserve"> monto máximo previsto por el Artículo 17 de la Ley 18.718 (Carta Orgánica del Banco de la República Oriental del Uruguay) que equivale a                      UI 169:899.639 y b) extender el pl</w:t>
      </w:r>
      <w:r w:rsidR="008A6FFC">
        <w:rPr>
          <w:rFonts w:ascii="Arial" w:hAnsi="Arial" w:cs="Arial"/>
          <w:bCs/>
          <w:sz w:val="24"/>
          <w:szCs w:val="24"/>
        </w:rPr>
        <w:t>azo de vencimiento al 30.06.20.</w:t>
      </w:r>
    </w:p>
    <w:p w:rsidR="009E3E57" w:rsidRDefault="009E3E57" w:rsidP="00AA0A37">
      <w:pPr>
        <w:autoSpaceDE w:val="0"/>
        <w:autoSpaceDN w:val="0"/>
        <w:adjustRightInd w:val="0"/>
        <w:spacing w:after="0" w:line="360" w:lineRule="auto"/>
        <w:jc w:val="both"/>
        <w:rPr>
          <w:rFonts w:ascii="Arial" w:hAnsi="Arial" w:cs="Arial"/>
          <w:bCs/>
          <w:sz w:val="24"/>
          <w:szCs w:val="24"/>
        </w:rPr>
      </w:pPr>
      <w:r w:rsidRPr="007D3171">
        <w:rPr>
          <w:rFonts w:ascii="Arial" w:hAnsi="Arial" w:cs="Arial"/>
          <w:b/>
          <w:bCs/>
          <w:sz w:val="24"/>
          <w:szCs w:val="24"/>
        </w:rPr>
        <w:t>3.2</w:t>
      </w:r>
      <w:r>
        <w:rPr>
          <w:rFonts w:ascii="Arial" w:hAnsi="Arial" w:cs="Arial"/>
          <w:b/>
          <w:bCs/>
          <w:sz w:val="24"/>
          <w:szCs w:val="24"/>
        </w:rPr>
        <w:t xml:space="preserve"> </w:t>
      </w:r>
      <w:r>
        <w:rPr>
          <w:rFonts w:ascii="Arial" w:hAnsi="Arial" w:cs="Arial"/>
          <w:bCs/>
          <w:sz w:val="24"/>
          <w:szCs w:val="24"/>
        </w:rPr>
        <w:t>La Mesa de la Junta Departamental dispuso el día 28.06.16, remitir las actuaciones a este Tribunal, de acuerdo con lo establecido en el Artículo 301 de la Constitución de la República.</w:t>
      </w:r>
    </w:p>
    <w:p w:rsidR="009E3E57" w:rsidRPr="007D3171" w:rsidRDefault="009E3E57" w:rsidP="00AA0A37">
      <w:pPr>
        <w:autoSpaceDE w:val="0"/>
        <w:autoSpaceDN w:val="0"/>
        <w:adjustRightInd w:val="0"/>
        <w:spacing w:after="0" w:line="360" w:lineRule="auto"/>
        <w:jc w:val="both"/>
        <w:rPr>
          <w:rFonts w:ascii="Arial" w:hAnsi="Arial" w:cs="Arial"/>
          <w:sz w:val="24"/>
          <w:szCs w:val="24"/>
        </w:rPr>
      </w:pPr>
    </w:p>
    <w:p w:rsidR="009E3E57" w:rsidRDefault="009E3E57" w:rsidP="00AA0A37">
      <w:pPr>
        <w:autoSpaceDE w:val="0"/>
        <w:autoSpaceDN w:val="0"/>
        <w:adjustRightInd w:val="0"/>
        <w:spacing w:after="0" w:line="360" w:lineRule="auto"/>
        <w:rPr>
          <w:rFonts w:ascii="Arial" w:hAnsi="Arial" w:cs="Arial"/>
          <w:b/>
          <w:bCs/>
          <w:sz w:val="24"/>
          <w:szCs w:val="24"/>
        </w:rPr>
      </w:pPr>
      <w:r>
        <w:rPr>
          <w:rFonts w:ascii="Arial" w:hAnsi="Arial" w:cs="Arial"/>
          <w:b/>
          <w:bCs/>
          <w:sz w:val="24"/>
          <w:szCs w:val="24"/>
        </w:rPr>
        <w:t>4) SITUACIÓN FINANCIERA</w:t>
      </w:r>
    </w:p>
    <w:p w:rsidR="009E3E57" w:rsidRPr="001940AB" w:rsidRDefault="009E3E57" w:rsidP="00AA0A37">
      <w:pPr>
        <w:autoSpaceDE w:val="0"/>
        <w:autoSpaceDN w:val="0"/>
        <w:adjustRightInd w:val="0"/>
        <w:spacing w:line="360" w:lineRule="auto"/>
        <w:ind w:firstLine="720"/>
        <w:jc w:val="both"/>
        <w:rPr>
          <w:rFonts w:ascii="Arial" w:hAnsi="Arial" w:cs="Arial"/>
          <w:color w:val="000000"/>
          <w:sz w:val="24"/>
          <w:szCs w:val="24"/>
        </w:rPr>
      </w:pPr>
      <w:r w:rsidRPr="001940AB">
        <w:rPr>
          <w:rFonts w:ascii="Arial" w:hAnsi="Arial" w:cs="Arial"/>
          <w:color w:val="000000"/>
          <w:sz w:val="24"/>
          <w:szCs w:val="24"/>
        </w:rPr>
        <w:t xml:space="preserve">De acuerdo a las Rendiciones de Cuentas presentadas por la Intendencia correspondientes a los </w:t>
      </w:r>
      <w:r>
        <w:rPr>
          <w:rFonts w:ascii="Arial" w:hAnsi="Arial" w:cs="Arial"/>
          <w:color w:val="000000"/>
          <w:sz w:val="24"/>
          <w:szCs w:val="24"/>
        </w:rPr>
        <w:t>E</w:t>
      </w:r>
      <w:r w:rsidRPr="001940AB">
        <w:rPr>
          <w:rFonts w:ascii="Arial" w:hAnsi="Arial" w:cs="Arial"/>
          <w:color w:val="000000"/>
          <w:sz w:val="24"/>
          <w:szCs w:val="24"/>
        </w:rPr>
        <w:t>jercicios 2010 a 201</w:t>
      </w:r>
      <w:r>
        <w:rPr>
          <w:rFonts w:ascii="Arial" w:hAnsi="Arial" w:cs="Arial"/>
          <w:color w:val="000000"/>
          <w:sz w:val="24"/>
          <w:szCs w:val="24"/>
        </w:rPr>
        <w:t>5</w:t>
      </w:r>
      <w:r w:rsidRPr="001940AB">
        <w:rPr>
          <w:rFonts w:ascii="Arial" w:hAnsi="Arial" w:cs="Arial"/>
          <w:color w:val="000000"/>
          <w:sz w:val="24"/>
          <w:szCs w:val="24"/>
        </w:rPr>
        <w:t xml:space="preserve">, </w:t>
      </w:r>
      <w:r>
        <w:rPr>
          <w:rFonts w:ascii="Arial" w:hAnsi="Arial" w:cs="Arial"/>
          <w:color w:val="000000"/>
          <w:sz w:val="24"/>
          <w:szCs w:val="24"/>
        </w:rPr>
        <w:t>e</w:t>
      </w:r>
      <w:r w:rsidRPr="001940AB">
        <w:rPr>
          <w:rFonts w:ascii="Arial" w:hAnsi="Arial" w:cs="Arial"/>
          <w:color w:val="000000"/>
          <w:sz w:val="24"/>
          <w:szCs w:val="24"/>
        </w:rPr>
        <w:t>sta presenta una situación financiera que se resume de la siguiente forma (expresad</w:t>
      </w:r>
      <w:r>
        <w:rPr>
          <w:rFonts w:ascii="Arial" w:hAnsi="Arial" w:cs="Arial"/>
          <w:color w:val="000000"/>
          <w:sz w:val="24"/>
          <w:szCs w:val="24"/>
        </w:rPr>
        <w:t>a en miles de pesos uruguayos):</w:t>
      </w:r>
    </w:p>
    <w:tbl>
      <w:tblPr>
        <w:tblW w:w="7088" w:type="dxa"/>
        <w:tblInd w:w="712" w:type="dxa"/>
        <w:tblCellMar>
          <w:left w:w="70" w:type="dxa"/>
          <w:right w:w="70" w:type="dxa"/>
        </w:tblCellMar>
        <w:tblLook w:val="04A0" w:firstRow="1" w:lastRow="0" w:firstColumn="1" w:lastColumn="0" w:noHBand="0" w:noVBand="1"/>
      </w:tblPr>
      <w:tblGrid>
        <w:gridCol w:w="1276"/>
        <w:gridCol w:w="1843"/>
        <w:gridCol w:w="1940"/>
        <w:gridCol w:w="2029"/>
      </w:tblGrid>
      <w:tr w:rsidR="009E3E57" w:rsidRPr="00A73E9A" w:rsidTr="00AA0A37">
        <w:trPr>
          <w:trHeight w:val="300"/>
        </w:trPr>
        <w:tc>
          <w:tcPr>
            <w:tcW w:w="1276" w:type="dxa"/>
            <w:tcBorders>
              <w:top w:val="single" w:sz="8" w:space="0" w:color="auto"/>
              <w:left w:val="single" w:sz="4" w:space="0" w:color="auto"/>
              <w:bottom w:val="nil"/>
              <w:right w:val="single" w:sz="4" w:space="0" w:color="auto"/>
            </w:tcBorders>
            <w:shd w:val="clear" w:color="auto" w:fill="auto"/>
            <w:noWrap/>
            <w:vAlign w:val="bottom"/>
            <w:hideMark/>
          </w:tcPr>
          <w:p w:rsidR="009E3E57" w:rsidRPr="00A73E9A" w:rsidRDefault="009E3E57" w:rsidP="00AA0A37">
            <w:pPr>
              <w:widowControl w:val="0"/>
              <w:spacing w:after="0" w:line="240" w:lineRule="auto"/>
              <w:jc w:val="center"/>
              <w:rPr>
                <w:rFonts w:ascii="Arial" w:hAnsi="Arial" w:cs="Arial"/>
                <w:b/>
                <w:bCs/>
                <w:snapToGrid w:val="0"/>
                <w:color w:val="000000"/>
                <w:sz w:val="24"/>
                <w:szCs w:val="20"/>
                <w:lang w:eastAsia="es-ES"/>
              </w:rPr>
            </w:pPr>
          </w:p>
        </w:tc>
        <w:tc>
          <w:tcPr>
            <w:tcW w:w="1843" w:type="dxa"/>
            <w:tcBorders>
              <w:top w:val="single" w:sz="8" w:space="0" w:color="auto"/>
              <w:left w:val="single" w:sz="4" w:space="0" w:color="auto"/>
              <w:bottom w:val="nil"/>
              <w:right w:val="single" w:sz="4" w:space="0" w:color="auto"/>
            </w:tcBorders>
            <w:shd w:val="clear" w:color="auto" w:fill="auto"/>
            <w:noWrap/>
            <w:vAlign w:val="bottom"/>
            <w:hideMark/>
          </w:tcPr>
          <w:p w:rsidR="009E3E57" w:rsidRPr="00A73E9A" w:rsidRDefault="009E3E57" w:rsidP="00AA0A37">
            <w:pPr>
              <w:widowControl w:val="0"/>
              <w:spacing w:after="0" w:line="240" w:lineRule="auto"/>
              <w:jc w:val="center"/>
              <w:rPr>
                <w:rFonts w:ascii="Arial" w:hAnsi="Arial" w:cs="Arial"/>
                <w:b/>
                <w:bCs/>
                <w:snapToGrid w:val="0"/>
                <w:color w:val="000000"/>
                <w:sz w:val="24"/>
                <w:szCs w:val="20"/>
                <w:lang w:eastAsia="es-ES"/>
              </w:rPr>
            </w:pPr>
            <w:r w:rsidRPr="00A73E9A">
              <w:rPr>
                <w:rFonts w:ascii="Arial" w:hAnsi="Arial" w:cs="Arial"/>
                <w:b/>
                <w:bCs/>
                <w:snapToGrid w:val="0"/>
                <w:color w:val="000000"/>
                <w:sz w:val="24"/>
                <w:szCs w:val="20"/>
                <w:lang w:eastAsia="es-ES"/>
              </w:rPr>
              <w:t>DEFICIT</w:t>
            </w:r>
          </w:p>
        </w:tc>
        <w:tc>
          <w:tcPr>
            <w:tcW w:w="1940" w:type="dxa"/>
            <w:tcBorders>
              <w:top w:val="single" w:sz="8" w:space="0" w:color="auto"/>
              <w:left w:val="single" w:sz="4" w:space="0" w:color="auto"/>
              <w:bottom w:val="nil"/>
              <w:right w:val="single" w:sz="4" w:space="0" w:color="auto"/>
            </w:tcBorders>
            <w:shd w:val="clear" w:color="auto" w:fill="auto"/>
            <w:noWrap/>
            <w:vAlign w:val="bottom"/>
            <w:hideMark/>
          </w:tcPr>
          <w:p w:rsidR="009E3E57" w:rsidRPr="00A73E9A" w:rsidRDefault="009E3E57" w:rsidP="00AA0A37">
            <w:pPr>
              <w:widowControl w:val="0"/>
              <w:spacing w:after="0" w:line="240" w:lineRule="auto"/>
              <w:jc w:val="center"/>
              <w:rPr>
                <w:rFonts w:ascii="Arial" w:hAnsi="Arial" w:cs="Arial"/>
                <w:b/>
                <w:bCs/>
                <w:snapToGrid w:val="0"/>
                <w:color w:val="000000"/>
                <w:sz w:val="24"/>
                <w:szCs w:val="20"/>
                <w:lang w:eastAsia="es-ES"/>
              </w:rPr>
            </w:pPr>
          </w:p>
        </w:tc>
        <w:tc>
          <w:tcPr>
            <w:tcW w:w="2029" w:type="dxa"/>
            <w:tcBorders>
              <w:top w:val="single" w:sz="8" w:space="0" w:color="auto"/>
              <w:left w:val="single" w:sz="4" w:space="0" w:color="auto"/>
              <w:bottom w:val="nil"/>
              <w:right w:val="single" w:sz="4" w:space="0" w:color="auto"/>
            </w:tcBorders>
            <w:shd w:val="clear" w:color="auto" w:fill="auto"/>
            <w:noWrap/>
            <w:vAlign w:val="bottom"/>
            <w:hideMark/>
          </w:tcPr>
          <w:p w:rsidR="009E3E57" w:rsidRPr="00A73E9A" w:rsidRDefault="009E3E57" w:rsidP="00AA0A37">
            <w:pPr>
              <w:widowControl w:val="0"/>
              <w:spacing w:after="0" w:line="240" w:lineRule="auto"/>
              <w:jc w:val="center"/>
              <w:rPr>
                <w:rFonts w:ascii="Arial" w:hAnsi="Arial" w:cs="Arial"/>
                <w:b/>
                <w:bCs/>
                <w:snapToGrid w:val="0"/>
                <w:color w:val="000000"/>
                <w:sz w:val="24"/>
                <w:szCs w:val="20"/>
                <w:lang w:eastAsia="es-ES"/>
              </w:rPr>
            </w:pPr>
          </w:p>
        </w:tc>
      </w:tr>
      <w:tr w:rsidR="009E3E57" w:rsidRPr="00A73E9A" w:rsidTr="00AA0A37">
        <w:trPr>
          <w:trHeight w:val="315"/>
        </w:trPr>
        <w:tc>
          <w:tcPr>
            <w:tcW w:w="1276" w:type="dxa"/>
            <w:tcBorders>
              <w:top w:val="nil"/>
              <w:left w:val="single" w:sz="4" w:space="0" w:color="auto"/>
              <w:bottom w:val="single" w:sz="8" w:space="0" w:color="auto"/>
              <w:right w:val="single" w:sz="4" w:space="0" w:color="auto"/>
            </w:tcBorders>
            <w:shd w:val="clear" w:color="auto" w:fill="auto"/>
            <w:noWrap/>
            <w:vAlign w:val="bottom"/>
            <w:hideMark/>
          </w:tcPr>
          <w:p w:rsidR="009E3E57" w:rsidRPr="00A73E9A" w:rsidRDefault="009E3E57" w:rsidP="00AA0A37">
            <w:pPr>
              <w:widowControl w:val="0"/>
              <w:spacing w:after="0" w:line="240" w:lineRule="auto"/>
              <w:jc w:val="center"/>
              <w:rPr>
                <w:rFonts w:ascii="Arial" w:hAnsi="Arial" w:cs="Arial"/>
                <w:b/>
                <w:bCs/>
                <w:snapToGrid w:val="0"/>
                <w:color w:val="000000"/>
                <w:sz w:val="24"/>
                <w:szCs w:val="20"/>
                <w:lang w:eastAsia="es-ES"/>
              </w:rPr>
            </w:pPr>
            <w:r w:rsidRPr="00A73E9A">
              <w:rPr>
                <w:rFonts w:ascii="Arial" w:hAnsi="Arial" w:cs="Arial"/>
                <w:b/>
                <w:bCs/>
                <w:snapToGrid w:val="0"/>
                <w:color w:val="000000"/>
                <w:sz w:val="24"/>
                <w:szCs w:val="20"/>
                <w:lang w:eastAsia="es-ES"/>
              </w:rPr>
              <w:t>AÑO</w:t>
            </w:r>
          </w:p>
        </w:tc>
        <w:tc>
          <w:tcPr>
            <w:tcW w:w="1843" w:type="dxa"/>
            <w:tcBorders>
              <w:top w:val="nil"/>
              <w:left w:val="single" w:sz="4" w:space="0" w:color="auto"/>
              <w:bottom w:val="single" w:sz="8" w:space="0" w:color="auto"/>
              <w:right w:val="single" w:sz="4" w:space="0" w:color="auto"/>
            </w:tcBorders>
            <w:shd w:val="clear" w:color="auto" w:fill="auto"/>
            <w:noWrap/>
            <w:vAlign w:val="bottom"/>
            <w:hideMark/>
          </w:tcPr>
          <w:p w:rsidR="009E3E57" w:rsidRPr="00A73E9A" w:rsidRDefault="009E3E57" w:rsidP="00AA0A37">
            <w:pPr>
              <w:widowControl w:val="0"/>
              <w:spacing w:after="0" w:line="240" w:lineRule="auto"/>
              <w:jc w:val="center"/>
              <w:rPr>
                <w:rFonts w:ascii="Arial" w:hAnsi="Arial" w:cs="Arial"/>
                <w:b/>
                <w:bCs/>
                <w:snapToGrid w:val="0"/>
                <w:color w:val="000000"/>
                <w:sz w:val="24"/>
                <w:szCs w:val="20"/>
                <w:lang w:eastAsia="es-ES"/>
              </w:rPr>
            </w:pPr>
            <w:r w:rsidRPr="00A73E9A">
              <w:rPr>
                <w:rFonts w:ascii="Arial" w:hAnsi="Arial" w:cs="Arial"/>
                <w:b/>
                <w:bCs/>
                <w:snapToGrid w:val="0"/>
                <w:color w:val="000000"/>
                <w:sz w:val="24"/>
                <w:szCs w:val="20"/>
                <w:lang w:eastAsia="es-ES"/>
              </w:rPr>
              <w:t>ACUMULADO</w:t>
            </w:r>
          </w:p>
        </w:tc>
        <w:tc>
          <w:tcPr>
            <w:tcW w:w="1940" w:type="dxa"/>
            <w:tcBorders>
              <w:top w:val="nil"/>
              <w:left w:val="single" w:sz="4" w:space="0" w:color="auto"/>
              <w:bottom w:val="single" w:sz="8" w:space="0" w:color="auto"/>
              <w:right w:val="single" w:sz="4" w:space="0" w:color="auto"/>
            </w:tcBorders>
            <w:shd w:val="clear" w:color="auto" w:fill="auto"/>
            <w:noWrap/>
            <w:vAlign w:val="bottom"/>
            <w:hideMark/>
          </w:tcPr>
          <w:p w:rsidR="009E3E57" w:rsidRPr="00A73E9A" w:rsidRDefault="009E3E57" w:rsidP="00AA0A37">
            <w:pPr>
              <w:widowControl w:val="0"/>
              <w:spacing w:after="0" w:line="240" w:lineRule="auto"/>
              <w:jc w:val="center"/>
              <w:rPr>
                <w:rFonts w:ascii="Arial" w:hAnsi="Arial" w:cs="Arial"/>
                <w:b/>
                <w:bCs/>
                <w:snapToGrid w:val="0"/>
                <w:color w:val="000000"/>
                <w:sz w:val="24"/>
                <w:szCs w:val="20"/>
                <w:lang w:eastAsia="es-ES"/>
              </w:rPr>
            </w:pPr>
            <w:r w:rsidRPr="00A73E9A">
              <w:rPr>
                <w:rFonts w:ascii="Arial" w:hAnsi="Arial" w:cs="Arial"/>
                <w:b/>
                <w:bCs/>
                <w:snapToGrid w:val="0"/>
                <w:color w:val="000000"/>
                <w:sz w:val="24"/>
                <w:szCs w:val="20"/>
                <w:lang w:eastAsia="es-ES"/>
              </w:rPr>
              <w:t>RECAUDACION</w:t>
            </w:r>
          </w:p>
        </w:tc>
        <w:tc>
          <w:tcPr>
            <w:tcW w:w="2029" w:type="dxa"/>
            <w:tcBorders>
              <w:top w:val="nil"/>
              <w:left w:val="single" w:sz="4" w:space="0" w:color="auto"/>
              <w:bottom w:val="single" w:sz="8" w:space="0" w:color="auto"/>
              <w:right w:val="single" w:sz="4" w:space="0" w:color="auto"/>
            </w:tcBorders>
            <w:shd w:val="clear" w:color="auto" w:fill="auto"/>
            <w:noWrap/>
            <w:vAlign w:val="bottom"/>
            <w:hideMark/>
          </w:tcPr>
          <w:p w:rsidR="009E3E57" w:rsidRPr="00A73E9A" w:rsidRDefault="009E3E57" w:rsidP="00AA0A37">
            <w:pPr>
              <w:widowControl w:val="0"/>
              <w:spacing w:after="0" w:line="240" w:lineRule="auto"/>
              <w:jc w:val="center"/>
              <w:rPr>
                <w:rFonts w:ascii="Arial" w:hAnsi="Arial" w:cs="Arial"/>
                <w:b/>
                <w:bCs/>
                <w:snapToGrid w:val="0"/>
                <w:color w:val="000000"/>
                <w:sz w:val="24"/>
                <w:szCs w:val="20"/>
                <w:lang w:eastAsia="es-ES"/>
              </w:rPr>
            </w:pPr>
            <w:r w:rsidRPr="00A73E9A">
              <w:rPr>
                <w:rFonts w:ascii="Arial" w:hAnsi="Arial" w:cs="Arial"/>
                <w:b/>
                <w:bCs/>
                <w:snapToGrid w:val="0"/>
                <w:color w:val="000000"/>
                <w:sz w:val="24"/>
                <w:szCs w:val="20"/>
                <w:lang w:eastAsia="es-ES"/>
              </w:rPr>
              <w:t>DEF.AC./ REC</w:t>
            </w:r>
          </w:p>
        </w:tc>
      </w:tr>
      <w:tr w:rsidR="009E3E57" w:rsidRPr="00A73E9A" w:rsidTr="00AA0A3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2010</w:t>
            </w:r>
          </w:p>
        </w:tc>
        <w:tc>
          <w:tcPr>
            <w:tcW w:w="1843" w:type="dxa"/>
            <w:tcBorders>
              <w:top w:val="nil"/>
              <w:left w:val="nil"/>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1:007.149</w:t>
            </w:r>
          </w:p>
        </w:tc>
        <w:tc>
          <w:tcPr>
            <w:tcW w:w="1940" w:type="dxa"/>
            <w:tcBorders>
              <w:top w:val="nil"/>
              <w:left w:val="nil"/>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2:765.171</w:t>
            </w:r>
          </w:p>
        </w:tc>
        <w:tc>
          <w:tcPr>
            <w:tcW w:w="2029" w:type="dxa"/>
            <w:tcBorders>
              <w:top w:val="nil"/>
              <w:left w:val="nil"/>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36,42%</w:t>
            </w:r>
          </w:p>
        </w:tc>
      </w:tr>
      <w:tr w:rsidR="009E3E57" w:rsidRPr="00A73E9A" w:rsidTr="00AA0A3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2011</w:t>
            </w:r>
          </w:p>
        </w:tc>
        <w:tc>
          <w:tcPr>
            <w:tcW w:w="1843" w:type="dxa"/>
            <w:tcBorders>
              <w:top w:val="nil"/>
              <w:left w:val="nil"/>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 xml:space="preserve">   923.319</w:t>
            </w:r>
          </w:p>
        </w:tc>
        <w:tc>
          <w:tcPr>
            <w:tcW w:w="1940" w:type="dxa"/>
            <w:tcBorders>
              <w:top w:val="nil"/>
              <w:left w:val="nil"/>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2:671.030</w:t>
            </w:r>
          </w:p>
        </w:tc>
        <w:tc>
          <w:tcPr>
            <w:tcW w:w="2029" w:type="dxa"/>
            <w:tcBorders>
              <w:top w:val="nil"/>
              <w:left w:val="nil"/>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31,08%</w:t>
            </w:r>
          </w:p>
        </w:tc>
      </w:tr>
      <w:tr w:rsidR="009E3E57" w:rsidRPr="00A73E9A" w:rsidTr="00AA0A37">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2012</w:t>
            </w:r>
          </w:p>
        </w:tc>
        <w:tc>
          <w:tcPr>
            <w:tcW w:w="1843" w:type="dxa"/>
            <w:tcBorders>
              <w:top w:val="nil"/>
              <w:left w:val="nil"/>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 xml:space="preserve">   549.077</w:t>
            </w:r>
          </w:p>
        </w:tc>
        <w:tc>
          <w:tcPr>
            <w:tcW w:w="1940" w:type="dxa"/>
            <w:tcBorders>
              <w:top w:val="nil"/>
              <w:left w:val="nil"/>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3:383.766</w:t>
            </w:r>
          </w:p>
        </w:tc>
        <w:tc>
          <w:tcPr>
            <w:tcW w:w="2029" w:type="dxa"/>
            <w:tcBorders>
              <w:top w:val="nil"/>
              <w:left w:val="nil"/>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16,23%</w:t>
            </w:r>
          </w:p>
        </w:tc>
      </w:tr>
      <w:tr w:rsidR="009E3E57" w:rsidRPr="00A73E9A" w:rsidTr="00AA0A37">
        <w:trPr>
          <w:trHeight w:val="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2013</w:t>
            </w:r>
          </w:p>
        </w:tc>
        <w:tc>
          <w:tcPr>
            <w:tcW w:w="1843" w:type="dxa"/>
            <w:tcBorders>
              <w:top w:val="nil"/>
              <w:left w:val="nil"/>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 xml:space="preserve">   606.601</w:t>
            </w:r>
          </w:p>
        </w:tc>
        <w:tc>
          <w:tcPr>
            <w:tcW w:w="1940" w:type="dxa"/>
            <w:tcBorders>
              <w:top w:val="nil"/>
              <w:left w:val="nil"/>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3:902.319</w:t>
            </w:r>
          </w:p>
        </w:tc>
        <w:tc>
          <w:tcPr>
            <w:tcW w:w="2029" w:type="dxa"/>
            <w:tcBorders>
              <w:top w:val="nil"/>
              <w:left w:val="nil"/>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15,54%</w:t>
            </w:r>
          </w:p>
        </w:tc>
      </w:tr>
      <w:tr w:rsidR="009E3E57" w:rsidRPr="00A73E9A" w:rsidTr="00AA0A37">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2014</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1:095.889</w:t>
            </w:r>
          </w:p>
        </w:tc>
        <w:tc>
          <w:tcPr>
            <w:tcW w:w="1940" w:type="dxa"/>
            <w:tcBorders>
              <w:top w:val="single" w:sz="4" w:space="0" w:color="auto"/>
              <w:left w:val="nil"/>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3:401.428</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32,22%</w:t>
            </w:r>
          </w:p>
        </w:tc>
      </w:tr>
      <w:tr w:rsidR="009E3E57" w:rsidRPr="00A73E9A" w:rsidTr="00AA0A37">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Pr>
                <w:rFonts w:ascii="Arial" w:hAnsi="Arial" w:cs="Arial"/>
                <w:snapToGrid w:val="0"/>
                <w:color w:val="000000"/>
                <w:sz w:val="24"/>
                <w:szCs w:val="20"/>
                <w:lang w:eastAsia="es-ES"/>
              </w:rPr>
              <w:t>2015</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Pr>
                <w:rFonts w:ascii="Arial" w:hAnsi="Arial" w:cs="Arial"/>
                <w:snapToGrid w:val="0"/>
                <w:color w:val="000000"/>
                <w:sz w:val="24"/>
                <w:szCs w:val="20"/>
                <w:lang w:eastAsia="es-ES"/>
              </w:rPr>
              <w:t>1:450.018</w:t>
            </w:r>
          </w:p>
        </w:tc>
        <w:tc>
          <w:tcPr>
            <w:tcW w:w="1940" w:type="dxa"/>
            <w:tcBorders>
              <w:top w:val="single" w:sz="4" w:space="0" w:color="auto"/>
              <w:left w:val="nil"/>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Pr>
                <w:rFonts w:ascii="Arial" w:hAnsi="Arial" w:cs="Arial"/>
                <w:snapToGrid w:val="0"/>
                <w:color w:val="000000"/>
                <w:sz w:val="24"/>
                <w:szCs w:val="20"/>
                <w:lang w:eastAsia="es-ES"/>
              </w:rPr>
              <w:t>4:747.202</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9E3E57" w:rsidRPr="00A73E9A" w:rsidRDefault="009E3E57" w:rsidP="00AA0A37">
            <w:pPr>
              <w:widowControl w:val="0"/>
              <w:spacing w:after="0" w:line="240" w:lineRule="auto"/>
              <w:jc w:val="center"/>
              <w:rPr>
                <w:rFonts w:ascii="Arial" w:hAnsi="Arial" w:cs="Arial"/>
                <w:snapToGrid w:val="0"/>
                <w:color w:val="000000"/>
                <w:sz w:val="24"/>
                <w:szCs w:val="20"/>
                <w:lang w:eastAsia="es-ES"/>
              </w:rPr>
            </w:pPr>
            <w:r>
              <w:rPr>
                <w:rFonts w:ascii="Arial" w:hAnsi="Arial" w:cs="Arial"/>
                <w:snapToGrid w:val="0"/>
                <w:color w:val="000000"/>
                <w:sz w:val="24"/>
                <w:szCs w:val="20"/>
                <w:lang w:eastAsia="es-ES"/>
              </w:rPr>
              <w:t>30,54%</w:t>
            </w:r>
          </w:p>
        </w:tc>
      </w:tr>
    </w:tbl>
    <w:p w:rsidR="009E3E57" w:rsidRDefault="009E3E57" w:rsidP="00AA0A37">
      <w:pPr>
        <w:suppressAutoHyphens/>
        <w:spacing w:line="360" w:lineRule="auto"/>
        <w:jc w:val="both"/>
        <w:rPr>
          <w:rFonts w:ascii="Arial" w:hAnsi="Arial" w:cs="Arial"/>
          <w:color w:val="000000"/>
          <w:sz w:val="24"/>
          <w:szCs w:val="24"/>
        </w:rPr>
      </w:pPr>
    </w:p>
    <w:p w:rsidR="009E3E57" w:rsidRPr="002020F5" w:rsidRDefault="009E3E57" w:rsidP="00AA0A37">
      <w:pPr>
        <w:suppressAutoHyphens/>
        <w:spacing w:line="360" w:lineRule="auto"/>
        <w:jc w:val="both"/>
        <w:rPr>
          <w:rFonts w:ascii="Arial" w:hAnsi="Arial" w:cs="Arial"/>
          <w:color w:val="000000"/>
          <w:sz w:val="24"/>
          <w:szCs w:val="24"/>
        </w:rPr>
      </w:pPr>
      <w:r w:rsidRPr="002020F5">
        <w:rPr>
          <w:rFonts w:ascii="Arial" w:hAnsi="Arial" w:cs="Arial"/>
          <w:color w:val="000000"/>
          <w:sz w:val="24"/>
          <w:szCs w:val="24"/>
        </w:rPr>
        <w:t xml:space="preserve">Se deja constancia que, respecto a la Rendición de Cuentas correspondiente al </w:t>
      </w:r>
      <w:r>
        <w:rPr>
          <w:rFonts w:ascii="Arial" w:hAnsi="Arial" w:cs="Arial"/>
          <w:color w:val="000000"/>
          <w:sz w:val="24"/>
          <w:szCs w:val="24"/>
        </w:rPr>
        <w:t>E</w:t>
      </w:r>
      <w:r w:rsidRPr="002020F5">
        <w:rPr>
          <w:rFonts w:ascii="Arial" w:hAnsi="Arial" w:cs="Arial"/>
          <w:color w:val="000000"/>
          <w:sz w:val="24"/>
          <w:szCs w:val="24"/>
        </w:rPr>
        <w:t>jercicio 201</w:t>
      </w:r>
      <w:r>
        <w:rPr>
          <w:rFonts w:ascii="Arial" w:hAnsi="Arial" w:cs="Arial"/>
          <w:color w:val="000000"/>
          <w:sz w:val="24"/>
          <w:szCs w:val="24"/>
        </w:rPr>
        <w:t>5</w:t>
      </w:r>
      <w:r w:rsidRPr="002020F5">
        <w:rPr>
          <w:rFonts w:ascii="Arial" w:hAnsi="Arial" w:cs="Arial"/>
          <w:color w:val="000000"/>
          <w:sz w:val="24"/>
          <w:szCs w:val="24"/>
        </w:rPr>
        <w:t>, el Tribunal aún no emitió opinión, resultando los importes expuestos precedentemente del documen</w:t>
      </w:r>
      <w:r w:rsidR="00AA0A37">
        <w:rPr>
          <w:rFonts w:ascii="Arial" w:hAnsi="Arial" w:cs="Arial"/>
          <w:color w:val="000000"/>
          <w:sz w:val="24"/>
          <w:szCs w:val="24"/>
        </w:rPr>
        <w:t>to remitido por la Intendencia.</w:t>
      </w:r>
    </w:p>
    <w:p w:rsidR="009E3E57" w:rsidRDefault="009E3E57" w:rsidP="00AA0A37">
      <w:pPr>
        <w:pStyle w:val="Textoindependiente"/>
        <w:shd w:val="clear" w:color="auto" w:fill="FFFFFF"/>
        <w:spacing w:line="360" w:lineRule="auto"/>
      </w:pPr>
      <w:r>
        <w:t>Corresponde expresar lo siguiente:</w:t>
      </w:r>
    </w:p>
    <w:p w:rsidR="009E3E57" w:rsidRDefault="009E3E57" w:rsidP="00AA0A37">
      <w:pPr>
        <w:pStyle w:val="Textoindependiente"/>
        <w:shd w:val="clear" w:color="auto" w:fill="FFFFFF"/>
        <w:spacing w:line="360" w:lineRule="auto"/>
      </w:pPr>
    </w:p>
    <w:p w:rsidR="009E3E57" w:rsidRDefault="009E3E57" w:rsidP="00AA0A37">
      <w:pPr>
        <w:pStyle w:val="Textoindependiente"/>
        <w:shd w:val="clear" w:color="auto" w:fill="FFFFFF"/>
        <w:spacing w:line="360" w:lineRule="auto"/>
        <w:rPr>
          <w:bCs/>
        </w:rPr>
      </w:pPr>
      <w:r w:rsidRPr="002036D7">
        <w:rPr>
          <w:b/>
        </w:rPr>
        <w:t>4.1)</w:t>
      </w:r>
      <w:r>
        <w:t xml:space="preserve"> En la instancia del Presupuesto Quinquenal 2016-2020, la Intendencia proporcionó información en la cual se proyectaba un superávit quinquenal que se destinaría al pago de intereses y amortización de deuda por un total de                              $ 1.417:350.000. Dichos pagos no fueron previstos en el objeto correspondiente. </w:t>
      </w:r>
      <w:r>
        <w:rPr>
          <w:bCs/>
        </w:rPr>
        <w:t>No obstante, en el Anexo 2 de dicho proyecto se establecía un superávit el cual se destinaba a  los conceptos “intereses” y “amortización deuda”.</w:t>
      </w:r>
    </w:p>
    <w:p w:rsidR="009E3E57" w:rsidRDefault="009E3E57" w:rsidP="00AA0A37">
      <w:pPr>
        <w:pStyle w:val="Textoindependiente"/>
        <w:shd w:val="clear" w:color="auto" w:fill="FFFFFF"/>
        <w:spacing w:line="360" w:lineRule="auto"/>
      </w:pPr>
      <w:r w:rsidRPr="002036D7">
        <w:rPr>
          <w:b/>
        </w:rPr>
        <w:t>4.2)</w:t>
      </w:r>
      <w:r>
        <w:t xml:space="preserve">  El resumen del mencionado presupuesto es el siguiente:</w:t>
      </w:r>
    </w:p>
    <w:tbl>
      <w:tblPr>
        <w:tblW w:w="5544" w:type="dxa"/>
        <w:tblInd w:w="999" w:type="dxa"/>
        <w:tblCellMar>
          <w:left w:w="70" w:type="dxa"/>
          <w:right w:w="70" w:type="dxa"/>
        </w:tblCellMar>
        <w:tblLook w:val="04A0" w:firstRow="1" w:lastRow="0" w:firstColumn="1" w:lastColumn="0" w:noHBand="0" w:noVBand="1"/>
      </w:tblPr>
      <w:tblGrid>
        <w:gridCol w:w="4268"/>
        <w:gridCol w:w="1276"/>
      </w:tblGrid>
      <w:tr w:rsidR="009E3E57" w:rsidRPr="00B67B78" w:rsidTr="00AA0A37">
        <w:trPr>
          <w:trHeight w:val="300"/>
        </w:trPr>
        <w:tc>
          <w:tcPr>
            <w:tcW w:w="5544" w:type="dxa"/>
            <w:gridSpan w:val="2"/>
            <w:tcBorders>
              <w:top w:val="nil"/>
              <w:left w:val="nil"/>
              <w:bottom w:val="nil"/>
            </w:tcBorders>
            <w:shd w:val="clear" w:color="auto" w:fill="auto"/>
            <w:noWrap/>
            <w:vAlign w:val="bottom"/>
            <w:hideMark/>
          </w:tcPr>
          <w:p w:rsidR="009E3E57" w:rsidRPr="002A122D" w:rsidRDefault="009E3E57" w:rsidP="00AA0A37">
            <w:pPr>
              <w:spacing w:after="0" w:line="240" w:lineRule="auto"/>
              <w:rPr>
                <w:rFonts w:cs="Arial"/>
                <w:b/>
                <w:color w:val="000000"/>
                <w:lang w:val="es-UY" w:eastAsia="es-UY"/>
              </w:rPr>
            </w:pPr>
            <w:r w:rsidRPr="002A122D">
              <w:rPr>
                <w:rFonts w:cs="Arial"/>
                <w:b/>
                <w:color w:val="000000"/>
                <w:lang w:val="es-UY" w:eastAsia="es-UY"/>
              </w:rPr>
              <w:t>Presupuesto 2016 – 2020 en</w:t>
            </w:r>
            <w:r>
              <w:rPr>
                <w:rFonts w:cs="Arial"/>
                <w:b/>
                <w:color w:val="000000"/>
                <w:lang w:val="es-UY" w:eastAsia="es-UY"/>
              </w:rPr>
              <w:t xml:space="preserve">  </w:t>
            </w:r>
            <w:r w:rsidRPr="002A122D">
              <w:rPr>
                <w:rFonts w:cs="Arial"/>
                <w:b/>
                <w:color w:val="000000"/>
                <w:lang w:val="es-UY" w:eastAsia="es-UY"/>
              </w:rPr>
              <w:t xml:space="preserve"> millones</w:t>
            </w:r>
            <w:r>
              <w:rPr>
                <w:rFonts w:cs="Arial"/>
                <w:b/>
                <w:color w:val="000000"/>
                <w:lang w:val="es-UY" w:eastAsia="es-UY"/>
              </w:rPr>
              <w:t xml:space="preserve"> de $</w:t>
            </w:r>
          </w:p>
        </w:tc>
      </w:tr>
      <w:tr w:rsidR="009E3E57" w:rsidRPr="00B67B78" w:rsidTr="00AA0A37">
        <w:trPr>
          <w:trHeight w:val="300"/>
        </w:trPr>
        <w:tc>
          <w:tcPr>
            <w:tcW w:w="4268"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rPr>
                <w:rFonts w:cs="Arial"/>
                <w:color w:val="000000"/>
                <w:lang w:val="es-UY" w:eastAsia="es-UY"/>
              </w:rPr>
            </w:pPr>
          </w:p>
        </w:tc>
        <w:tc>
          <w:tcPr>
            <w:tcW w:w="1276"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rPr>
                <w:rFonts w:cs="Arial"/>
                <w:color w:val="000000"/>
                <w:lang w:val="es-UY" w:eastAsia="es-UY"/>
              </w:rPr>
            </w:pPr>
          </w:p>
        </w:tc>
      </w:tr>
      <w:tr w:rsidR="009E3E57" w:rsidRPr="00B67B78" w:rsidTr="00AA0A37">
        <w:trPr>
          <w:trHeight w:val="300"/>
        </w:trPr>
        <w:tc>
          <w:tcPr>
            <w:tcW w:w="4268"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rPr>
                <w:rFonts w:cs="Arial"/>
                <w:color w:val="000000"/>
                <w:lang w:val="es-UY" w:eastAsia="es-UY"/>
              </w:rPr>
            </w:pPr>
            <w:r w:rsidRPr="00B67B78">
              <w:rPr>
                <w:rFonts w:cs="Arial"/>
                <w:color w:val="000000"/>
                <w:lang w:val="es-UY" w:eastAsia="es-UY"/>
              </w:rPr>
              <w:t>Sueldos</w:t>
            </w:r>
          </w:p>
        </w:tc>
        <w:tc>
          <w:tcPr>
            <w:tcW w:w="1276"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jc w:val="right"/>
              <w:rPr>
                <w:rFonts w:cs="Arial"/>
                <w:color w:val="000000"/>
                <w:lang w:val="es-UY" w:eastAsia="es-UY"/>
              </w:rPr>
            </w:pPr>
            <w:r w:rsidRPr="00B67B78">
              <w:rPr>
                <w:rFonts w:cs="Arial"/>
                <w:color w:val="000000"/>
                <w:lang w:val="es-UY" w:eastAsia="es-UY"/>
              </w:rPr>
              <w:t xml:space="preserve">9.993 </w:t>
            </w:r>
          </w:p>
        </w:tc>
      </w:tr>
      <w:tr w:rsidR="009E3E57" w:rsidRPr="00B67B78" w:rsidTr="00AA0A37">
        <w:trPr>
          <w:trHeight w:val="300"/>
        </w:trPr>
        <w:tc>
          <w:tcPr>
            <w:tcW w:w="4268"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rPr>
                <w:rFonts w:cs="Arial"/>
                <w:color w:val="000000"/>
                <w:lang w:val="es-UY" w:eastAsia="es-UY"/>
              </w:rPr>
            </w:pPr>
            <w:r w:rsidRPr="00B67B78">
              <w:rPr>
                <w:rFonts w:cs="Arial"/>
                <w:color w:val="000000"/>
                <w:lang w:val="es-UY" w:eastAsia="es-UY"/>
              </w:rPr>
              <w:t>Gastos Funcionamientos</w:t>
            </w:r>
          </w:p>
        </w:tc>
        <w:tc>
          <w:tcPr>
            <w:tcW w:w="1276"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jc w:val="right"/>
              <w:rPr>
                <w:rFonts w:cs="Arial"/>
                <w:color w:val="000000"/>
                <w:lang w:val="es-UY" w:eastAsia="es-UY"/>
              </w:rPr>
            </w:pPr>
            <w:r w:rsidRPr="00B67B78">
              <w:rPr>
                <w:rFonts w:cs="Arial"/>
                <w:color w:val="000000"/>
                <w:lang w:val="es-UY" w:eastAsia="es-UY"/>
              </w:rPr>
              <w:t>8.10</w:t>
            </w:r>
            <w:r>
              <w:rPr>
                <w:rFonts w:cs="Arial"/>
                <w:color w:val="000000"/>
                <w:lang w:val="es-UY" w:eastAsia="es-UY"/>
              </w:rPr>
              <w:t xml:space="preserve">9 </w:t>
            </w:r>
            <w:r w:rsidRPr="00B67B78">
              <w:rPr>
                <w:rFonts w:cs="Arial"/>
                <w:color w:val="000000"/>
                <w:lang w:val="es-UY" w:eastAsia="es-UY"/>
              </w:rPr>
              <w:t xml:space="preserve"> </w:t>
            </w:r>
          </w:p>
        </w:tc>
      </w:tr>
      <w:tr w:rsidR="009E3E57" w:rsidRPr="00B67B78" w:rsidTr="00AA0A37">
        <w:trPr>
          <w:trHeight w:val="300"/>
        </w:trPr>
        <w:tc>
          <w:tcPr>
            <w:tcW w:w="4268"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rPr>
                <w:rFonts w:cs="Arial"/>
                <w:color w:val="000000"/>
                <w:lang w:val="es-UY" w:eastAsia="es-UY"/>
              </w:rPr>
            </w:pPr>
            <w:r w:rsidRPr="00B67B78">
              <w:rPr>
                <w:rFonts w:cs="Arial"/>
                <w:color w:val="000000"/>
                <w:lang w:val="es-UY" w:eastAsia="es-UY"/>
              </w:rPr>
              <w:t xml:space="preserve">Inversiones </w:t>
            </w:r>
          </w:p>
        </w:tc>
        <w:tc>
          <w:tcPr>
            <w:tcW w:w="1276"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jc w:val="right"/>
              <w:rPr>
                <w:rFonts w:cs="Arial"/>
                <w:color w:val="000000"/>
                <w:lang w:val="es-UY" w:eastAsia="es-UY"/>
              </w:rPr>
            </w:pPr>
            <w:r>
              <w:rPr>
                <w:rFonts w:cs="Arial"/>
                <w:color w:val="000000"/>
                <w:lang w:val="es-UY" w:eastAsia="es-UY"/>
              </w:rPr>
              <w:t>3.901</w:t>
            </w:r>
            <w:r w:rsidRPr="00B67B78">
              <w:rPr>
                <w:rFonts w:cs="Arial"/>
                <w:color w:val="000000"/>
                <w:lang w:val="es-UY" w:eastAsia="es-UY"/>
              </w:rPr>
              <w:t xml:space="preserve"> </w:t>
            </w:r>
          </w:p>
        </w:tc>
      </w:tr>
      <w:tr w:rsidR="009E3E57" w:rsidRPr="00B67B78" w:rsidTr="00AA0A37">
        <w:trPr>
          <w:trHeight w:val="300"/>
        </w:trPr>
        <w:tc>
          <w:tcPr>
            <w:tcW w:w="4268"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rPr>
                <w:rFonts w:cs="Arial"/>
                <w:color w:val="000000"/>
                <w:lang w:val="es-UY" w:eastAsia="es-UY"/>
              </w:rPr>
            </w:pPr>
            <w:r w:rsidRPr="00B67B78">
              <w:rPr>
                <w:rFonts w:cs="Arial"/>
                <w:color w:val="000000"/>
                <w:lang w:val="es-UY" w:eastAsia="es-UY"/>
              </w:rPr>
              <w:t>Junta</w:t>
            </w:r>
          </w:p>
        </w:tc>
        <w:tc>
          <w:tcPr>
            <w:tcW w:w="1276"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jc w:val="right"/>
              <w:rPr>
                <w:rFonts w:cs="Arial"/>
                <w:color w:val="000000"/>
                <w:lang w:val="es-UY" w:eastAsia="es-UY"/>
              </w:rPr>
            </w:pPr>
            <w:r>
              <w:rPr>
                <w:rFonts w:cs="Arial"/>
                <w:color w:val="000000"/>
                <w:lang w:val="es-UY" w:eastAsia="es-UY"/>
              </w:rPr>
              <w:t>900</w:t>
            </w:r>
            <w:r w:rsidRPr="00B67B78">
              <w:rPr>
                <w:rFonts w:cs="Arial"/>
                <w:color w:val="000000"/>
                <w:lang w:val="es-UY" w:eastAsia="es-UY"/>
              </w:rPr>
              <w:t xml:space="preserve"> </w:t>
            </w:r>
          </w:p>
        </w:tc>
      </w:tr>
      <w:tr w:rsidR="009E3E57" w:rsidRPr="00B67B78" w:rsidTr="00AA0A37">
        <w:trPr>
          <w:trHeight w:val="300"/>
        </w:trPr>
        <w:tc>
          <w:tcPr>
            <w:tcW w:w="4268"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rPr>
                <w:rFonts w:cs="Arial"/>
                <w:color w:val="000000"/>
                <w:lang w:val="es-UY" w:eastAsia="es-UY"/>
              </w:rPr>
            </w:pPr>
            <w:r w:rsidRPr="00B67B78">
              <w:rPr>
                <w:rFonts w:cs="Arial"/>
                <w:color w:val="000000"/>
                <w:lang w:val="es-UY" w:eastAsia="es-UY"/>
              </w:rPr>
              <w:t>Intereses y Amortización de Deuda</w:t>
            </w:r>
          </w:p>
        </w:tc>
        <w:tc>
          <w:tcPr>
            <w:tcW w:w="1276"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jc w:val="right"/>
              <w:rPr>
                <w:rFonts w:cs="Arial"/>
                <w:color w:val="000000"/>
                <w:lang w:val="es-UY" w:eastAsia="es-UY"/>
              </w:rPr>
            </w:pPr>
            <w:r w:rsidRPr="00B67B78">
              <w:rPr>
                <w:rFonts w:cs="Arial"/>
                <w:color w:val="000000"/>
                <w:lang w:val="es-UY" w:eastAsia="es-UY"/>
              </w:rPr>
              <w:t xml:space="preserve">1.417 </w:t>
            </w:r>
          </w:p>
        </w:tc>
      </w:tr>
      <w:tr w:rsidR="009E3E57" w:rsidRPr="00B67B78" w:rsidTr="00AA0A37">
        <w:trPr>
          <w:trHeight w:val="315"/>
        </w:trPr>
        <w:tc>
          <w:tcPr>
            <w:tcW w:w="4268"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rPr>
                <w:rFonts w:cs="Arial"/>
                <w:color w:val="000000"/>
                <w:lang w:val="es-UY" w:eastAsia="es-UY"/>
              </w:rPr>
            </w:pPr>
          </w:p>
        </w:tc>
        <w:tc>
          <w:tcPr>
            <w:tcW w:w="1276" w:type="dxa"/>
            <w:tcBorders>
              <w:top w:val="single" w:sz="4" w:space="0" w:color="auto"/>
              <w:left w:val="nil"/>
              <w:bottom w:val="double" w:sz="6" w:space="0" w:color="auto"/>
              <w:right w:val="nil"/>
            </w:tcBorders>
            <w:shd w:val="clear" w:color="auto" w:fill="auto"/>
            <w:noWrap/>
            <w:vAlign w:val="bottom"/>
            <w:hideMark/>
          </w:tcPr>
          <w:p w:rsidR="009E3E57" w:rsidRPr="00B67B78" w:rsidRDefault="009E3E57" w:rsidP="00AA0A37">
            <w:pPr>
              <w:spacing w:after="0" w:line="240" w:lineRule="auto"/>
              <w:jc w:val="right"/>
              <w:rPr>
                <w:rFonts w:cs="Arial"/>
                <w:color w:val="000000"/>
                <w:lang w:val="es-UY" w:eastAsia="es-UY"/>
              </w:rPr>
            </w:pPr>
            <w:r w:rsidRPr="00B67B78">
              <w:rPr>
                <w:rFonts w:cs="Arial"/>
                <w:color w:val="000000"/>
                <w:lang w:val="es-UY" w:eastAsia="es-UY"/>
              </w:rPr>
              <w:t xml:space="preserve">24.320 </w:t>
            </w:r>
          </w:p>
        </w:tc>
      </w:tr>
      <w:tr w:rsidR="009E3E57" w:rsidRPr="00B67B78" w:rsidTr="00AA0A37">
        <w:trPr>
          <w:trHeight w:val="315"/>
        </w:trPr>
        <w:tc>
          <w:tcPr>
            <w:tcW w:w="4268"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rPr>
                <w:rFonts w:cs="Arial"/>
                <w:color w:val="000000"/>
                <w:lang w:val="es-UY" w:eastAsia="es-UY"/>
              </w:rPr>
            </w:pPr>
            <w:r w:rsidRPr="00B67B78">
              <w:rPr>
                <w:rFonts w:cs="Arial"/>
                <w:color w:val="000000"/>
                <w:lang w:val="es-UY" w:eastAsia="es-UY"/>
              </w:rPr>
              <w:t>Ingresos</w:t>
            </w:r>
          </w:p>
        </w:tc>
        <w:tc>
          <w:tcPr>
            <w:tcW w:w="1276"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rPr>
                <w:rFonts w:cs="Arial"/>
                <w:color w:val="000000"/>
                <w:lang w:val="es-UY" w:eastAsia="es-UY"/>
              </w:rPr>
            </w:pPr>
          </w:p>
        </w:tc>
      </w:tr>
      <w:tr w:rsidR="009E3E57" w:rsidRPr="00B67B78" w:rsidTr="00AA0A37">
        <w:trPr>
          <w:trHeight w:val="315"/>
        </w:trPr>
        <w:tc>
          <w:tcPr>
            <w:tcW w:w="4268"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rPr>
                <w:rFonts w:cs="Arial"/>
                <w:color w:val="000000"/>
                <w:lang w:val="es-UY" w:eastAsia="es-UY"/>
              </w:rPr>
            </w:pPr>
            <w:r w:rsidRPr="00B67B78">
              <w:rPr>
                <w:rFonts w:cs="Arial"/>
                <w:color w:val="000000"/>
                <w:lang w:val="es-UY" w:eastAsia="es-UY"/>
              </w:rPr>
              <w:t>Departamental</w:t>
            </w:r>
          </w:p>
        </w:tc>
        <w:tc>
          <w:tcPr>
            <w:tcW w:w="1276"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jc w:val="right"/>
              <w:rPr>
                <w:rFonts w:cs="Arial"/>
                <w:color w:val="000000"/>
                <w:lang w:val="es-UY" w:eastAsia="es-UY"/>
              </w:rPr>
            </w:pPr>
            <w:r>
              <w:rPr>
                <w:rFonts w:cs="Arial"/>
                <w:color w:val="000000"/>
                <w:lang w:val="es-UY" w:eastAsia="es-UY"/>
              </w:rPr>
              <w:t>18.963</w:t>
            </w:r>
            <w:r w:rsidRPr="00B67B78">
              <w:rPr>
                <w:rFonts w:cs="Arial"/>
                <w:color w:val="000000"/>
                <w:lang w:val="es-UY" w:eastAsia="es-UY"/>
              </w:rPr>
              <w:t xml:space="preserve"> </w:t>
            </w:r>
          </w:p>
        </w:tc>
      </w:tr>
      <w:tr w:rsidR="009E3E57" w:rsidRPr="00B67B78" w:rsidTr="00AA0A37">
        <w:trPr>
          <w:trHeight w:val="315"/>
        </w:trPr>
        <w:tc>
          <w:tcPr>
            <w:tcW w:w="4268"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rPr>
                <w:rFonts w:cs="Arial"/>
                <w:color w:val="000000"/>
                <w:lang w:val="es-UY" w:eastAsia="es-UY"/>
              </w:rPr>
            </w:pPr>
            <w:r w:rsidRPr="00B67B78">
              <w:rPr>
                <w:rFonts w:cs="Arial"/>
                <w:color w:val="000000"/>
                <w:lang w:val="es-UY" w:eastAsia="es-UY"/>
              </w:rPr>
              <w:t>Nacional</w:t>
            </w:r>
          </w:p>
        </w:tc>
        <w:tc>
          <w:tcPr>
            <w:tcW w:w="1276"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jc w:val="right"/>
              <w:rPr>
                <w:rFonts w:cs="Arial"/>
                <w:color w:val="000000"/>
                <w:lang w:val="es-UY" w:eastAsia="es-UY"/>
              </w:rPr>
            </w:pPr>
            <w:r w:rsidRPr="00B67B78">
              <w:rPr>
                <w:rFonts w:cs="Arial"/>
                <w:color w:val="000000"/>
                <w:lang w:val="es-UY" w:eastAsia="es-UY"/>
              </w:rPr>
              <w:t>5.35</w:t>
            </w:r>
            <w:r>
              <w:rPr>
                <w:rFonts w:cs="Arial"/>
                <w:color w:val="000000"/>
                <w:lang w:val="es-UY" w:eastAsia="es-UY"/>
              </w:rPr>
              <w:t>9</w:t>
            </w:r>
          </w:p>
        </w:tc>
      </w:tr>
      <w:tr w:rsidR="009E3E57" w:rsidRPr="00B67B78" w:rsidTr="00AA0A37">
        <w:trPr>
          <w:trHeight w:val="315"/>
        </w:trPr>
        <w:tc>
          <w:tcPr>
            <w:tcW w:w="4268"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rPr>
                <w:rFonts w:cs="Arial"/>
                <w:color w:val="000000"/>
                <w:lang w:val="es-UY" w:eastAsia="es-UY"/>
              </w:rPr>
            </w:pPr>
          </w:p>
        </w:tc>
        <w:tc>
          <w:tcPr>
            <w:tcW w:w="1276" w:type="dxa"/>
            <w:tcBorders>
              <w:top w:val="single" w:sz="4" w:space="0" w:color="auto"/>
              <w:left w:val="nil"/>
              <w:bottom w:val="double" w:sz="6" w:space="0" w:color="auto"/>
              <w:right w:val="nil"/>
            </w:tcBorders>
            <w:shd w:val="clear" w:color="auto" w:fill="auto"/>
            <w:noWrap/>
            <w:vAlign w:val="bottom"/>
            <w:hideMark/>
          </w:tcPr>
          <w:p w:rsidR="009E3E57" w:rsidRPr="00B67B78" w:rsidRDefault="009E3E57" w:rsidP="00AA0A37">
            <w:pPr>
              <w:spacing w:after="0" w:line="240" w:lineRule="auto"/>
              <w:jc w:val="right"/>
              <w:rPr>
                <w:rFonts w:cs="Arial"/>
                <w:color w:val="000000"/>
                <w:lang w:val="es-UY" w:eastAsia="es-UY"/>
              </w:rPr>
            </w:pPr>
            <w:r w:rsidRPr="00B67B78">
              <w:rPr>
                <w:rFonts w:cs="Arial"/>
                <w:color w:val="000000"/>
                <w:lang w:val="es-UY" w:eastAsia="es-UY"/>
              </w:rPr>
              <w:t xml:space="preserve">24.322 </w:t>
            </w:r>
          </w:p>
        </w:tc>
      </w:tr>
      <w:tr w:rsidR="009E3E57" w:rsidRPr="00B67B78" w:rsidTr="00AA0A37">
        <w:trPr>
          <w:trHeight w:val="315"/>
        </w:trPr>
        <w:tc>
          <w:tcPr>
            <w:tcW w:w="4268"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rPr>
                <w:rFonts w:cs="Arial"/>
                <w:color w:val="000000"/>
                <w:lang w:val="es-UY" w:eastAsia="es-UY"/>
              </w:rPr>
            </w:pPr>
          </w:p>
        </w:tc>
        <w:tc>
          <w:tcPr>
            <w:tcW w:w="1276"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rPr>
                <w:rFonts w:cs="Arial"/>
                <w:color w:val="000000"/>
                <w:lang w:val="es-UY" w:eastAsia="es-UY"/>
              </w:rPr>
            </w:pPr>
          </w:p>
        </w:tc>
      </w:tr>
      <w:tr w:rsidR="009E3E57" w:rsidRPr="00B67B78" w:rsidTr="00AA0A37">
        <w:trPr>
          <w:trHeight w:val="315"/>
        </w:trPr>
        <w:tc>
          <w:tcPr>
            <w:tcW w:w="4268" w:type="dxa"/>
            <w:tcBorders>
              <w:top w:val="nil"/>
              <w:left w:val="nil"/>
              <w:bottom w:val="nil"/>
              <w:right w:val="nil"/>
            </w:tcBorders>
            <w:shd w:val="clear" w:color="auto" w:fill="auto"/>
            <w:noWrap/>
            <w:vAlign w:val="bottom"/>
            <w:hideMark/>
          </w:tcPr>
          <w:p w:rsidR="009E3E57" w:rsidRPr="00B67B78" w:rsidRDefault="009E3E57" w:rsidP="00AA0A37">
            <w:pPr>
              <w:spacing w:after="0" w:line="240" w:lineRule="auto"/>
              <w:rPr>
                <w:rFonts w:cs="Arial"/>
                <w:color w:val="000000"/>
                <w:lang w:val="es-UY" w:eastAsia="es-UY"/>
              </w:rPr>
            </w:pPr>
            <w:proofErr w:type="spellStart"/>
            <w:r w:rsidRPr="00B67B78">
              <w:rPr>
                <w:rFonts w:cs="Arial"/>
                <w:color w:val="000000"/>
                <w:lang w:val="es-UY" w:eastAsia="es-UY"/>
              </w:rPr>
              <w:t>Superavit</w:t>
            </w:r>
            <w:proofErr w:type="spellEnd"/>
          </w:p>
        </w:tc>
        <w:tc>
          <w:tcPr>
            <w:tcW w:w="1276" w:type="dxa"/>
            <w:tcBorders>
              <w:top w:val="nil"/>
              <w:left w:val="nil"/>
              <w:bottom w:val="single" w:sz="8" w:space="0" w:color="auto"/>
              <w:right w:val="nil"/>
            </w:tcBorders>
            <w:shd w:val="clear" w:color="auto" w:fill="auto"/>
            <w:noWrap/>
            <w:vAlign w:val="bottom"/>
            <w:hideMark/>
          </w:tcPr>
          <w:p w:rsidR="009E3E57" w:rsidRPr="00B67B78" w:rsidRDefault="009E3E57" w:rsidP="00AA0A37">
            <w:pPr>
              <w:spacing w:after="0" w:line="240" w:lineRule="auto"/>
              <w:jc w:val="right"/>
              <w:rPr>
                <w:rFonts w:cs="Arial"/>
                <w:color w:val="000000"/>
                <w:lang w:val="es-UY" w:eastAsia="es-UY"/>
              </w:rPr>
            </w:pPr>
            <w:r w:rsidRPr="00B67B78">
              <w:rPr>
                <w:rFonts w:cs="Arial"/>
                <w:color w:val="000000"/>
                <w:lang w:val="es-UY" w:eastAsia="es-UY"/>
              </w:rPr>
              <w:t xml:space="preserve">2 </w:t>
            </w:r>
          </w:p>
        </w:tc>
      </w:tr>
    </w:tbl>
    <w:p w:rsidR="009E3E57" w:rsidRDefault="009E3E57" w:rsidP="00AA0A37">
      <w:pPr>
        <w:pStyle w:val="Textoindependiente"/>
        <w:shd w:val="clear" w:color="auto" w:fill="FFFFFF"/>
        <w:spacing w:line="360" w:lineRule="auto"/>
      </w:pPr>
    </w:p>
    <w:p w:rsidR="009E3E57" w:rsidRDefault="009E3E57" w:rsidP="00AA0A37">
      <w:pPr>
        <w:pStyle w:val="Textoindependiente"/>
        <w:shd w:val="clear" w:color="auto" w:fill="FFFFFF"/>
        <w:spacing w:line="360" w:lineRule="auto"/>
      </w:pPr>
      <w:r w:rsidRPr="002036D7">
        <w:rPr>
          <w:b/>
        </w:rPr>
        <w:t>4.3)</w:t>
      </w:r>
      <w:r>
        <w:t xml:space="preserve"> El déficit acumulado informado en la Rendición de Cuentas correspondiente al ejercicio 2015, que asciende a $ 1.450:018.000, incluye préstamos bancarios a pagar por $ 1.461:462.459, los cuales fueron cancelados en enero de 2016.</w:t>
      </w:r>
    </w:p>
    <w:p w:rsidR="009E3E57" w:rsidRDefault="009E3E57" w:rsidP="00AA0A37">
      <w:pPr>
        <w:pStyle w:val="Textoindependiente"/>
        <w:shd w:val="clear" w:color="auto" w:fill="FFFFFF"/>
        <w:spacing w:line="360" w:lineRule="auto"/>
      </w:pPr>
      <w:r w:rsidRPr="002036D7">
        <w:rPr>
          <w:b/>
        </w:rPr>
        <w:t>4.4)</w:t>
      </w:r>
      <w:r>
        <w:t xml:space="preserve"> En junio del presente año la Intendencia tomó préstamos bancarios por                      $ 1.562:</w:t>
      </w:r>
      <w:r w:rsidRPr="00F41B26">
        <w:t>721.291</w:t>
      </w:r>
      <w:r>
        <w:t>, conforme a la Resolución 424/2016 de la Junta Departamental de fecha 15.01.16, la que fuera enviada a este Tribunal para su informe, con fecha 29.01.16,</w:t>
      </w:r>
      <w:r>
        <w:rPr>
          <w:bCs/>
        </w:rPr>
        <w:t xml:space="preserve"> conforme a lo establecido en el Artículo 301 de la Constitución de la República.</w:t>
      </w:r>
    </w:p>
    <w:p w:rsidR="009E3E57" w:rsidRDefault="009E3E57" w:rsidP="00AA0A37">
      <w:pPr>
        <w:pStyle w:val="Textoindependiente"/>
        <w:shd w:val="clear" w:color="auto" w:fill="FFFFFF"/>
        <w:spacing w:line="360" w:lineRule="auto"/>
        <w:rPr>
          <w:bCs/>
        </w:rPr>
      </w:pPr>
      <w:r w:rsidRPr="002036D7">
        <w:rPr>
          <w:b/>
        </w:rPr>
        <w:t>4.5)</w:t>
      </w:r>
      <w:r>
        <w:t xml:space="preserve"> Según la información adicional presentada por la Intendencia, ésta estima que en octubre de 2016 se solicitarán préstamos adicionales por $ 551:</w:t>
      </w:r>
      <w:r w:rsidRPr="00F41B26">
        <w:t>001.519</w:t>
      </w:r>
      <w:r>
        <w:t xml:space="preserve"> y se cancelarán préstamos por $ </w:t>
      </w:r>
      <w:r w:rsidRPr="00F64701">
        <w:t>270.392.850</w:t>
      </w:r>
      <w:r>
        <w:t xml:space="preserve"> correspondientes a la línea de crédito afectada al Centro de Convenciones y Predio ferial Punta del Este. Se espera cancelar el saldo de las obligaciones bancarias por $ 551:001.519 en enero de 2017 y el resto de los préstamos por $ 1.562:721.291 de acuerdo al cronograma de pagos que se anexó en información complementaria,  pudiendo ser renovadas hasta fin de mandato como lo establecen las resoluciones </w:t>
      </w:r>
      <w:r>
        <w:rPr>
          <w:bCs/>
        </w:rPr>
        <w:t>Nos. 4480/2016 del Sr. Intendente y 424/2016 de la Junta Departamental.</w:t>
      </w:r>
    </w:p>
    <w:p w:rsidR="009E3E57" w:rsidRDefault="009E3E57" w:rsidP="00AA0A37">
      <w:pPr>
        <w:pStyle w:val="Textoindependiente"/>
        <w:shd w:val="clear" w:color="auto" w:fill="FFFFFF"/>
        <w:spacing w:line="360" w:lineRule="auto"/>
        <w:rPr>
          <w:bCs/>
        </w:rPr>
      </w:pPr>
      <w:r w:rsidRPr="002036D7">
        <w:rPr>
          <w:b/>
          <w:bCs/>
        </w:rPr>
        <w:t>4.6)</w:t>
      </w:r>
      <w:r>
        <w:rPr>
          <w:bCs/>
        </w:rPr>
        <w:t xml:space="preserve"> El movimiento de Ingresos y Egresos de endeudamiento financiero proyectado según lo expresado en los apartados anteriores en el acumulado del quinquenio es el siguiente.</w:t>
      </w:r>
    </w:p>
    <w:tbl>
      <w:tblPr>
        <w:tblW w:w="5592" w:type="dxa"/>
        <w:tblInd w:w="849" w:type="dxa"/>
        <w:tblCellMar>
          <w:left w:w="70" w:type="dxa"/>
          <w:right w:w="70" w:type="dxa"/>
        </w:tblCellMar>
        <w:tblLook w:val="04A0" w:firstRow="1" w:lastRow="0" w:firstColumn="1" w:lastColumn="0" w:noHBand="0" w:noVBand="1"/>
      </w:tblPr>
      <w:tblGrid>
        <w:gridCol w:w="4041"/>
        <w:gridCol w:w="1551"/>
      </w:tblGrid>
      <w:tr w:rsidR="009E3E57" w:rsidRPr="0037169E" w:rsidTr="00AA0A37">
        <w:trPr>
          <w:trHeight w:val="300"/>
        </w:trPr>
        <w:tc>
          <w:tcPr>
            <w:tcW w:w="4041" w:type="dxa"/>
            <w:tcBorders>
              <w:top w:val="nil"/>
              <w:left w:val="nil"/>
              <w:bottom w:val="nil"/>
              <w:right w:val="nil"/>
            </w:tcBorders>
            <w:shd w:val="clear" w:color="auto" w:fill="auto"/>
            <w:noWrap/>
            <w:vAlign w:val="bottom"/>
            <w:hideMark/>
          </w:tcPr>
          <w:p w:rsidR="009E3E57" w:rsidRPr="0037169E" w:rsidRDefault="009E3E57" w:rsidP="00AA0A37">
            <w:pPr>
              <w:spacing w:after="0" w:line="240" w:lineRule="auto"/>
              <w:rPr>
                <w:rFonts w:cs="Arial"/>
                <w:b/>
                <w:bCs/>
                <w:color w:val="000000"/>
                <w:lang w:val="es-UY" w:eastAsia="es-UY"/>
              </w:rPr>
            </w:pPr>
          </w:p>
        </w:tc>
        <w:tc>
          <w:tcPr>
            <w:tcW w:w="1551" w:type="dxa"/>
            <w:tcBorders>
              <w:top w:val="nil"/>
              <w:left w:val="nil"/>
              <w:bottom w:val="nil"/>
              <w:right w:val="nil"/>
            </w:tcBorders>
            <w:shd w:val="clear" w:color="auto" w:fill="auto"/>
            <w:noWrap/>
            <w:vAlign w:val="bottom"/>
            <w:hideMark/>
          </w:tcPr>
          <w:p w:rsidR="009E3E57" w:rsidRPr="0037169E" w:rsidRDefault="009E3E57" w:rsidP="00AA0A37">
            <w:pPr>
              <w:spacing w:after="0" w:line="240" w:lineRule="auto"/>
              <w:jc w:val="center"/>
              <w:rPr>
                <w:rFonts w:cs="Arial"/>
                <w:color w:val="000000"/>
                <w:lang w:val="es-UY" w:eastAsia="es-UY"/>
              </w:rPr>
            </w:pPr>
            <w:r>
              <w:rPr>
                <w:rFonts w:cs="Arial"/>
                <w:color w:val="000000"/>
                <w:lang w:val="es-UY" w:eastAsia="es-UY"/>
              </w:rPr>
              <w:t>Millones de $</w:t>
            </w:r>
          </w:p>
        </w:tc>
      </w:tr>
      <w:tr w:rsidR="009E3E57" w:rsidRPr="0037169E" w:rsidTr="00AA0A37">
        <w:trPr>
          <w:trHeight w:val="300"/>
        </w:trPr>
        <w:tc>
          <w:tcPr>
            <w:tcW w:w="4041" w:type="dxa"/>
            <w:tcBorders>
              <w:top w:val="nil"/>
              <w:left w:val="nil"/>
              <w:bottom w:val="nil"/>
              <w:right w:val="nil"/>
            </w:tcBorders>
            <w:shd w:val="clear" w:color="auto" w:fill="auto"/>
            <w:noWrap/>
            <w:vAlign w:val="bottom"/>
            <w:hideMark/>
          </w:tcPr>
          <w:p w:rsidR="009E3E57" w:rsidRPr="0037169E" w:rsidRDefault="009E3E57" w:rsidP="00AA0A37">
            <w:pPr>
              <w:spacing w:after="0" w:line="240" w:lineRule="auto"/>
              <w:rPr>
                <w:rFonts w:cs="Arial"/>
                <w:color w:val="000000"/>
                <w:lang w:val="es-UY" w:eastAsia="es-UY"/>
              </w:rPr>
            </w:pPr>
            <w:r w:rsidRPr="0037169E">
              <w:rPr>
                <w:rFonts w:cs="Arial"/>
                <w:color w:val="000000"/>
                <w:lang w:val="es-UY" w:eastAsia="es-UY"/>
              </w:rPr>
              <w:t>Intereses y Amortización de Deuda</w:t>
            </w:r>
            <w:r>
              <w:rPr>
                <w:rFonts w:cs="Arial"/>
                <w:color w:val="000000"/>
                <w:lang w:val="es-UY" w:eastAsia="es-UY"/>
              </w:rPr>
              <w:t xml:space="preserve"> -  </w:t>
            </w:r>
            <w:proofErr w:type="spellStart"/>
            <w:r>
              <w:rPr>
                <w:rFonts w:cs="Arial"/>
                <w:color w:val="000000"/>
                <w:lang w:val="es-UY" w:eastAsia="es-UY"/>
              </w:rPr>
              <w:t>Ap</w:t>
            </w:r>
            <w:proofErr w:type="spellEnd"/>
            <w:r>
              <w:rPr>
                <w:rFonts w:cs="Arial"/>
                <w:color w:val="000000"/>
                <w:lang w:val="es-UY" w:eastAsia="es-UY"/>
              </w:rPr>
              <w:t xml:space="preserve"> (1)</w:t>
            </w:r>
          </w:p>
        </w:tc>
        <w:tc>
          <w:tcPr>
            <w:tcW w:w="1551" w:type="dxa"/>
            <w:tcBorders>
              <w:top w:val="nil"/>
              <w:left w:val="nil"/>
              <w:bottom w:val="nil"/>
              <w:right w:val="nil"/>
            </w:tcBorders>
            <w:shd w:val="clear" w:color="auto" w:fill="auto"/>
            <w:noWrap/>
            <w:vAlign w:val="bottom"/>
            <w:hideMark/>
          </w:tcPr>
          <w:p w:rsidR="009E3E57" w:rsidRPr="0037169E" w:rsidRDefault="009E3E57" w:rsidP="00AA0A37">
            <w:pPr>
              <w:spacing w:after="0" w:line="240" w:lineRule="auto"/>
              <w:jc w:val="right"/>
              <w:rPr>
                <w:rFonts w:cs="Arial"/>
                <w:color w:val="000000"/>
                <w:lang w:val="es-UY" w:eastAsia="es-UY"/>
              </w:rPr>
            </w:pPr>
            <w:r w:rsidRPr="0037169E">
              <w:rPr>
                <w:rFonts w:cs="Arial"/>
                <w:color w:val="000000"/>
                <w:lang w:val="es-UY" w:eastAsia="es-UY"/>
              </w:rPr>
              <w:t xml:space="preserve">1.417 </w:t>
            </w:r>
          </w:p>
        </w:tc>
      </w:tr>
      <w:tr w:rsidR="009E3E57" w:rsidRPr="0037169E" w:rsidTr="00AA0A37">
        <w:trPr>
          <w:trHeight w:val="300"/>
        </w:trPr>
        <w:tc>
          <w:tcPr>
            <w:tcW w:w="4041" w:type="dxa"/>
            <w:tcBorders>
              <w:top w:val="nil"/>
              <w:left w:val="nil"/>
              <w:bottom w:val="nil"/>
              <w:right w:val="nil"/>
            </w:tcBorders>
            <w:shd w:val="clear" w:color="auto" w:fill="auto"/>
            <w:noWrap/>
            <w:vAlign w:val="bottom"/>
            <w:hideMark/>
          </w:tcPr>
          <w:p w:rsidR="009E3E57" w:rsidRPr="0037169E" w:rsidRDefault="009E3E57" w:rsidP="00AA0A37">
            <w:pPr>
              <w:spacing w:after="0" w:line="240" w:lineRule="auto"/>
              <w:rPr>
                <w:rFonts w:cs="Arial"/>
                <w:color w:val="000000"/>
                <w:lang w:val="es-UY" w:eastAsia="es-UY"/>
              </w:rPr>
            </w:pPr>
            <w:r w:rsidRPr="0037169E">
              <w:rPr>
                <w:rFonts w:cs="Arial"/>
                <w:color w:val="000000"/>
                <w:lang w:val="es-UY" w:eastAsia="es-UY"/>
              </w:rPr>
              <w:t>Déficit</w:t>
            </w:r>
            <w:r>
              <w:rPr>
                <w:rFonts w:cs="Arial"/>
                <w:color w:val="000000"/>
                <w:lang w:val="es-UY" w:eastAsia="es-UY"/>
              </w:rPr>
              <w:t xml:space="preserve"> </w:t>
            </w:r>
            <w:r w:rsidRPr="0037169E">
              <w:rPr>
                <w:rFonts w:cs="Arial"/>
                <w:color w:val="000000"/>
                <w:lang w:val="es-UY" w:eastAsia="es-UY"/>
              </w:rPr>
              <w:t>/</w:t>
            </w:r>
            <w:r>
              <w:rPr>
                <w:rFonts w:cs="Arial"/>
                <w:color w:val="000000"/>
                <w:lang w:val="es-UY" w:eastAsia="es-UY"/>
              </w:rPr>
              <w:t xml:space="preserve"> </w:t>
            </w:r>
            <w:r w:rsidRPr="0037169E">
              <w:rPr>
                <w:rFonts w:cs="Arial"/>
                <w:color w:val="000000"/>
                <w:lang w:val="es-UY" w:eastAsia="es-UY"/>
              </w:rPr>
              <w:t>Superávit Proyectado</w:t>
            </w:r>
            <w:r>
              <w:rPr>
                <w:rFonts w:cs="Arial"/>
                <w:color w:val="000000"/>
                <w:lang w:val="es-UY" w:eastAsia="es-UY"/>
              </w:rPr>
              <w:t xml:space="preserve"> – Ap. (2)</w:t>
            </w:r>
          </w:p>
        </w:tc>
        <w:tc>
          <w:tcPr>
            <w:tcW w:w="1551" w:type="dxa"/>
            <w:tcBorders>
              <w:top w:val="nil"/>
              <w:left w:val="nil"/>
              <w:bottom w:val="nil"/>
              <w:right w:val="nil"/>
            </w:tcBorders>
            <w:shd w:val="clear" w:color="auto" w:fill="auto"/>
            <w:noWrap/>
            <w:vAlign w:val="bottom"/>
            <w:hideMark/>
          </w:tcPr>
          <w:p w:rsidR="009E3E57" w:rsidRPr="0037169E" w:rsidRDefault="009E3E57" w:rsidP="00AA0A37">
            <w:pPr>
              <w:spacing w:after="0" w:line="240" w:lineRule="auto"/>
              <w:jc w:val="right"/>
              <w:rPr>
                <w:rFonts w:cs="Arial"/>
                <w:color w:val="000000"/>
                <w:lang w:val="es-UY" w:eastAsia="es-UY"/>
              </w:rPr>
            </w:pPr>
            <w:r>
              <w:rPr>
                <w:rFonts w:cs="Arial"/>
                <w:color w:val="000000"/>
                <w:lang w:val="es-UY" w:eastAsia="es-UY"/>
              </w:rPr>
              <w:t>2</w:t>
            </w:r>
            <w:r w:rsidRPr="0037169E">
              <w:rPr>
                <w:rFonts w:cs="Arial"/>
                <w:color w:val="000000"/>
                <w:lang w:val="es-UY" w:eastAsia="es-UY"/>
              </w:rPr>
              <w:t xml:space="preserve"> </w:t>
            </w:r>
          </w:p>
        </w:tc>
      </w:tr>
      <w:tr w:rsidR="009E3E57" w:rsidRPr="0037169E" w:rsidTr="00AA0A37">
        <w:trPr>
          <w:trHeight w:val="300"/>
        </w:trPr>
        <w:tc>
          <w:tcPr>
            <w:tcW w:w="4041" w:type="dxa"/>
            <w:tcBorders>
              <w:top w:val="nil"/>
              <w:left w:val="nil"/>
              <w:bottom w:val="nil"/>
              <w:right w:val="nil"/>
            </w:tcBorders>
            <w:shd w:val="clear" w:color="auto" w:fill="auto"/>
            <w:noWrap/>
            <w:vAlign w:val="bottom"/>
            <w:hideMark/>
          </w:tcPr>
          <w:p w:rsidR="009E3E57" w:rsidRPr="0037169E" w:rsidRDefault="009E3E57" w:rsidP="00AA0A37">
            <w:pPr>
              <w:spacing w:after="0" w:line="240" w:lineRule="auto"/>
              <w:rPr>
                <w:rFonts w:cs="Arial"/>
                <w:color w:val="000000"/>
                <w:lang w:val="es-UY" w:eastAsia="es-UY"/>
              </w:rPr>
            </w:pPr>
            <w:r w:rsidRPr="0037169E">
              <w:rPr>
                <w:rFonts w:cs="Arial"/>
                <w:color w:val="000000"/>
                <w:lang w:val="es-UY" w:eastAsia="es-UY"/>
              </w:rPr>
              <w:t>Cancelación</w:t>
            </w:r>
            <w:r>
              <w:rPr>
                <w:rFonts w:cs="Arial"/>
                <w:color w:val="000000"/>
                <w:lang w:val="es-UY" w:eastAsia="es-UY"/>
              </w:rPr>
              <w:t xml:space="preserve"> </w:t>
            </w:r>
            <w:r w:rsidRPr="0037169E">
              <w:rPr>
                <w:rFonts w:cs="Arial"/>
                <w:color w:val="000000"/>
                <w:lang w:val="es-UY" w:eastAsia="es-UY"/>
              </w:rPr>
              <w:t>de Préstamo</w:t>
            </w:r>
            <w:r>
              <w:rPr>
                <w:rFonts w:cs="Arial"/>
                <w:color w:val="000000"/>
                <w:lang w:val="es-UY" w:eastAsia="es-UY"/>
              </w:rPr>
              <w:t xml:space="preserve"> – </w:t>
            </w:r>
            <w:proofErr w:type="spellStart"/>
            <w:r>
              <w:rPr>
                <w:rFonts w:cs="Arial"/>
                <w:color w:val="000000"/>
                <w:lang w:val="es-UY" w:eastAsia="es-UY"/>
              </w:rPr>
              <w:t>Ap</w:t>
            </w:r>
            <w:proofErr w:type="spellEnd"/>
            <w:r>
              <w:rPr>
                <w:rFonts w:cs="Arial"/>
                <w:color w:val="000000"/>
                <w:lang w:val="es-UY" w:eastAsia="es-UY"/>
              </w:rPr>
              <w:t xml:space="preserve"> (3)</w:t>
            </w:r>
          </w:p>
        </w:tc>
        <w:tc>
          <w:tcPr>
            <w:tcW w:w="1551" w:type="dxa"/>
            <w:tcBorders>
              <w:top w:val="nil"/>
              <w:left w:val="nil"/>
              <w:bottom w:val="nil"/>
              <w:right w:val="nil"/>
            </w:tcBorders>
            <w:shd w:val="clear" w:color="auto" w:fill="auto"/>
            <w:noWrap/>
            <w:vAlign w:val="bottom"/>
            <w:hideMark/>
          </w:tcPr>
          <w:p w:rsidR="009E3E57" w:rsidRPr="0037169E" w:rsidRDefault="009E3E57" w:rsidP="00AA0A37">
            <w:pPr>
              <w:spacing w:after="0" w:line="240" w:lineRule="auto"/>
              <w:jc w:val="right"/>
              <w:rPr>
                <w:rFonts w:cs="Arial"/>
                <w:color w:val="000000"/>
                <w:lang w:val="es-UY" w:eastAsia="es-UY"/>
              </w:rPr>
            </w:pPr>
            <w:r w:rsidRPr="0037169E">
              <w:rPr>
                <w:rFonts w:cs="Arial"/>
                <w:color w:val="FF0000"/>
                <w:lang w:val="es-UY" w:eastAsia="es-UY"/>
              </w:rPr>
              <w:t>(1.46</w:t>
            </w:r>
            <w:r>
              <w:rPr>
                <w:rFonts w:cs="Arial"/>
                <w:color w:val="FF0000"/>
                <w:lang w:val="es-UY" w:eastAsia="es-UY"/>
              </w:rPr>
              <w:t>0</w:t>
            </w:r>
            <w:r w:rsidRPr="0037169E">
              <w:rPr>
                <w:rFonts w:cs="Arial"/>
                <w:color w:val="FF0000"/>
                <w:lang w:val="es-UY" w:eastAsia="es-UY"/>
              </w:rPr>
              <w:t>)</w:t>
            </w:r>
          </w:p>
        </w:tc>
      </w:tr>
      <w:tr w:rsidR="009E3E57" w:rsidRPr="0037169E" w:rsidTr="00AA0A37">
        <w:trPr>
          <w:trHeight w:val="300"/>
        </w:trPr>
        <w:tc>
          <w:tcPr>
            <w:tcW w:w="4041" w:type="dxa"/>
            <w:tcBorders>
              <w:top w:val="nil"/>
              <w:left w:val="nil"/>
              <w:bottom w:val="nil"/>
              <w:right w:val="nil"/>
            </w:tcBorders>
            <w:shd w:val="clear" w:color="auto" w:fill="auto"/>
            <w:noWrap/>
            <w:vAlign w:val="bottom"/>
            <w:hideMark/>
          </w:tcPr>
          <w:p w:rsidR="009E3E57" w:rsidRPr="0037169E" w:rsidRDefault="009E3E57" w:rsidP="00AA0A37">
            <w:pPr>
              <w:spacing w:after="0" w:line="240" w:lineRule="auto"/>
              <w:rPr>
                <w:rFonts w:cs="Arial"/>
                <w:color w:val="000000"/>
                <w:lang w:val="es-UY" w:eastAsia="es-UY"/>
              </w:rPr>
            </w:pPr>
            <w:r w:rsidRPr="0037169E">
              <w:rPr>
                <w:rFonts w:cs="Arial"/>
                <w:color w:val="000000"/>
                <w:lang w:val="es-UY" w:eastAsia="es-UY"/>
              </w:rPr>
              <w:t>Toma de Préstamo</w:t>
            </w:r>
            <w:r>
              <w:rPr>
                <w:rFonts w:cs="Arial"/>
                <w:color w:val="000000"/>
                <w:lang w:val="es-UY" w:eastAsia="es-UY"/>
              </w:rPr>
              <w:t xml:space="preserve"> – Ap. (4)</w:t>
            </w:r>
          </w:p>
        </w:tc>
        <w:tc>
          <w:tcPr>
            <w:tcW w:w="1551" w:type="dxa"/>
            <w:tcBorders>
              <w:top w:val="nil"/>
              <w:left w:val="nil"/>
              <w:bottom w:val="nil"/>
              <w:right w:val="nil"/>
            </w:tcBorders>
            <w:shd w:val="clear" w:color="auto" w:fill="auto"/>
            <w:noWrap/>
            <w:vAlign w:val="bottom"/>
            <w:hideMark/>
          </w:tcPr>
          <w:p w:rsidR="009E3E57" w:rsidRPr="0037169E" w:rsidRDefault="009E3E57" w:rsidP="00AA0A37">
            <w:pPr>
              <w:spacing w:after="0" w:line="240" w:lineRule="auto"/>
              <w:jc w:val="right"/>
              <w:rPr>
                <w:rFonts w:cs="Arial"/>
                <w:color w:val="000000"/>
                <w:lang w:val="es-UY" w:eastAsia="es-UY"/>
              </w:rPr>
            </w:pPr>
            <w:r w:rsidRPr="0037169E">
              <w:rPr>
                <w:rFonts w:cs="Arial"/>
                <w:color w:val="000000"/>
                <w:lang w:val="es-UY" w:eastAsia="es-UY"/>
              </w:rPr>
              <w:t xml:space="preserve">1.562 </w:t>
            </w:r>
          </w:p>
        </w:tc>
      </w:tr>
      <w:tr w:rsidR="009E3E57" w:rsidRPr="0037169E" w:rsidTr="00AA0A37">
        <w:trPr>
          <w:trHeight w:val="300"/>
        </w:trPr>
        <w:tc>
          <w:tcPr>
            <w:tcW w:w="4041" w:type="dxa"/>
            <w:tcBorders>
              <w:top w:val="nil"/>
              <w:left w:val="nil"/>
              <w:bottom w:val="nil"/>
              <w:right w:val="nil"/>
            </w:tcBorders>
            <w:shd w:val="clear" w:color="auto" w:fill="auto"/>
            <w:noWrap/>
            <w:vAlign w:val="bottom"/>
            <w:hideMark/>
          </w:tcPr>
          <w:p w:rsidR="009E3E57" w:rsidRPr="0037169E" w:rsidRDefault="009E3E57" w:rsidP="00AA0A37">
            <w:pPr>
              <w:spacing w:after="0" w:line="240" w:lineRule="auto"/>
              <w:rPr>
                <w:rFonts w:cs="Arial"/>
                <w:color w:val="000000"/>
                <w:lang w:val="es-UY" w:eastAsia="es-UY"/>
              </w:rPr>
            </w:pPr>
            <w:r w:rsidRPr="0037169E">
              <w:rPr>
                <w:rFonts w:cs="Arial"/>
                <w:color w:val="000000"/>
                <w:lang w:val="es-UY" w:eastAsia="es-UY"/>
              </w:rPr>
              <w:t>Se solicitaran préstamo a 10/2016</w:t>
            </w:r>
            <w:r>
              <w:rPr>
                <w:rFonts w:cs="Arial"/>
                <w:color w:val="000000"/>
                <w:lang w:val="es-UY" w:eastAsia="es-UY"/>
              </w:rPr>
              <w:t xml:space="preserve"> – Ap. (5)</w:t>
            </w:r>
          </w:p>
        </w:tc>
        <w:tc>
          <w:tcPr>
            <w:tcW w:w="1551" w:type="dxa"/>
            <w:tcBorders>
              <w:top w:val="nil"/>
              <w:left w:val="nil"/>
              <w:bottom w:val="nil"/>
              <w:right w:val="nil"/>
            </w:tcBorders>
            <w:shd w:val="clear" w:color="auto" w:fill="auto"/>
            <w:noWrap/>
            <w:vAlign w:val="bottom"/>
            <w:hideMark/>
          </w:tcPr>
          <w:p w:rsidR="009E3E57" w:rsidRPr="0037169E" w:rsidRDefault="009E3E57" w:rsidP="00AA0A37">
            <w:pPr>
              <w:spacing w:after="0" w:line="240" w:lineRule="auto"/>
              <w:jc w:val="right"/>
              <w:rPr>
                <w:rFonts w:cs="Arial"/>
                <w:color w:val="000000"/>
                <w:lang w:val="es-UY" w:eastAsia="es-UY"/>
              </w:rPr>
            </w:pPr>
            <w:r w:rsidRPr="0037169E">
              <w:rPr>
                <w:rFonts w:cs="Arial"/>
                <w:color w:val="000000"/>
                <w:lang w:val="es-UY" w:eastAsia="es-UY"/>
              </w:rPr>
              <w:t xml:space="preserve">551 </w:t>
            </w:r>
          </w:p>
        </w:tc>
      </w:tr>
      <w:tr w:rsidR="009E3E57" w:rsidRPr="0037169E" w:rsidTr="00AA0A37">
        <w:trPr>
          <w:trHeight w:val="300"/>
        </w:trPr>
        <w:tc>
          <w:tcPr>
            <w:tcW w:w="4041" w:type="dxa"/>
            <w:tcBorders>
              <w:top w:val="nil"/>
              <w:left w:val="nil"/>
              <w:bottom w:val="nil"/>
              <w:right w:val="nil"/>
            </w:tcBorders>
            <w:shd w:val="clear" w:color="auto" w:fill="auto"/>
            <w:noWrap/>
            <w:vAlign w:val="bottom"/>
            <w:hideMark/>
          </w:tcPr>
          <w:p w:rsidR="009E3E57" w:rsidRPr="0037169E" w:rsidRDefault="009E3E57" w:rsidP="00AA0A37">
            <w:pPr>
              <w:spacing w:after="0" w:line="240" w:lineRule="auto"/>
              <w:rPr>
                <w:rFonts w:cs="Arial"/>
                <w:color w:val="000000"/>
                <w:lang w:val="es-UY" w:eastAsia="es-UY"/>
              </w:rPr>
            </w:pPr>
            <w:r w:rsidRPr="0037169E">
              <w:rPr>
                <w:rFonts w:cs="Arial"/>
                <w:color w:val="000000"/>
                <w:lang w:val="es-UY" w:eastAsia="es-UY"/>
              </w:rPr>
              <w:t xml:space="preserve">Cancela Préstamo </w:t>
            </w:r>
            <w:r>
              <w:rPr>
                <w:rFonts w:cs="Arial"/>
                <w:color w:val="000000"/>
                <w:lang w:val="es-UY" w:eastAsia="es-UY"/>
              </w:rPr>
              <w:t xml:space="preserve"> Ap. (5)</w:t>
            </w:r>
          </w:p>
        </w:tc>
        <w:tc>
          <w:tcPr>
            <w:tcW w:w="1551" w:type="dxa"/>
            <w:tcBorders>
              <w:top w:val="nil"/>
              <w:left w:val="nil"/>
              <w:bottom w:val="nil"/>
              <w:right w:val="nil"/>
            </w:tcBorders>
            <w:shd w:val="clear" w:color="auto" w:fill="auto"/>
            <w:noWrap/>
            <w:vAlign w:val="bottom"/>
            <w:hideMark/>
          </w:tcPr>
          <w:p w:rsidR="009E3E57" w:rsidRPr="0037169E" w:rsidRDefault="009E3E57" w:rsidP="00AA0A37">
            <w:pPr>
              <w:spacing w:after="0" w:line="240" w:lineRule="auto"/>
              <w:jc w:val="right"/>
              <w:rPr>
                <w:rFonts w:cs="Arial"/>
                <w:color w:val="000000"/>
                <w:lang w:val="es-UY" w:eastAsia="es-UY"/>
              </w:rPr>
            </w:pPr>
            <w:r w:rsidRPr="0037169E">
              <w:rPr>
                <w:rFonts w:cs="Arial"/>
                <w:color w:val="FF0000"/>
                <w:lang w:val="es-UY" w:eastAsia="es-UY"/>
              </w:rPr>
              <w:t>(2.384)</w:t>
            </w:r>
          </w:p>
        </w:tc>
      </w:tr>
      <w:tr w:rsidR="009E3E57" w:rsidRPr="0037169E" w:rsidTr="00AA0A37">
        <w:trPr>
          <w:trHeight w:val="315"/>
        </w:trPr>
        <w:tc>
          <w:tcPr>
            <w:tcW w:w="4041" w:type="dxa"/>
            <w:tcBorders>
              <w:top w:val="nil"/>
              <w:left w:val="nil"/>
              <w:bottom w:val="nil"/>
              <w:right w:val="nil"/>
            </w:tcBorders>
            <w:shd w:val="clear" w:color="auto" w:fill="auto"/>
            <w:noWrap/>
            <w:vAlign w:val="bottom"/>
            <w:hideMark/>
          </w:tcPr>
          <w:p w:rsidR="009E3E57" w:rsidRPr="0037169E" w:rsidRDefault="009E3E57" w:rsidP="00AA0A37">
            <w:pPr>
              <w:spacing w:after="0" w:line="240" w:lineRule="auto"/>
              <w:rPr>
                <w:rFonts w:cs="Arial"/>
                <w:color w:val="000000"/>
                <w:lang w:val="es-UY" w:eastAsia="es-UY"/>
              </w:rPr>
            </w:pPr>
          </w:p>
        </w:tc>
        <w:tc>
          <w:tcPr>
            <w:tcW w:w="1551" w:type="dxa"/>
            <w:tcBorders>
              <w:top w:val="single" w:sz="4" w:space="0" w:color="auto"/>
              <w:left w:val="nil"/>
              <w:bottom w:val="double" w:sz="6" w:space="0" w:color="auto"/>
              <w:right w:val="nil"/>
            </w:tcBorders>
            <w:shd w:val="clear" w:color="auto" w:fill="auto"/>
            <w:noWrap/>
            <w:vAlign w:val="bottom"/>
            <w:hideMark/>
          </w:tcPr>
          <w:p w:rsidR="009E3E57" w:rsidRPr="0037169E" w:rsidRDefault="009E3E57" w:rsidP="00AA0A37">
            <w:pPr>
              <w:spacing w:after="0" w:line="240" w:lineRule="auto"/>
              <w:jc w:val="right"/>
              <w:rPr>
                <w:rFonts w:cs="Arial"/>
                <w:color w:val="000000"/>
                <w:lang w:val="es-UY" w:eastAsia="es-UY"/>
              </w:rPr>
            </w:pPr>
            <w:r w:rsidRPr="0037169E">
              <w:rPr>
                <w:rFonts w:cs="Arial"/>
                <w:color w:val="FF0000"/>
                <w:lang w:val="es-UY" w:eastAsia="es-UY"/>
              </w:rPr>
              <w:t>(312)</w:t>
            </w:r>
          </w:p>
        </w:tc>
      </w:tr>
    </w:tbl>
    <w:p w:rsidR="009E3E57" w:rsidRDefault="009E3E57" w:rsidP="00AA0A37">
      <w:pPr>
        <w:pStyle w:val="Textoindependiente"/>
        <w:shd w:val="clear" w:color="auto" w:fill="FFFFFF"/>
        <w:spacing w:line="360" w:lineRule="auto"/>
        <w:rPr>
          <w:bCs/>
        </w:rPr>
      </w:pPr>
      <w:r>
        <w:rPr>
          <w:bCs/>
        </w:rPr>
        <w:t>Por lo tanto y tomando en cuenta lo expuesto en los antecedentes y en las resultancias del trámite, el plazo de la línea de crédito aumentaría del 31/12/2017 al 30/06/2020, previéndose además tomar nuev</w:t>
      </w:r>
      <w:r w:rsidR="00AA0A37">
        <w:rPr>
          <w:bCs/>
        </w:rPr>
        <w:t>os préstamos en octubre de 2016.</w:t>
      </w:r>
    </w:p>
    <w:p w:rsidR="009E3E57" w:rsidRDefault="009E3E57" w:rsidP="00AA0A37">
      <w:pPr>
        <w:pStyle w:val="Textoindependiente"/>
        <w:shd w:val="clear" w:color="auto" w:fill="FFFFFF"/>
        <w:spacing w:line="360" w:lineRule="auto"/>
        <w:rPr>
          <w:bCs/>
        </w:rPr>
      </w:pPr>
      <w:r>
        <w:rPr>
          <w:bCs/>
        </w:rPr>
        <w:t>Como conclusión y analizado el flujo de fondos de acuerdo a los conceptos incluidos en el Presupuesto Quinquenal que finaliza al 2020, los montos previstos para pago de intereses y amortizaciones por año, adicionando los posibles superávit y déficit previstos en cada ejercicio, en el quinquenio en curso la Intendencia de Maldonado no podría financiar el déficit acumulado al 31/12/2015 que, como ya se expresara, asciende a $ 1.450 millones e incrementaría, al mismo tiempo, su endeudamiento en</w:t>
      </w:r>
      <w:r w:rsidR="008A6FFC">
        <w:rPr>
          <w:bCs/>
        </w:rPr>
        <w:t xml:space="preserve"> 312 millones, aproximadamente.</w:t>
      </w:r>
    </w:p>
    <w:p w:rsidR="009E3E57" w:rsidRDefault="009E3E57" w:rsidP="00AA0A37">
      <w:pPr>
        <w:autoSpaceDE w:val="0"/>
        <w:autoSpaceDN w:val="0"/>
        <w:adjustRightInd w:val="0"/>
        <w:spacing w:after="0" w:line="360" w:lineRule="auto"/>
        <w:rPr>
          <w:rFonts w:ascii="Arial" w:hAnsi="Arial" w:cs="Arial"/>
          <w:b/>
          <w:bCs/>
          <w:sz w:val="24"/>
          <w:szCs w:val="24"/>
        </w:rPr>
      </w:pPr>
      <w:r>
        <w:rPr>
          <w:rFonts w:ascii="Arial" w:hAnsi="Arial" w:cs="Arial"/>
          <w:b/>
          <w:bCs/>
          <w:sz w:val="24"/>
          <w:szCs w:val="24"/>
        </w:rPr>
        <w:t>5) NORMAS Y CRITERIOS APLICABLES</w:t>
      </w:r>
    </w:p>
    <w:p w:rsidR="009E3E57" w:rsidRDefault="009E3E57">
      <w:pPr>
        <w:autoSpaceDE w:val="0"/>
        <w:autoSpaceDN w:val="0"/>
        <w:adjustRightInd w:val="0"/>
        <w:spacing w:after="0" w:line="360" w:lineRule="auto"/>
        <w:ind w:left="2124" w:firstLine="708"/>
        <w:rPr>
          <w:rFonts w:ascii="Arial" w:hAnsi="Arial" w:cs="Arial"/>
          <w:b/>
          <w:bCs/>
          <w:sz w:val="24"/>
          <w:szCs w:val="24"/>
        </w:rPr>
      </w:pPr>
    </w:p>
    <w:p w:rsidR="009E3E57" w:rsidRDefault="009E3E57" w:rsidP="00AA0A37">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5.1 </w:t>
      </w:r>
      <w:r>
        <w:rPr>
          <w:rFonts w:ascii="Arial" w:hAnsi="Arial" w:cs="Arial"/>
          <w:sz w:val="24"/>
          <w:szCs w:val="24"/>
        </w:rPr>
        <w:t>De conformidad al Artículo 301 Inciso 2 de la Constitución de la República, los Gobiernos Departamentales requieren para contratar préstamos “la iniciativa del Intendente y la aprobación de la mayoría absoluta de votos del total de componentes de la Junta Departamental, previo informe del Tribunal de Cuentas. Si el plazo de los préstamos excediera el período de gobierno del Intendente proponente, se requerirá para su aprobación, los dos tercios de votos del total de componentes de la Junta Departamental”.</w:t>
      </w:r>
    </w:p>
    <w:p w:rsidR="009E3E57" w:rsidRDefault="009E3E57" w:rsidP="00AA0A37">
      <w:pPr>
        <w:suppressAutoHyphens/>
        <w:spacing w:line="360" w:lineRule="auto"/>
        <w:jc w:val="both"/>
        <w:rPr>
          <w:rFonts w:ascii="Arial" w:hAnsi="Arial" w:cs="Arial"/>
          <w:b/>
          <w:bCs/>
          <w:sz w:val="24"/>
          <w:szCs w:val="24"/>
        </w:rPr>
      </w:pPr>
      <w:r>
        <w:rPr>
          <w:rFonts w:ascii="Arial" w:hAnsi="Arial" w:cs="Arial"/>
          <w:b/>
          <w:bCs/>
          <w:spacing w:val="-3"/>
          <w:sz w:val="24"/>
          <w:szCs w:val="24"/>
        </w:rPr>
        <w:t>5</w:t>
      </w:r>
      <w:r>
        <w:rPr>
          <w:rFonts w:ascii="Arial" w:hAnsi="Arial" w:cs="Arial"/>
          <w:b/>
          <w:bCs/>
          <w:spacing w:val="-3"/>
          <w:sz w:val="24"/>
          <w:szCs w:val="24"/>
          <w:lang w:val="es-ES_tradnl"/>
        </w:rPr>
        <w:t>.2</w:t>
      </w:r>
      <w:r>
        <w:rPr>
          <w:rFonts w:ascii="Arial" w:hAnsi="Arial" w:cs="Arial"/>
          <w:spacing w:val="-3"/>
          <w:sz w:val="24"/>
          <w:szCs w:val="24"/>
          <w:lang w:val="es-ES_tradnl"/>
        </w:rPr>
        <w:t xml:space="preserve"> El informe del Tribunal tiene por objeto el control de los aspectos legales de la contratación proyectada cuyos términos iniciales se proyectan modificar, proporcionando asimismo la información que dispone sobre la evolución de la situación financiera en relación a los recursos del Organismo. Dicho informe, de acuerdo con la norma precitada, debe ser previo al pronunciamiento de la Junta.</w:t>
      </w:r>
    </w:p>
    <w:p w:rsidR="009E3E57" w:rsidRDefault="009E3E57" w:rsidP="00AA0A37">
      <w:pPr>
        <w:autoSpaceDE w:val="0"/>
        <w:autoSpaceDN w:val="0"/>
        <w:adjustRightInd w:val="0"/>
        <w:spacing w:after="0" w:line="360" w:lineRule="auto"/>
        <w:rPr>
          <w:rFonts w:ascii="Arial" w:hAnsi="Arial" w:cs="Arial"/>
          <w:b/>
          <w:bCs/>
          <w:sz w:val="24"/>
          <w:szCs w:val="24"/>
        </w:rPr>
      </w:pPr>
      <w:r>
        <w:rPr>
          <w:rFonts w:ascii="Arial" w:hAnsi="Arial" w:cs="Arial"/>
          <w:b/>
          <w:bCs/>
          <w:sz w:val="24"/>
          <w:szCs w:val="24"/>
        </w:rPr>
        <w:t>6) CONCLUSIONES</w:t>
      </w:r>
    </w:p>
    <w:p w:rsidR="009E3E57" w:rsidRDefault="009E3E57">
      <w:pPr>
        <w:autoSpaceDE w:val="0"/>
        <w:autoSpaceDN w:val="0"/>
        <w:adjustRightInd w:val="0"/>
        <w:spacing w:after="0" w:line="360" w:lineRule="auto"/>
        <w:rPr>
          <w:rFonts w:ascii="Arial" w:hAnsi="Arial" w:cs="Arial"/>
          <w:b/>
          <w:bCs/>
          <w:sz w:val="24"/>
          <w:szCs w:val="24"/>
        </w:rPr>
      </w:pPr>
    </w:p>
    <w:p w:rsidR="009E3E57" w:rsidRDefault="009E3E57" w:rsidP="00AA0A37">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6.1 </w:t>
      </w:r>
      <w:r>
        <w:rPr>
          <w:rFonts w:ascii="Arial" w:hAnsi="Arial" w:cs="Arial"/>
          <w:sz w:val="24"/>
          <w:szCs w:val="24"/>
        </w:rPr>
        <w:t>Se ha dado cumplimiento a lo dispuesto por el Artículo 301 Inciso 2º de la Constitución de la República al solicitarse el informe que compete a este Tribunal, previamente a la aprobación de las modificaciones proyectadas a la autorización concedida por la Junta Departamental mediante Resolución                   Nº 442/2014.</w:t>
      </w:r>
    </w:p>
    <w:p w:rsidR="009E3E57" w:rsidRDefault="009E3E57" w:rsidP="00AA0A37">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6.2  </w:t>
      </w:r>
      <w:r>
        <w:rPr>
          <w:rFonts w:ascii="Arial" w:hAnsi="Arial" w:cs="Arial"/>
          <w:sz w:val="24"/>
          <w:szCs w:val="24"/>
        </w:rPr>
        <w:t>Se deberá hacer la previsión presupuestal de fondos para el pago de las líneas de crédito proyectadas y sus intereses. (Punto 4.1).</w:t>
      </w:r>
    </w:p>
    <w:p w:rsidR="009E3E57" w:rsidRDefault="009E3E57" w:rsidP="00AA0A37">
      <w:pPr>
        <w:autoSpaceDE w:val="0"/>
        <w:autoSpaceDN w:val="0"/>
        <w:adjustRightInd w:val="0"/>
        <w:spacing w:after="0" w:line="360" w:lineRule="auto"/>
        <w:jc w:val="both"/>
        <w:rPr>
          <w:rFonts w:ascii="Arial" w:hAnsi="Arial" w:cs="Arial"/>
          <w:sz w:val="24"/>
          <w:szCs w:val="24"/>
        </w:rPr>
      </w:pPr>
      <w:r w:rsidRPr="000A55E7">
        <w:rPr>
          <w:rFonts w:ascii="Arial" w:hAnsi="Arial" w:cs="Arial"/>
          <w:b/>
          <w:sz w:val="24"/>
          <w:szCs w:val="24"/>
        </w:rPr>
        <w:t>6.3</w:t>
      </w:r>
      <w:r w:rsidRPr="000A55E7">
        <w:rPr>
          <w:rFonts w:ascii="Arial" w:hAnsi="Arial" w:cs="Arial"/>
          <w:sz w:val="24"/>
          <w:szCs w:val="24"/>
        </w:rPr>
        <w:t xml:space="preserve"> </w:t>
      </w:r>
      <w:r>
        <w:rPr>
          <w:rFonts w:ascii="Arial" w:hAnsi="Arial" w:cs="Arial"/>
          <w:sz w:val="24"/>
          <w:szCs w:val="24"/>
        </w:rPr>
        <w:t>Se deberá reestructurar el Presupuesto vigente a los efectos de absorber el déficit generado por la nueva línea de crédito y la financiación del déficit acumulado al 31/12/2015 (Punto 4.6).</w:t>
      </w:r>
    </w:p>
    <w:p w:rsidR="0015394D" w:rsidRPr="000A55E7" w:rsidRDefault="0015394D" w:rsidP="00AA0A37">
      <w:pPr>
        <w:autoSpaceDE w:val="0"/>
        <w:autoSpaceDN w:val="0"/>
        <w:adjustRightInd w:val="0"/>
        <w:spacing w:after="0" w:line="360" w:lineRule="auto"/>
        <w:jc w:val="both"/>
        <w:rPr>
          <w:rFonts w:ascii="Arial" w:hAnsi="Arial" w:cs="Arial"/>
          <w:sz w:val="24"/>
          <w:szCs w:val="24"/>
        </w:rPr>
      </w:pPr>
    </w:p>
    <w:p w:rsidR="009E3E57" w:rsidRPr="008A6FFC" w:rsidRDefault="009E3E57" w:rsidP="00AA0A37">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6.4 </w:t>
      </w:r>
      <w:r w:rsidRPr="00726CE9">
        <w:rPr>
          <w:rFonts w:ascii="Arial" w:hAnsi="Arial"/>
          <w:sz w:val="24"/>
          <w:szCs w:val="24"/>
        </w:rPr>
        <w:t xml:space="preserve">Otorgada la anuencia </w:t>
      </w:r>
      <w:r>
        <w:rPr>
          <w:rFonts w:ascii="Arial" w:hAnsi="Arial"/>
          <w:sz w:val="24"/>
          <w:szCs w:val="24"/>
        </w:rPr>
        <w:t xml:space="preserve">por parte de la Junta Departamental y culminado el procedimiento </w:t>
      </w:r>
      <w:r w:rsidRPr="00726CE9">
        <w:rPr>
          <w:rFonts w:ascii="Arial" w:hAnsi="Arial"/>
          <w:sz w:val="24"/>
          <w:szCs w:val="24"/>
        </w:rPr>
        <w:t>de contratación</w:t>
      </w:r>
      <w:r>
        <w:rPr>
          <w:rFonts w:ascii="Arial" w:hAnsi="Arial"/>
          <w:sz w:val="24"/>
          <w:szCs w:val="24"/>
        </w:rPr>
        <w:t xml:space="preserve"> respectivo (Artículo 33 del T.O.C.A.F.)</w:t>
      </w:r>
      <w:r w:rsidRPr="00726CE9">
        <w:rPr>
          <w:rFonts w:ascii="Arial" w:hAnsi="Arial"/>
          <w:sz w:val="24"/>
          <w:szCs w:val="24"/>
        </w:rPr>
        <w:t xml:space="preserve">, </w:t>
      </w:r>
      <w:r>
        <w:rPr>
          <w:rFonts w:ascii="Arial" w:hAnsi="Arial"/>
          <w:sz w:val="24"/>
          <w:szCs w:val="24"/>
        </w:rPr>
        <w:t xml:space="preserve">el mismo </w:t>
      </w:r>
      <w:r w:rsidRPr="00726CE9">
        <w:rPr>
          <w:rFonts w:ascii="Arial" w:hAnsi="Arial"/>
          <w:sz w:val="24"/>
          <w:szCs w:val="24"/>
        </w:rPr>
        <w:t xml:space="preserve">deberá ser sometido por la Intendencia actuante, junto con el contrato </w:t>
      </w:r>
      <w:proofErr w:type="gramStart"/>
      <w:r w:rsidRPr="00726CE9">
        <w:rPr>
          <w:rFonts w:ascii="Arial" w:hAnsi="Arial"/>
          <w:sz w:val="24"/>
          <w:szCs w:val="24"/>
        </w:rPr>
        <w:t>proyectado</w:t>
      </w:r>
      <w:proofErr w:type="gramEnd"/>
      <w:r w:rsidRPr="00726CE9">
        <w:rPr>
          <w:rFonts w:ascii="Arial" w:hAnsi="Arial"/>
          <w:sz w:val="24"/>
          <w:szCs w:val="24"/>
        </w:rPr>
        <w:t xml:space="preserve"> o suscrito ad referéndum, a la interve</w:t>
      </w:r>
      <w:r>
        <w:rPr>
          <w:rFonts w:ascii="Arial" w:hAnsi="Arial"/>
          <w:sz w:val="24"/>
          <w:szCs w:val="24"/>
        </w:rPr>
        <w:t>nción preventiva que compete a es</w:t>
      </w:r>
      <w:r w:rsidRPr="00726CE9">
        <w:rPr>
          <w:rFonts w:ascii="Arial" w:hAnsi="Arial"/>
          <w:sz w:val="24"/>
          <w:szCs w:val="24"/>
        </w:rPr>
        <w:t>te Tribunal.</w:t>
      </w:r>
    </w:p>
    <w:p w:rsidR="009E3E57" w:rsidRPr="006258B4" w:rsidRDefault="009E3E57" w:rsidP="00AA0A37">
      <w:pPr>
        <w:autoSpaceDE w:val="0"/>
        <w:autoSpaceDN w:val="0"/>
        <w:adjustRightInd w:val="0"/>
        <w:spacing w:after="0" w:line="360" w:lineRule="auto"/>
        <w:jc w:val="both"/>
        <w:rPr>
          <w:rFonts w:ascii="LiberationSans-Regular" w:hAnsi="LiberationSans-Regular" w:cs="LiberationSans-Regular"/>
          <w:sz w:val="20"/>
          <w:szCs w:val="20"/>
        </w:rPr>
      </w:pPr>
    </w:p>
    <w:p w:rsidR="009E3E57" w:rsidRDefault="009E3E57">
      <w:pPr>
        <w:autoSpaceDE w:val="0"/>
        <w:autoSpaceDN w:val="0"/>
        <w:adjustRightInd w:val="0"/>
        <w:spacing w:after="0" w:line="240" w:lineRule="auto"/>
        <w:rPr>
          <w:rFonts w:ascii="LiberationSans-Regular" w:hAnsi="LiberationSans-Regular" w:cs="LiberationSans-Regular"/>
          <w:sz w:val="20"/>
          <w:szCs w:val="20"/>
        </w:rPr>
      </w:pPr>
    </w:p>
    <w:p w:rsidR="009E3E57" w:rsidRDefault="009E3E57">
      <w:pPr>
        <w:autoSpaceDE w:val="0"/>
        <w:autoSpaceDN w:val="0"/>
        <w:adjustRightInd w:val="0"/>
        <w:spacing w:after="0" w:line="240" w:lineRule="auto"/>
        <w:rPr>
          <w:rFonts w:ascii="LiberationSans-Regular" w:hAnsi="LiberationSans-Regular" w:cs="LiberationSans-Regular"/>
          <w:sz w:val="20"/>
          <w:szCs w:val="20"/>
        </w:rPr>
      </w:pPr>
    </w:p>
    <w:p w:rsidR="00E52499" w:rsidRPr="009E3E57" w:rsidRDefault="009E3E57" w:rsidP="009E3E57">
      <w:pPr>
        <w:spacing w:after="0" w:line="360" w:lineRule="auto"/>
        <w:rPr>
          <w:rFonts w:ascii="Arial" w:hAnsi="Arial" w:cs="Times New Roman"/>
          <w:sz w:val="24"/>
          <w:szCs w:val="24"/>
          <w:lang w:val="es-MX" w:eastAsia="es-ES"/>
        </w:rPr>
      </w:pPr>
      <w:proofErr w:type="spellStart"/>
      <w:proofErr w:type="gramStart"/>
      <w:r w:rsidRPr="00CA5CDF">
        <w:rPr>
          <w:rFonts w:ascii="Arial" w:hAnsi="Arial" w:cs="Times New Roman"/>
          <w:sz w:val="24"/>
          <w:szCs w:val="24"/>
          <w:lang w:val="es-MX" w:eastAsia="es-ES"/>
        </w:rPr>
        <w:t>ag</w:t>
      </w:r>
      <w:proofErr w:type="spellEnd"/>
      <w:proofErr w:type="gramEnd"/>
    </w:p>
    <w:sectPr w:rsidR="00E52499" w:rsidRPr="009E3E57" w:rsidSect="00003C28">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94D" w:rsidRDefault="0015394D">
      <w:pPr>
        <w:spacing w:after="0" w:line="240" w:lineRule="auto"/>
      </w:pPr>
      <w:r>
        <w:separator/>
      </w:r>
    </w:p>
  </w:endnote>
  <w:endnote w:type="continuationSeparator" w:id="0">
    <w:p w:rsidR="0015394D" w:rsidRDefault="00153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LiberationSans-Bold">
    <w:altName w:val="Arial"/>
    <w:panose1 w:val="00000000000000000000"/>
    <w:charset w:val="00"/>
    <w:family w:val="auto"/>
    <w:notTrueType/>
    <w:pitch w:val="default"/>
    <w:sig w:usb0="00000003" w:usb1="00000000" w:usb2="00000000" w:usb3="00000000" w:csb0="00000001" w:csb1="00000000"/>
  </w:font>
  <w:font w:name="LiberationSans-Regular">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4D" w:rsidRDefault="0015394D">
    <w:pPr>
      <w:pStyle w:val="Piedepgina"/>
      <w:jc w:val="center"/>
    </w:pPr>
    <w:r>
      <w:fldChar w:fldCharType="begin"/>
    </w:r>
    <w:r>
      <w:instrText>PAGE   \* MERGEFORMAT</w:instrText>
    </w:r>
    <w:r>
      <w:fldChar w:fldCharType="separate"/>
    </w:r>
    <w:r w:rsidR="003912CD">
      <w:rPr>
        <w:noProof/>
      </w:rPr>
      <w:t>1</w:t>
    </w:r>
    <w:r>
      <w:fldChar w:fldCharType="end"/>
    </w:r>
  </w:p>
  <w:p w:rsidR="0015394D" w:rsidRDefault="001539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94D" w:rsidRDefault="0015394D">
      <w:pPr>
        <w:spacing w:after="0" w:line="240" w:lineRule="auto"/>
      </w:pPr>
      <w:r>
        <w:separator/>
      </w:r>
    </w:p>
  </w:footnote>
  <w:footnote w:type="continuationSeparator" w:id="0">
    <w:p w:rsidR="0015394D" w:rsidRDefault="001539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2B9F"/>
    <w:multiLevelType w:val="hybridMultilevel"/>
    <w:tmpl w:val="2682A14E"/>
    <w:lvl w:ilvl="0" w:tplc="B7B40982">
      <w:start w:val="1"/>
      <w:numFmt w:val="decimal"/>
      <w:lvlText w:val="%1)"/>
      <w:lvlJc w:val="left"/>
      <w:pPr>
        <w:ind w:left="360" w:hanging="360"/>
      </w:pPr>
      <w:rPr>
        <w:rFonts w:ascii="Arial" w:eastAsia="Times New Roman" w:hAnsi="Arial" w:cs="Arial"/>
        <w:b/>
      </w:rPr>
    </w:lvl>
    <w:lvl w:ilvl="1" w:tplc="0C0A0019">
      <w:start w:val="1"/>
      <w:numFmt w:val="lowerLetter"/>
      <w:lvlText w:val="%2."/>
      <w:lvlJc w:val="left"/>
      <w:pPr>
        <w:ind w:left="1080" w:hanging="360"/>
      </w:pPr>
      <w:rPr>
        <w:rFonts w:ascii="Times New Roman" w:hAnsi="Times New Roman" w:cs="Times New Roman"/>
      </w:rPr>
    </w:lvl>
    <w:lvl w:ilvl="2" w:tplc="0C0A001B">
      <w:start w:val="1"/>
      <w:numFmt w:val="lowerRoman"/>
      <w:lvlText w:val="%3."/>
      <w:lvlJc w:val="right"/>
      <w:pPr>
        <w:ind w:left="1800" w:hanging="180"/>
      </w:pPr>
      <w:rPr>
        <w:rFonts w:ascii="Times New Roman" w:hAnsi="Times New Roman" w:cs="Times New Roman"/>
      </w:rPr>
    </w:lvl>
    <w:lvl w:ilvl="3" w:tplc="0C0A000F">
      <w:start w:val="1"/>
      <w:numFmt w:val="decimal"/>
      <w:lvlText w:val="%4."/>
      <w:lvlJc w:val="left"/>
      <w:pPr>
        <w:ind w:left="2520" w:hanging="360"/>
      </w:pPr>
      <w:rPr>
        <w:rFonts w:ascii="Times New Roman" w:hAnsi="Times New Roman" w:cs="Times New Roman"/>
      </w:rPr>
    </w:lvl>
    <w:lvl w:ilvl="4" w:tplc="0C0A0019">
      <w:start w:val="1"/>
      <w:numFmt w:val="lowerLetter"/>
      <w:lvlText w:val="%5."/>
      <w:lvlJc w:val="left"/>
      <w:pPr>
        <w:ind w:left="3240" w:hanging="360"/>
      </w:pPr>
      <w:rPr>
        <w:rFonts w:ascii="Times New Roman" w:hAnsi="Times New Roman" w:cs="Times New Roman"/>
      </w:rPr>
    </w:lvl>
    <w:lvl w:ilvl="5" w:tplc="0C0A001B">
      <w:start w:val="1"/>
      <w:numFmt w:val="lowerRoman"/>
      <w:lvlText w:val="%6."/>
      <w:lvlJc w:val="right"/>
      <w:pPr>
        <w:ind w:left="3960" w:hanging="180"/>
      </w:pPr>
      <w:rPr>
        <w:rFonts w:ascii="Times New Roman" w:hAnsi="Times New Roman" w:cs="Times New Roman"/>
      </w:rPr>
    </w:lvl>
    <w:lvl w:ilvl="6" w:tplc="0C0A000F">
      <w:start w:val="1"/>
      <w:numFmt w:val="decimal"/>
      <w:lvlText w:val="%7."/>
      <w:lvlJc w:val="left"/>
      <w:pPr>
        <w:ind w:left="4680" w:hanging="360"/>
      </w:pPr>
      <w:rPr>
        <w:rFonts w:ascii="Times New Roman" w:hAnsi="Times New Roman" w:cs="Times New Roman"/>
      </w:rPr>
    </w:lvl>
    <w:lvl w:ilvl="7" w:tplc="0C0A0019">
      <w:start w:val="1"/>
      <w:numFmt w:val="lowerLetter"/>
      <w:lvlText w:val="%8."/>
      <w:lvlJc w:val="left"/>
      <w:pPr>
        <w:ind w:left="5400" w:hanging="360"/>
      </w:pPr>
      <w:rPr>
        <w:rFonts w:ascii="Times New Roman" w:hAnsi="Times New Roman" w:cs="Times New Roman"/>
      </w:rPr>
    </w:lvl>
    <w:lvl w:ilvl="8" w:tplc="0C0A001B">
      <w:start w:val="1"/>
      <w:numFmt w:val="lowerRoman"/>
      <w:lvlText w:val="%9."/>
      <w:lvlJc w:val="right"/>
      <w:pPr>
        <w:ind w:left="612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0C"/>
    <w:rsid w:val="00003C28"/>
    <w:rsid w:val="000B45B2"/>
    <w:rsid w:val="00110E44"/>
    <w:rsid w:val="0015394D"/>
    <w:rsid w:val="001B6679"/>
    <w:rsid w:val="002D73C6"/>
    <w:rsid w:val="00330E46"/>
    <w:rsid w:val="00357502"/>
    <w:rsid w:val="0038173F"/>
    <w:rsid w:val="003912CD"/>
    <w:rsid w:val="003A1467"/>
    <w:rsid w:val="003E3A52"/>
    <w:rsid w:val="003E6EE3"/>
    <w:rsid w:val="0041796E"/>
    <w:rsid w:val="00424A68"/>
    <w:rsid w:val="00594DB8"/>
    <w:rsid w:val="005D316D"/>
    <w:rsid w:val="0066693B"/>
    <w:rsid w:val="006C4959"/>
    <w:rsid w:val="008A6FFC"/>
    <w:rsid w:val="00965ADA"/>
    <w:rsid w:val="0098481B"/>
    <w:rsid w:val="009C644F"/>
    <w:rsid w:val="009E3E57"/>
    <w:rsid w:val="00A43586"/>
    <w:rsid w:val="00AA0A37"/>
    <w:rsid w:val="00BA12D0"/>
    <w:rsid w:val="00D76B48"/>
    <w:rsid w:val="00DB690C"/>
    <w:rsid w:val="00E01B74"/>
    <w:rsid w:val="00E07439"/>
    <w:rsid w:val="00E52499"/>
    <w:rsid w:val="00F71757"/>
    <w:rsid w:val="00F72850"/>
    <w:rsid w:val="00F909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0C"/>
    <w:rPr>
      <w:rFonts w:ascii="Calibri" w:eastAsia="Times New Roman" w:hAnsi="Calibri" w:cs="Calibri"/>
    </w:rPr>
  </w:style>
  <w:style w:type="paragraph" w:styleId="Ttulo1">
    <w:name w:val="heading 1"/>
    <w:basedOn w:val="Normal"/>
    <w:next w:val="Normal"/>
    <w:link w:val="Ttulo1Car"/>
    <w:uiPriority w:val="99"/>
    <w:qFormat/>
    <w:rsid w:val="00DB690C"/>
    <w:pPr>
      <w:keepNext/>
      <w:widowControl w:val="0"/>
      <w:suppressAutoHyphens/>
      <w:spacing w:after="0" w:line="240" w:lineRule="auto"/>
      <w:jc w:val="both"/>
      <w:outlineLvl w:val="0"/>
    </w:pPr>
    <w:rPr>
      <w:rFonts w:ascii="Bookman Old Style" w:hAnsi="Bookman Old Style" w:cs="Bookman Old Style"/>
      <w:b/>
      <w:bCs/>
      <w:spacing w:val="-3"/>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DB690C"/>
    <w:rPr>
      <w:rFonts w:ascii="Bookman Old Style" w:eastAsia="Times New Roman" w:hAnsi="Bookman Old Style" w:cs="Bookman Old Style"/>
      <w:b/>
      <w:bCs/>
      <w:spacing w:val="-3"/>
      <w:sz w:val="24"/>
      <w:szCs w:val="24"/>
      <w:lang w:val="es-ES_tradnl" w:eastAsia="es-ES"/>
    </w:rPr>
  </w:style>
  <w:style w:type="paragraph" w:styleId="Piedepgina">
    <w:name w:val="footer"/>
    <w:basedOn w:val="Normal"/>
    <w:link w:val="PiedepginaCar"/>
    <w:uiPriority w:val="99"/>
    <w:unhideWhenUsed/>
    <w:rsid w:val="00DB690C"/>
    <w:pPr>
      <w:tabs>
        <w:tab w:val="center" w:pos="4252"/>
        <w:tab w:val="right" w:pos="8504"/>
      </w:tabs>
    </w:pPr>
  </w:style>
  <w:style w:type="character" w:customStyle="1" w:styleId="PiedepginaCar">
    <w:name w:val="Pie de página Car"/>
    <w:basedOn w:val="Fuentedeprrafopredeter"/>
    <w:link w:val="Piedepgina"/>
    <w:uiPriority w:val="99"/>
    <w:rsid w:val="00DB690C"/>
    <w:rPr>
      <w:rFonts w:ascii="Calibri" w:eastAsia="Times New Roman" w:hAnsi="Calibri" w:cs="Calibri"/>
    </w:rPr>
  </w:style>
  <w:style w:type="paragraph" w:styleId="Prrafodelista">
    <w:name w:val="List Paragraph"/>
    <w:basedOn w:val="Normal"/>
    <w:uiPriority w:val="34"/>
    <w:qFormat/>
    <w:rsid w:val="0066693B"/>
    <w:pPr>
      <w:ind w:left="720"/>
      <w:contextualSpacing/>
    </w:pPr>
  </w:style>
  <w:style w:type="paragraph" w:styleId="Textoindependiente">
    <w:name w:val="Body Text"/>
    <w:basedOn w:val="Normal"/>
    <w:link w:val="TextoindependienteCar"/>
    <w:uiPriority w:val="99"/>
    <w:rsid w:val="009E3E57"/>
    <w:pPr>
      <w:widowControl w:val="0"/>
      <w:suppressAutoHyphens/>
      <w:spacing w:after="0" w:line="240" w:lineRule="auto"/>
      <w:jc w:val="both"/>
    </w:pPr>
    <w:rPr>
      <w:rFonts w:ascii="Arial" w:hAnsi="Arial" w:cs="Arial"/>
      <w:spacing w:val="-3"/>
      <w:sz w:val="24"/>
      <w:szCs w:val="24"/>
      <w:lang w:val="es-ES_tradnl" w:eastAsia="es-ES"/>
    </w:rPr>
  </w:style>
  <w:style w:type="character" w:customStyle="1" w:styleId="TextoindependienteCar">
    <w:name w:val="Texto independiente Car"/>
    <w:basedOn w:val="Fuentedeprrafopredeter"/>
    <w:link w:val="Textoindependiente"/>
    <w:uiPriority w:val="99"/>
    <w:rsid w:val="009E3E57"/>
    <w:rPr>
      <w:rFonts w:ascii="Arial" w:eastAsia="Times New Roman" w:hAnsi="Arial" w:cs="Arial"/>
      <w:spacing w:val="-3"/>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0C"/>
    <w:rPr>
      <w:rFonts w:ascii="Calibri" w:eastAsia="Times New Roman" w:hAnsi="Calibri" w:cs="Calibri"/>
    </w:rPr>
  </w:style>
  <w:style w:type="paragraph" w:styleId="Ttulo1">
    <w:name w:val="heading 1"/>
    <w:basedOn w:val="Normal"/>
    <w:next w:val="Normal"/>
    <w:link w:val="Ttulo1Car"/>
    <w:uiPriority w:val="99"/>
    <w:qFormat/>
    <w:rsid w:val="00DB690C"/>
    <w:pPr>
      <w:keepNext/>
      <w:widowControl w:val="0"/>
      <w:suppressAutoHyphens/>
      <w:spacing w:after="0" w:line="240" w:lineRule="auto"/>
      <w:jc w:val="both"/>
      <w:outlineLvl w:val="0"/>
    </w:pPr>
    <w:rPr>
      <w:rFonts w:ascii="Bookman Old Style" w:hAnsi="Bookman Old Style" w:cs="Bookman Old Style"/>
      <w:b/>
      <w:bCs/>
      <w:spacing w:val="-3"/>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DB690C"/>
    <w:rPr>
      <w:rFonts w:ascii="Bookman Old Style" w:eastAsia="Times New Roman" w:hAnsi="Bookman Old Style" w:cs="Bookman Old Style"/>
      <w:b/>
      <w:bCs/>
      <w:spacing w:val="-3"/>
      <w:sz w:val="24"/>
      <w:szCs w:val="24"/>
      <w:lang w:val="es-ES_tradnl" w:eastAsia="es-ES"/>
    </w:rPr>
  </w:style>
  <w:style w:type="paragraph" w:styleId="Piedepgina">
    <w:name w:val="footer"/>
    <w:basedOn w:val="Normal"/>
    <w:link w:val="PiedepginaCar"/>
    <w:uiPriority w:val="99"/>
    <w:unhideWhenUsed/>
    <w:rsid w:val="00DB690C"/>
    <w:pPr>
      <w:tabs>
        <w:tab w:val="center" w:pos="4252"/>
        <w:tab w:val="right" w:pos="8504"/>
      </w:tabs>
    </w:pPr>
  </w:style>
  <w:style w:type="character" w:customStyle="1" w:styleId="PiedepginaCar">
    <w:name w:val="Pie de página Car"/>
    <w:basedOn w:val="Fuentedeprrafopredeter"/>
    <w:link w:val="Piedepgina"/>
    <w:uiPriority w:val="99"/>
    <w:rsid w:val="00DB690C"/>
    <w:rPr>
      <w:rFonts w:ascii="Calibri" w:eastAsia="Times New Roman" w:hAnsi="Calibri" w:cs="Calibri"/>
    </w:rPr>
  </w:style>
  <w:style w:type="paragraph" w:styleId="Prrafodelista">
    <w:name w:val="List Paragraph"/>
    <w:basedOn w:val="Normal"/>
    <w:uiPriority w:val="34"/>
    <w:qFormat/>
    <w:rsid w:val="0066693B"/>
    <w:pPr>
      <w:ind w:left="720"/>
      <w:contextualSpacing/>
    </w:pPr>
  </w:style>
  <w:style w:type="paragraph" w:styleId="Textoindependiente">
    <w:name w:val="Body Text"/>
    <w:basedOn w:val="Normal"/>
    <w:link w:val="TextoindependienteCar"/>
    <w:uiPriority w:val="99"/>
    <w:rsid w:val="009E3E57"/>
    <w:pPr>
      <w:widowControl w:val="0"/>
      <w:suppressAutoHyphens/>
      <w:spacing w:after="0" w:line="240" w:lineRule="auto"/>
      <w:jc w:val="both"/>
    </w:pPr>
    <w:rPr>
      <w:rFonts w:ascii="Arial" w:hAnsi="Arial" w:cs="Arial"/>
      <w:spacing w:val="-3"/>
      <w:sz w:val="24"/>
      <w:szCs w:val="24"/>
      <w:lang w:val="es-ES_tradnl" w:eastAsia="es-ES"/>
    </w:rPr>
  </w:style>
  <w:style w:type="character" w:customStyle="1" w:styleId="TextoindependienteCar">
    <w:name w:val="Texto independiente Car"/>
    <w:basedOn w:val="Fuentedeprrafopredeter"/>
    <w:link w:val="Textoindependiente"/>
    <w:uiPriority w:val="99"/>
    <w:rsid w:val="009E3E57"/>
    <w:rPr>
      <w:rFonts w:ascii="Arial" w:eastAsia="Times New Roman" w:hAnsi="Arial" w:cs="Arial"/>
      <w:spacing w:val="-3"/>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1424</Words>
  <Characters>7833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24</cp:revision>
  <cp:lastPrinted>2016-08-09T15:36:00Z</cp:lastPrinted>
  <dcterms:created xsi:type="dcterms:W3CDTF">2016-08-09T13:22:00Z</dcterms:created>
  <dcterms:modified xsi:type="dcterms:W3CDTF">2016-11-17T17:49:00Z</dcterms:modified>
</cp:coreProperties>
</file>