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18" w:rsidRPr="00786EEB" w:rsidRDefault="00BE521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505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E5218" w:rsidRDefault="00BE521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E5218" w:rsidRPr="00762B34" w:rsidRDefault="00BE521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E5218" w:rsidRPr="00762B34" w:rsidRDefault="00BE521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E5218" w:rsidRPr="00762B34" w:rsidRDefault="00BE521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E5218" w:rsidRPr="00762B34" w:rsidRDefault="00BE521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E5218" w:rsidRPr="00762B34" w:rsidRDefault="00BE521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5 DE OCTUBRE DE 2016</w:t>
      </w:r>
    </w:p>
    <w:p w:rsidR="00BE5218" w:rsidRPr="00762B34" w:rsidRDefault="00BE521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E5218" w:rsidRPr="00BE5218" w:rsidRDefault="00BE521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BE5218">
        <w:rPr>
          <w:rFonts w:ascii="Arial" w:hAnsi="Arial" w:cs="Arial"/>
          <w:b/>
          <w:lang w:val="es-UY"/>
        </w:rPr>
        <w:t xml:space="preserve">(E. E. Nº 2016-17-1-0002251, </w:t>
      </w:r>
      <w:proofErr w:type="spellStart"/>
      <w:r w:rsidRPr="00BE5218">
        <w:rPr>
          <w:rFonts w:ascii="Arial" w:hAnsi="Arial" w:cs="Arial"/>
          <w:b/>
          <w:lang w:val="es-UY"/>
        </w:rPr>
        <w:t>Ent</w:t>
      </w:r>
      <w:proofErr w:type="spellEnd"/>
      <w:r w:rsidRPr="00BE5218">
        <w:rPr>
          <w:rFonts w:ascii="Arial" w:hAnsi="Arial" w:cs="Arial"/>
          <w:b/>
          <w:lang w:val="es-UY"/>
        </w:rPr>
        <w:t>. N° 5136/16)</w:t>
      </w:r>
    </w:p>
    <w:p w:rsidR="00BE5218" w:rsidRPr="00BE5218" w:rsidRDefault="00BE521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E5218" w:rsidRPr="00BE5218" w:rsidRDefault="00BE5218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634338" w:rsidRPr="00BD682F" w:rsidRDefault="00634338" w:rsidP="00BE5218">
      <w:pPr>
        <w:spacing w:line="360" w:lineRule="auto"/>
        <w:ind w:firstLine="708"/>
        <w:jc w:val="both"/>
        <w:rPr>
          <w:rFonts w:ascii="Arial" w:hAnsi="Arial" w:cs="Arial"/>
        </w:rPr>
      </w:pPr>
      <w:r w:rsidRPr="00BD682F">
        <w:rPr>
          <w:rFonts w:ascii="Arial" w:hAnsi="Arial" w:cs="Arial"/>
          <w:b/>
        </w:rPr>
        <w:t>VISTO:</w:t>
      </w:r>
      <w:r w:rsidRPr="00BD682F">
        <w:rPr>
          <w:rFonts w:ascii="Arial" w:hAnsi="Arial" w:cs="Arial"/>
        </w:rPr>
        <w:t xml:space="preserve"> las nuevas actuaciones remitidas por el </w:t>
      </w:r>
      <w:r w:rsidR="00DF3409">
        <w:rPr>
          <w:rFonts w:ascii="Arial" w:hAnsi="Arial" w:cs="Arial"/>
        </w:rPr>
        <w:t>Poder Judicial</w:t>
      </w:r>
      <w:r w:rsidR="00EF66D1">
        <w:rPr>
          <w:rFonts w:ascii="Arial" w:hAnsi="Arial" w:cs="Arial"/>
        </w:rPr>
        <w:t>,</w:t>
      </w:r>
      <w:r w:rsidR="00DF3409" w:rsidRPr="00BD682F">
        <w:rPr>
          <w:rFonts w:ascii="Arial" w:hAnsi="Arial" w:cs="Arial"/>
        </w:rPr>
        <w:t xml:space="preserve"> relacionadas con </w:t>
      </w:r>
      <w:r w:rsidR="00DF3409">
        <w:rPr>
          <w:rFonts w:ascii="Arial" w:hAnsi="Arial" w:cs="Arial"/>
        </w:rPr>
        <w:t>la Licitación Pública Nº 1/2015, para la contratación de Servicio de Limpieza para distintos locales sedes de Oficinas Judiciales de la Ciudad de Montevideo, Pando y Ciudad de la Costa, por el plazo de un año, prorrogable automáticamente por cuatro períodos iguales y consecutivos</w:t>
      </w:r>
      <w:r w:rsidRPr="00BD682F">
        <w:rPr>
          <w:rFonts w:ascii="Arial" w:hAnsi="Arial" w:cs="Arial"/>
        </w:rPr>
        <w:t xml:space="preserve">;  </w:t>
      </w:r>
    </w:p>
    <w:p w:rsidR="00EF66D1" w:rsidRDefault="00BE5218" w:rsidP="00766203">
      <w:pPr>
        <w:pStyle w:val="Sangra2detindependiente"/>
        <w:tabs>
          <w:tab w:val="left" w:pos="-720"/>
        </w:tabs>
        <w:suppressAutoHyphens/>
        <w:ind w:left="0"/>
        <w:rPr>
          <w:lang w:val="es-UY"/>
        </w:rPr>
      </w:pPr>
      <w:r>
        <w:rPr>
          <w:b/>
        </w:rPr>
        <w:tab/>
      </w:r>
      <w:r w:rsidR="00634338" w:rsidRPr="00BD682F">
        <w:rPr>
          <w:b/>
        </w:rPr>
        <w:t xml:space="preserve">RESULTANDO: 1) </w:t>
      </w:r>
      <w:r w:rsidR="00634338" w:rsidRPr="00BD682F">
        <w:rPr>
          <w:lang w:val="es-UY"/>
        </w:rPr>
        <w:t xml:space="preserve">que </w:t>
      </w:r>
      <w:r w:rsidR="00EF66D1">
        <w:rPr>
          <w:lang w:val="es-UY"/>
        </w:rPr>
        <w:t xml:space="preserve">por resolución de la Suprema Corte de Justicia de fecha 30711/15, se adjudicó el llamado de referencia, entre otros adjudicatarios a la empresa </w:t>
      </w:r>
      <w:proofErr w:type="spellStart"/>
      <w:r w:rsidR="00EF66D1">
        <w:rPr>
          <w:lang w:val="es-UY"/>
        </w:rPr>
        <w:t>Yolbvy</w:t>
      </w:r>
      <w:proofErr w:type="spellEnd"/>
      <w:r w:rsidR="00EF66D1">
        <w:rPr>
          <w:lang w:val="es-UY"/>
        </w:rPr>
        <w:t xml:space="preserve"> S.A. ($ 58.833) para los ítems 9, 24, 25, 43, 44 y 45;</w:t>
      </w:r>
    </w:p>
    <w:p w:rsidR="00634338" w:rsidRPr="00BD682F" w:rsidRDefault="00EF66D1" w:rsidP="00BE5218">
      <w:pPr>
        <w:pStyle w:val="Sangra2detindependiente"/>
        <w:tabs>
          <w:tab w:val="left" w:pos="-720"/>
        </w:tabs>
        <w:suppressAutoHyphens/>
        <w:ind w:left="0" w:firstLine="2552"/>
        <w:rPr>
          <w:lang w:val="es-UY"/>
        </w:rPr>
      </w:pPr>
      <w:r>
        <w:rPr>
          <w:b/>
          <w:lang w:val="es-UY"/>
        </w:rPr>
        <w:t xml:space="preserve">2) </w:t>
      </w:r>
      <w:r>
        <w:rPr>
          <w:lang w:val="es-UY"/>
        </w:rPr>
        <w:t xml:space="preserve">que </w:t>
      </w:r>
      <w:r w:rsidR="00634338" w:rsidRPr="00BD682F">
        <w:rPr>
          <w:lang w:val="es-UY"/>
        </w:rPr>
        <w:t xml:space="preserve">en Sesión de fecha </w:t>
      </w:r>
      <w:r w:rsidR="00DF3409" w:rsidRPr="00DF3409">
        <w:rPr>
          <w:lang w:val="es-UY"/>
        </w:rPr>
        <w:t>3.5.2016</w:t>
      </w:r>
      <w:r w:rsidR="00DF3409" w:rsidRPr="00BD682F">
        <w:rPr>
          <w:lang w:val="es-UY"/>
        </w:rPr>
        <w:t xml:space="preserve">, este Tribunal acordó observar el gasto emergente de la </w:t>
      </w:r>
      <w:r w:rsidR="00DF3409">
        <w:rPr>
          <w:lang w:val="es-UY"/>
        </w:rPr>
        <w:t>referida Licitación, en virtud de que el Pliego de Condiciones que rigió el llamado, en su artículo 7</w:t>
      </w:r>
      <w:r>
        <w:rPr>
          <w:lang w:val="es-UY"/>
        </w:rPr>
        <w:t>º,</w:t>
      </w:r>
      <w:r w:rsidR="00DF3409">
        <w:rPr>
          <w:lang w:val="es-UY"/>
        </w:rPr>
        <w:t xml:space="preserve"> exigió la presentación </w:t>
      </w:r>
      <w:r>
        <w:rPr>
          <w:lang w:val="es-UY"/>
        </w:rPr>
        <w:t xml:space="preserve">con la oferta </w:t>
      </w:r>
      <w:r w:rsidR="00DF3409">
        <w:rPr>
          <w:lang w:val="es-UY"/>
        </w:rPr>
        <w:t>del recibo de pago de pliego, en contravención con lo dispuesto por el Art</w:t>
      </w:r>
      <w:r w:rsidR="00BE5218">
        <w:rPr>
          <w:lang w:val="es-UY"/>
        </w:rPr>
        <w:t>ículo</w:t>
      </w:r>
      <w:r w:rsidR="00DF3409">
        <w:rPr>
          <w:lang w:val="es-UY"/>
        </w:rPr>
        <w:t xml:space="preserve"> 48 del TOCAF y el Art</w:t>
      </w:r>
      <w:r w:rsidR="00BE5218">
        <w:rPr>
          <w:lang w:val="es-UY"/>
        </w:rPr>
        <w:t>ículo</w:t>
      </w:r>
      <w:r w:rsidR="00DF3409">
        <w:rPr>
          <w:lang w:val="es-UY"/>
        </w:rPr>
        <w:t xml:space="preserve"> 9 del Decreto 131/14</w:t>
      </w:r>
      <w:r w:rsidR="00634338" w:rsidRPr="00BD682F">
        <w:rPr>
          <w:lang w:val="es-UY"/>
        </w:rPr>
        <w:t>;</w:t>
      </w:r>
    </w:p>
    <w:p w:rsidR="00BE5218" w:rsidRDefault="00EF66D1" w:rsidP="00BE5218">
      <w:pPr>
        <w:spacing w:line="360" w:lineRule="auto"/>
        <w:ind w:firstLine="255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3</w:t>
      </w:r>
      <w:r w:rsidR="00634338" w:rsidRPr="00BD682F">
        <w:rPr>
          <w:rFonts w:ascii="Arial" w:hAnsi="Arial" w:cs="Arial"/>
          <w:b/>
          <w:bCs/>
          <w:iCs/>
        </w:rPr>
        <w:t>)</w:t>
      </w:r>
      <w:r w:rsidR="00634338" w:rsidRPr="00BD682F">
        <w:rPr>
          <w:rFonts w:ascii="Arial" w:hAnsi="Arial" w:cs="Arial"/>
          <w:bCs/>
          <w:iCs/>
        </w:rPr>
        <w:t xml:space="preserve"> que </w:t>
      </w:r>
      <w:r w:rsidR="00BE5218">
        <w:rPr>
          <w:rFonts w:ascii="Arial" w:hAnsi="Arial" w:cs="Arial"/>
          <w:bCs/>
          <w:iCs/>
        </w:rPr>
        <w:t xml:space="preserve">   </w:t>
      </w:r>
      <w:r w:rsidR="00DF3409">
        <w:rPr>
          <w:rFonts w:ascii="Arial" w:hAnsi="Arial" w:cs="Arial"/>
          <w:bCs/>
          <w:iCs/>
        </w:rPr>
        <w:t xml:space="preserve">en </w:t>
      </w:r>
      <w:r w:rsidR="00BE5218">
        <w:rPr>
          <w:rFonts w:ascii="Arial" w:hAnsi="Arial" w:cs="Arial"/>
          <w:bCs/>
          <w:iCs/>
        </w:rPr>
        <w:t xml:space="preserve">   </w:t>
      </w:r>
      <w:r w:rsidR="00DF3409">
        <w:rPr>
          <w:rFonts w:ascii="Arial" w:hAnsi="Arial" w:cs="Arial"/>
          <w:bCs/>
          <w:iCs/>
        </w:rPr>
        <w:t xml:space="preserve">la </w:t>
      </w:r>
      <w:r w:rsidR="00BE5218">
        <w:rPr>
          <w:rFonts w:ascii="Arial" w:hAnsi="Arial" w:cs="Arial"/>
          <w:bCs/>
          <w:iCs/>
        </w:rPr>
        <w:t xml:space="preserve">   </w:t>
      </w:r>
      <w:r w:rsidR="00DF3409">
        <w:rPr>
          <w:rFonts w:ascii="Arial" w:hAnsi="Arial" w:cs="Arial"/>
          <w:bCs/>
          <w:iCs/>
        </w:rPr>
        <w:t>oportunidad</w:t>
      </w:r>
      <w:r>
        <w:rPr>
          <w:rFonts w:ascii="Arial" w:hAnsi="Arial" w:cs="Arial"/>
          <w:bCs/>
          <w:iCs/>
        </w:rPr>
        <w:t>,</w:t>
      </w:r>
      <w:r w:rsidR="00DF3409">
        <w:rPr>
          <w:rFonts w:ascii="Arial" w:hAnsi="Arial" w:cs="Arial"/>
          <w:bCs/>
          <w:iCs/>
        </w:rPr>
        <w:t xml:space="preserve"> </w:t>
      </w:r>
      <w:r w:rsidR="00BE5218">
        <w:rPr>
          <w:rFonts w:ascii="Arial" w:hAnsi="Arial" w:cs="Arial"/>
          <w:bCs/>
          <w:iCs/>
        </w:rPr>
        <w:t xml:space="preserve">  </w:t>
      </w:r>
      <w:r w:rsidR="00DF3409">
        <w:rPr>
          <w:rFonts w:ascii="Arial" w:hAnsi="Arial" w:cs="Arial"/>
          <w:bCs/>
          <w:iCs/>
        </w:rPr>
        <w:t xml:space="preserve">se </w:t>
      </w:r>
      <w:r w:rsidR="00BE5218">
        <w:rPr>
          <w:rFonts w:ascii="Arial" w:hAnsi="Arial" w:cs="Arial"/>
          <w:bCs/>
          <w:iCs/>
        </w:rPr>
        <w:t xml:space="preserve">   </w:t>
      </w:r>
      <w:r w:rsidR="00DF3409">
        <w:rPr>
          <w:rFonts w:ascii="Arial" w:hAnsi="Arial" w:cs="Arial"/>
          <w:bCs/>
          <w:iCs/>
        </w:rPr>
        <w:t xml:space="preserve">remite </w:t>
      </w:r>
      <w:r w:rsidR="006D5710" w:rsidRPr="006D5710">
        <w:rPr>
          <w:rFonts w:ascii="Arial" w:hAnsi="Arial" w:cs="Arial"/>
          <w:bCs/>
          <w:iCs/>
        </w:rPr>
        <w:t xml:space="preserve">Resolución </w:t>
      </w:r>
    </w:p>
    <w:p w:rsidR="00634338" w:rsidRDefault="006D5710" w:rsidP="00BE5218">
      <w:pPr>
        <w:spacing w:line="360" w:lineRule="auto"/>
        <w:jc w:val="both"/>
        <w:rPr>
          <w:rFonts w:ascii="Arial" w:hAnsi="Arial" w:cs="Arial"/>
          <w:bCs/>
          <w:iCs/>
        </w:rPr>
      </w:pPr>
      <w:r w:rsidRPr="006D5710">
        <w:rPr>
          <w:rFonts w:ascii="Arial" w:hAnsi="Arial" w:cs="Arial"/>
          <w:bCs/>
          <w:iCs/>
        </w:rPr>
        <w:t>Nº 485/2016 de fecha 21.7.2016 dictada por la Suprema Corte de Justicia, por la que se autoriza la ampliación de la carga horaria, en 2 horas</w:t>
      </w:r>
      <w:r w:rsidR="00EF66D1">
        <w:rPr>
          <w:rFonts w:ascii="Arial" w:hAnsi="Arial" w:cs="Arial"/>
          <w:bCs/>
          <w:iCs/>
        </w:rPr>
        <w:t xml:space="preserve"> dia</w:t>
      </w:r>
      <w:r w:rsidRPr="006D5710">
        <w:rPr>
          <w:rFonts w:ascii="Arial" w:hAnsi="Arial" w:cs="Arial"/>
          <w:bCs/>
          <w:iCs/>
        </w:rPr>
        <w:t>rias, con la empresa YOLBI S.A</w:t>
      </w:r>
      <w:r w:rsidR="00EF66D1">
        <w:rPr>
          <w:rFonts w:ascii="Arial" w:hAnsi="Arial" w:cs="Arial"/>
          <w:bCs/>
          <w:iCs/>
        </w:rPr>
        <w:t>.</w:t>
      </w:r>
      <w:r w:rsidRPr="006D5710">
        <w:rPr>
          <w:rFonts w:ascii="Arial" w:hAnsi="Arial" w:cs="Arial"/>
          <w:bCs/>
          <w:iCs/>
        </w:rPr>
        <w:t xml:space="preserve"> p</w:t>
      </w:r>
      <w:r w:rsidR="00EF66D1">
        <w:rPr>
          <w:rFonts w:ascii="Arial" w:hAnsi="Arial" w:cs="Arial"/>
          <w:bCs/>
          <w:iCs/>
        </w:rPr>
        <w:t>ara</w:t>
      </w:r>
      <w:r w:rsidRPr="006D5710">
        <w:rPr>
          <w:rFonts w:ascii="Arial" w:hAnsi="Arial" w:cs="Arial"/>
          <w:bCs/>
          <w:iCs/>
        </w:rPr>
        <w:t xml:space="preserve"> el servicio de limpieza que presta en División Remates y Depósitos Judiciales, por la suma </w:t>
      </w:r>
      <w:proofErr w:type="gramStart"/>
      <w:r w:rsidRPr="006D5710">
        <w:rPr>
          <w:rFonts w:ascii="Arial" w:hAnsi="Arial" w:cs="Arial"/>
          <w:bCs/>
          <w:iCs/>
        </w:rPr>
        <w:t>mensual</w:t>
      </w:r>
      <w:proofErr w:type="gramEnd"/>
      <w:r w:rsidRPr="006D5710">
        <w:rPr>
          <w:rFonts w:ascii="Arial" w:hAnsi="Arial" w:cs="Arial"/>
          <w:bCs/>
          <w:iCs/>
        </w:rPr>
        <w:t xml:space="preserve"> adicional de $ 7.784 impuestos incluidos</w:t>
      </w:r>
      <w:r>
        <w:rPr>
          <w:rFonts w:ascii="Arial" w:hAnsi="Arial" w:cs="Arial"/>
          <w:bCs/>
          <w:iCs/>
        </w:rPr>
        <w:t>;</w:t>
      </w:r>
    </w:p>
    <w:p w:rsidR="006D5710" w:rsidRDefault="006D5710" w:rsidP="00DF3409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                                  </w:t>
      </w:r>
      <w:r w:rsidR="00EF66D1">
        <w:rPr>
          <w:rFonts w:ascii="Arial" w:hAnsi="Arial" w:cs="Arial"/>
          <w:b/>
          <w:bCs/>
          <w:iCs/>
        </w:rPr>
        <w:t>4</w:t>
      </w:r>
      <w:r w:rsidRPr="006D5710">
        <w:rPr>
          <w:rFonts w:ascii="Arial" w:hAnsi="Arial" w:cs="Arial"/>
          <w:b/>
          <w:bCs/>
          <w:iCs/>
        </w:rPr>
        <w:t xml:space="preserve">) </w:t>
      </w:r>
      <w:r>
        <w:rPr>
          <w:rFonts w:ascii="Arial" w:hAnsi="Arial" w:cs="Arial"/>
          <w:bCs/>
          <w:iCs/>
        </w:rPr>
        <w:t xml:space="preserve">que se </w:t>
      </w:r>
      <w:r w:rsidRPr="006D5710">
        <w:rPr>
          <w:rFonts w:ascii="Arial" w:hAnsi="Arial" w:cs="Arial"/>
          <w:bCs/>
          <w:iCs/>
        </w:rPr>
        <w:t>adjunta Autorización para gastar Nº 1288 de fecha 26.7.2016, Inciso 16, Ejercicio 16, por un total de $ 46.704</w:t>
      </w:r>
      <w:r>
        <w:rPr>
          <w:rFonts w:ascii="Arial" w:hAnsi="Arial" w:cs="Arial"/>
          <w:bCs/>
          <w:iCs/>
        </w:rPr>
        <w:t>;</w:t>
      </w:r>
    </w:p>
    <w:p w:rsidR="00634338" w:rsidRPr="00BD682F" w:rsidRDefault="00EF66D1" w:rsidP="00BE521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C</w:t>
      </w:r>
      <w:r w:rsidR="00634338" w:rsidRPr="00BD682F">
        <w:rPr>
          <w:rFonts w:ascii="Arial" w:hAnsi="Arial" w:cs="Arial"/>
          <w:b/>
          <w:iCs/>
        </w:rPr>
        <w:t xml:space="preserve">ONSIDERANDO: 1) </w:t>
      </w:r>
      <w:r w:rsidR="00634338" w:rsidRPr="00BD682F">
        <w:rPr>
          <w:rFonts w:ascii="Arial" w:hAnsi="Arial" w:cs="Arial"/>
          <w:iCs/>
        </w:rPr>
        <w:t xml:space="preserve">que el gasto resultante de la presente ampliación deriva de un procedimiento oportunamente observado por el Tribunal, lo que inhibe se proceda a su intervención; </w:t>
      </w:r>
      <w:r w:rsidR="00634338" w:rsidRPr="00BD682F">
        <w:rPr>
          <w:rFonts w:ascii="Arial" w:hAnsi="Arial" w:cs="Arial"/>
        </w:rPr>
        <w:t xml:space="preserve"> </w:t>
      </w:r>
    </w:p>
    <w:p w:rsidR="00634338" w:rsidRPr="00BD682F" w:rsidRDefault="00634338" w:rsidP="00BE5218">
      <w:pPr>
        <w:spacing w:line="360" w:lineRule="auto"/>
        <w:ind w:firstLine="2835"/>
        <w:jc w:val="both"/>
        <w:rPr>
          <w:rFonts w:ascii="Arial" w:hAnsi="Arial" w:cs="Arial"/>
          <w:bCs/>
          <w:iCs/>
        </w:rPr>
      </w:pPr>
      <w:r w:rsidRPr="00BD682F">
        <w:rPr>
          <w:rFonts w:ascii="Arial" w:hAnsi="Arial" w:cs="Arial"/>
          <w:b/>
          <w:bCs/>
          <w:iCs/>
        </w:rPr>
        <w:t>2)</w:t>
      </w:r>
      <w:r w:rsidRPr="00BD682F">
        <w:rPr>
          <w:rFonts w:ascii="Arial" w:hAnsi="Arial" w:cs="Arial"/>
          <w:bCs/>
          <w:iCs/>
        </w:rPr>
        <w:t xml:space="preserve"> que </w:t>
      </w:r>
      <w:r w:rsidR="009B0A13">
        <w:rPr>
          <w:rFonts w:ascii="Arial" w:hAnsi="Arial" w:cs="Arial"/>
          <w:bCs/>
          <w:iCs/>
        </w:rPr>
        <w:t>asimismo, las actuaciones cuentan con principio de ejecución</w:t>
      </w:r>
      <w:r w:rsidRPr="00BD682F">
        <w:rPr>
          <w:rFonts w:ascii="Arial" w:hAnsi="Arial" w:cs="Arial"/>
          <w:bCs/>
          <w:iCs/>
        </w:rPr>
        <w:t xml:space="preserve">; </w:t>
      </w:r>
    </w:p>
    <w:p w:rsidR="00634338" w:rsidRPr="00BD682F" w:rsidRDefault="00634338" w:rsidP="00BE5218">
      <w:pPr>
        <w:pStyle w:val="Sangradetextonormal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lang w:val="es-UY"/>
        </w:rPr>
      </w:pPr>
      <w:r w:rsidRPr="00BD682F">
        <w:rPr>
          <w:rFonts w:ascii="Arial" w:hAnsi="Arial" w:cs="Arial"/>
          <w:bCs/>
          <w:iCs/>
        </w:rPr>
        <w:tab/>
      </w:r>
      <w:r w:rsidRPr="00BD682F">
        <w:rPr>
          <w:rFonts w:ascii="Arial" w:hAnsi="Arial" w:cs="Arial"/>
          <w:b/>
          <w:bCs/>
          <w:iCs/>
        </w:rPr>
        <w:t xml:space="preserve">ATENTO: </w:t>
      </w:r>
      <w:r w:rsidRPr="00BD682F">
        <w:rPr>
          <w:rFonts w:ascii="Arial" w:hAnsi="Arial" w:cs="Arial"/>
          <w:bCs/>
          <w:iCs/>
        </w:rPr>
        <w:t>a</w:t>
      </w:r>
      <w:r w:rsidRPr="00BD682F">
        <w:rPr>
          <w:rFonts w:ascii="Arial" w:hAnsi="Arial" w:cs="Arial"/>
          <w:b/>
          <w:bCs/>
          <w:iCs/>
        </w:rPr>
        <w:t xml:space="preserve"> </w:t>
      </w:r>
      <w:r w:rsidRPr="00BD682F">
        <w:rPr>
          <w:rFonts w:ascii="Arial" w:hAnsi="Arial" w:cs="Arial"/>
          <w:spacing w:val="-3"/>
          <w:lang w:val="es-ES_tradnl"/>
        </w:rPr>
        <w:t xml:space="preserve">lo precedentemente expuesto </w:t>
      </w:r>
      <w:r w:rsidRPr="00BD682F">
        <w:rPr>
          <w:rFonts w:ascii="Arial" w:hAnsi="Arial" w:cs="Arial"/>
          <w:lang w:val="es-UY"/>
        </w:rPr>
        <w:t xml:space="preserve">y a lo establecido en el Artículo 211 </w:t>
      </w:r>
      <w:r w:rsidR="00BE5218">
        <w:rPr>
          <w:rFonts w:ascii="Arial" w:hAnsi="Arial" w:cs="Arial"/>
          <w:lang w:val="es-UY"/>
        </w:rPr>
        <w:t>L</w:t>
      </w:r>
      <w:r w:rsidRPr="00BD682F">
        <w:rPr>
          <w:rFonts w:ascii="Arial" w:hAnsi="Arial" w:cs="Arial"/>
          <w:lang w:val="es-UY"/>
        </w:rPr>
        <w:t>iteral B) de la Constitución de la República;</w:t>
      </w:r>
    </w:p>
    <w:p w:rsidR="00634338" w:rsidRPr="00BD682F" w:rsidRDefault="00634338" w:rsidP="00F344B1">
      <w:pPr>
        <w:pStyle w:val="Ttulo"/>
        <w:ind w:firstLine="708"/>
        <w:rPr>
          <w:rFonts w:cs="Arial"/>
          <w:u w:val="none"/>
          <w:lang w:val="es-ES_tradnl"/>
        </w:rPr>
      </w:pPr>
      <w:r w:rsidRPr="00BD682F">
        <w:rPr>
          <w:rFonts w:cs="Arial"/>
          <w:u w:val="none"/>
          <w:lang w:val="es-ES_tradnl"/>
        </w:rPr>
        <w:t>EL TRIBUNAL ACUERDA</w:t>
      </w:r>
    </w:p>
    <w:p w:rsidR="00634338" w:rsidRPr="00BD682F" w:rsidRDefault="00634338" w:rsidP="00BE5218">
      <w:pPr>
        <w:pStyle w:val="Prrafode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r w:rsidRPr="00BD682F">
        <w:rPr>
          <w:rFonts w:ascii="Arial" w:hAnsi="Arial" w:cs="Arial"/>
        </w:rPr>
        <w:t>Observar el gasto resul</w:t>
      </w:r>
      <w:r w:rsidR="00BE5218">
        <w:rPr>
          <w:rFonts w:ascii="Arial" w:hAnsi="Arial" w:cs="Arial"/>
        </w:rPr>
        <w:t>tante de la ampliación remitida; y</w:t>
      </w:r>
    </w:p>
    <w:p w:rsidR="00634338" w:rsidRPr="00BD682F" w:rsidRDefault="00634338" w:rsidP="00BE5218">
      <w:pPr>
        <w:pStyle w:val="Prrafodelista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r w:rsidRPr="00BD682F">
        <w:rPr>
          <w:rFonts w:ascii="Arial" w:hAnsi="Arial" w:cs="Arial"/>
        </w:rPr>
        <w:t>Devolver las actuaciones.</w:t>
      </w:r>
    </w:p>
    <w:p w:rsidR="00634338" w:rsidRPr="00BD682F" w:rsidRDefault="00634338" w:rsidP="00766203">
      <w:pPr>
        <w:pStyle w:val="Ttulo"/>
        <w:ind w:left="720"/>
        <w:jc w:val="both"/>
        <w:rPr>
          <w:rFonts w:cs="Arial"/>
        </w:rPr>
      </w:pPr>
      <w:r w:rsidRPr="00BD682F">
        <w:rPr>
          <w:rFonts w:cs="Arial"/>
        </w:rPr>
        <w:t xml:space="preserve">                                                          </w:t>
      </w:r>
    </w:p>
    <w:p w:rsidR="00634338" w:rsidRDefault="00634338" w:rsidP="00BE5218">
      <w:pPr>
        <w:pStyle w:val="Ttulo"/>
        <w:jc w:val="both"/>
      </w:pPr>
    </w:p>
    <w:p w:rsidR="00BE5218" w:rsidRDefault="00BE5218" w:rsidP="00BE5218">
      <w:pPr>
        <w:pStyle w:val="Ttulo"/>
        <w:jc w:val="both"/>
      </w:pPr>
    </w:p>
    <w:p w:rsidR="00BE5218" w:rsidRDefault="00BE5218" w:rsidP="00BE5218">
      <w:pPr>
        <w:pStyle w:val="Ttulo"/>
        <w:jc w:val="both"/>
      </w:pPr>
    </w:p>
    <w:p w:rsidR="00BE5218" w:rsidRPr="00BE5218" w:rsidRDefault="00BE5218" w:rsidP="00BE5218">
      <w:pPr>
        <w:pStyle w:val="Ttulo"/>
        <w:jc w:val="both"/>
        <w:rPr>
          <w:b w:val="0"/>
          <w:u w:val="none"/>
        </w:rPr>
      </w:pPr>
      <w:proofErr w:type="spellStart"/>
      <w:proofErr w:type="gramStart"/>
      <w:r w:rsidRPr="00BE5218">
        <w:rPr>
          <w:b w:val="0"/>
          <w:u w:val="none"/>
        </w:rPr>
        <w:t>cr</w:t>
      </w:r>
      <w:proofErr w:type="spellEnd"/>
      <w:proofErr w:type="gramEnd"/>
    </w:p>
    <w:p w:rsidR="00634338" w:rsidRDefault="00634338" w:rsidP="00766203">
      <w:pPr>
        <w:pStyle w:val="Ttulo"/>
        <w:ind w:left="720"/>
        <w:jc w:val="both"/>
      </w:pPr>
    </w:p>
    <w:p w:rsidR="00634338" w:rsidRDefault="00634338" w:rsidP="00766203">
      <w:pPr>
        <w:pStyle w:val="Ttulo"/>
        <w:ind w:left="720"/>
        <w:jc w:val="both"/>
      </w:pPr>
    </w:p>
    <w:p w:rsidR="00634338" w:rsidRDefault="00634338" w:rsidP="00766203">
      <w:pPr>
        <w:pStyle w:val="Ttulo"/>
        <w:ind w:left="720"/>
        <w:jc w:val="both"/>
      </w:pPr>
    </w:p>
    <w:p w:rsidR="006D5710" w:rsidRDefault="006D5710" w:rsidP="00766203">
      <w:pPr>
        <w:pStyle w:val="Ttulo"/>
        <w:ind w:left="720"/>
        <w:jc w:val="both"/>
      </w:pPr>
    </w:p>
    <w:p w:rsidR="006D5710" w:rsidRDefault="006D5710" w:rsidP="00766203">
      <w:pPr>
        <w:pStyle w:val="Ttulo"/>
        <w:ind w:left="720"/>
        <w:jc w:val="both"/>
      </w:pPr>
    </w:p>
    <w:p w:rsidR="006D5710" w:rsidRDefault="006D5710" w:rsidP="00766203">
      <w:pPr>
        <w:pStyle w:val="Ttulo"/>
        <w:ind w:left="720"/>
        <w:jc w:val="both"/>
      </w:pPr>
    </w:p>
    <w:p w:rsidR="006D5710" w:rsidRDefault="006D5710" w:rsidP="00766203">
      <w:pPr>
        <w:pStyle w:val="Ttulo"/>
        <w:ind w:left="720"/>
        <w:jc w:val="both"/>
      </w:pPr>
    </w:p>
    <w:p w:rsidR="006D5710" w:rsidRDefault="006D5710" w:rsidP="00766203">
      <w:pPr>
        <w:pStyle w:val="Ttulo"/>
        <w:ind w:left="720"/>
        <w:jc w:val="both"/>
      </w:pPr>
    </w:p>
    <w:sectPr w:rsidR="006D5710" w:rsidSect="00980EF5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81" w:rsidRDefault="009C3E81" w:rsidP="00F95933">
      <w:r>
        <w:separator/>
      </w:r>
    </w:p>
  </w:endnote>
  <w:endnote w:type="continuationSeparator" w:id="0">
    <w:p w:rsidR="009C3E81" w:rsidRDefault="009C3E81" w:rsidP="00F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B7" w:rsidRDefault="005561B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6654D">
      <w:rPr>
        <w:noProof/>
      </w:rPr>
      <w:t>1</w:t>
    </w:r>
    <w:r>
      <w:rPr>
        <w:noProof/>
      </w:rPr>
      <w:fldChar w:fldCharType="end"/>
    </w:r>
  </w:p>
  <w:p w:rsidR="005561B7" w:rsidRDefault="005561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81" w:rsidRDefault="009C3E81" w:rsidP="00F95933">
      <w:r>
        <w:separator/>
      </w:r>
    </w:p>
  </w:footnote>
  <w:footnote w:type="continuationSeparator" w:id="0">
    <w:p w:rsidR="009C3E81" w:rsidRDefault="009C3E81" w:rsidP="00F9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B9E"/>
    <w:multiLevelType w:val="hybridMultilevel"/>
    <w:tmpl w:val="09AC736A"/>
    <w:lvl w:ilvl="0" w:tplc="47307F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97E30"/>
    <w:multiLevelType w:val="hybridMultilevel"/>
    <w:tmpl w:val="C22823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864799"/>
    <w:multiLevelType w:val="hybridMultilevel"/>
    <w:tmpl w:val="11265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8577F"/>
    <w:multiLevelType w:val="hybridMultilevel"/>
    <w:tmpl w:val="B3C2AA7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2AC3"/>
    <w:multiLevelType w:val="multilevel"/>
    <w:tmpl w:val="643A85FE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)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5">
    <w:nsid w:val="361F7D0B"/>
    <w:multiLevelType w:val="hybridMultilevel"/>
    <w:tmpl w:val="CBBCAA4A"/>
    <w:lvl w:ilvl="0" w:tplc="3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E72B40"/>
    <w:multiLevelType w:val="hybridMultilevel"/>
    <w:tmpl w:val="D79277E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461F3"/>
    <w:multiLevelType w:val="hybridMultilevel"/>
    <w:tmpl w:val="FCE6C57C"/>
    <w:lvl w:ilvl="0" w:tplc="0D5038E0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B743C0"/>
    <w:multiLevelType w:val="hybridMultilevel"/>
    <w:tmpl w:val="FCA881DE"/>
    <w:lvl w:ilvl="0" w:tplc="50007AD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E9A7C33"/>
    <w:multiLevelType w:val="hybridMultilevel"/>
    <w:tmpl w:val="047A111C"/>
    <w:lvl w:ilvl="0" w:tplc="93D01C2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022471D"/>
    <w:multiLevelType w:val="hybridMultilevel"/>
    <w:tmpl w:val="8744D14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230C0"/>
    <w:multiLevelType w:val="hybridMultilevel"/>
    <w:tmpl w:val="EA241F8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B200D"/>
    <w:multiLevelType w:val="hybridMultilevel"/>
    <w:tmpl w:val="A516D610"/>
    <w:lvl w:ilvl="0" w:tplc="93D01C2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9E"/>
    <w:rsid w:val="00003791"/>
    <w:rsid w:val="000101DF"/>
    <w:rsid w:val="00075272"/>
    <w:rsid w:val="000A74B3"/>
    <w:rsid w:val="000C26E1"/>
    <w:rsid w:val="000F4512"/>
    <w:rsid w:val="00141A1B"/>
    <w:rsid w:val="00142088"/>
    <w:rsid w:val="001533EB"/>
    <w:rsid w:val="00183D71"/>
    <w:rsid w:val="001A7AF2"/>
    <w:rsid w:val="001D2D29"/>
    <w:rsid w:val="0024372F"/>
    <w:rsid w:val="00253815"/>
    <w:rsid w:val="002A5C6D"/>
    <w:rsid w:val="00314E2D"/>
    <w:rsid w:val="003343B0"/>
    <w:rsid w:val="00352810"/>
    <w:rsid w:val="003A46A3"/>
    <w:rsid w:val="003D70B8"/>
    <w:rsid w:val="003F3404"/>
    <w:rsid w:val="00414675"/>
    <w:rsid w:val="00426B2A"/>
    <w:rsid w:val="004428BE"/>
    <w:rsid w:val="00495DDB"/>
    <w:rsid w:val="005258FF"/>
    <w:rsid w:val="005369F2"/>
    <w:rsid w:val="005442DC"/>
    <w:rsid w:val="005561B7"/>
    <w:rsid w:val="005E5605"/>
    <w:rsid w:val="005F09CF"/>
    <w:rsid w:val="00621FAA"/>
    <w:rsid w:val="00634338"/>
    <w:rsid w:val="00661402"/>
    <w:rsid w:val="00663620"/>
    <w:rsid w:val="0067589E"/>
    <w:rsid w:val="006B2A75"/>
    <w:rsid w:val="006D5710"/>
    <w:rsid w:val="00714C4F"/>
    <w:rsid w:val="00740108"/>
    <w:rsid w:val="0075366D"/>
    <w:rsid w:val="00766203"/>
    <w:rsid w:val="007E7B6C"/>
    <w:rsid w:val="007F630E"/>
    <w:rsid w:val="007F713D"/>
    <w:rsid w:val="0082728E"/>
    <w:rsid w:val="00837DA4"/>
    <w:rsid w:val="00841AD4"/>
    <w:rsid w:val="0086654D"/>
    <w:rsid w:val="008A14A3"/>
    <w:rsid w:val="008E5841"/>
    <w:rsid w:val="0091319A"/>
    <w:rsid w:val="00914A0D"/>
    <w:rsid w:val="0092323D"/>
    <w:rsid w:val="009324F4"/>
    <w:rsid w:val="0094128C"/>
    <w:rsid w:val="00943E77"/>
    <w:rsid w:val="00980EF5"/>
    <w:rsid w:val="009A67DB"/>
    <w:rsid w:val="009B0A13"/>
    <w:rsid w:val="009C3E81"/>
    <w:rsid w:val="00A270C3"/>
    <w:rsid w:val="00A91C20"/>
    <w:rsid w:val="00AD239E"/>
    <w:rsid w:val="00AD41B6"/>
    <w:rsid w:val="00B12CFF"/>
    <w:rsid w:val="00B74292"/>
    <w:rsid w:val="00B74574"/>
    <w:rsid w:val="00B85BBF"/>
    <w:rsid w:val="00BA609A"/>
    <w:rsid w:val="00BB22EE"/>
    <w:rsid w:val="00BD682F"/>
    <w:rsid w:val="00BE5218"/>
    <w:rsid w:val="00BF5C9D"/>
    <w:rsid w:val="00C1559C"/>
    <w:rsid w:val="00CB7C55"/>
    <w:rsid w:val="00CF30E9"/>
    <w:rsid w:val="00D43389"/>
    <w:rsid w:val="00D544C7"/>
    <w:rsid w:val="00D56B6F"/>
    <w:rsid w:val="00DF3409"/>
    <w:rsid w:val="00E32EE2"/>
    <w:rsid w:val="00E36E8D"/>
    <w:rsid w:val="00E43220"/>
    <w:rsid w:val="00E90C39"/>
    <w:rsid w:val="00E97876"/>
    <w:rsid w:val="00ED3FED"/>
    <w:rsid w:val="00EF66D1"/>
    <w:rsid w:val="00F040F1"/>
    <w:rsid w:val="00F133D2"/>
    <w:rsid w:val="00F344B1"/>
    <w:rsid w:val="00F727F8"/>
    <w:rsid w:val="00F76929"/>
    <w:rsid w:val="00F93653"/>
    <w:rsid w:val="00F95933"/>
    <w:rsid w:val="00FA76BA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74292"/>
    <w:rPr>
      <w:rFonts w:ascii="Arial" w:hAnsi="Arial" w:cs="Arial"/>
      <w:color w:val="000000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B74292"/>
    <w:pPr>
      <w:ind w:left="708"/>
    </w:pPr>
  </w:style>
  <w:style w:type="paragraph" w:styleId="Ttulo">
    <w:name w:val="Title"/>
    <w:basedOn w:val="Normal"/>
    <w:link w:val="TtuloCar"/>
    <w:uiPriority w:val="99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3E77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9A67DB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74292"/>
    <w:rPr>
      <w:rFonts w:ascii="Arial" w:hAnsi="Arial" w:cs="Arial"/>
      <w:color w:val="000000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B74292"/>
    <w:pPr>
      <w:ind w:left="708"/>
    </w:pPr>
  </w:style>
  <w:style w:type="paragraph" w:styleId="Ttulo">
    <w:name w:val="Title"/>
    <w:basedOn w:val="Normal"/>
    <w:link w:val="TtuloCar"/>
    <w:uiPriority w:val="99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3E77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9A67DB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2016-10-12T15:04:00Z</cp:lastPrinted>
  <dcterms:created xsi:type="dcterms:W3CDTF">2016-10-12T15:04:00Z</dcterms:created>
  <dcterms:modified xsi:type="dcterms:W3CDTF">2016-10-12T15:04:00Z</dcterms:modified>
</cp:coreProperties>
</file>