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19" w:rsidRPr="00786EEB" w:rsidRDefault="00567F19" w:rsidP="005E1565">
      <w:pPr>
        <w:tabs>
          <w:tab w:val="center" w:pos="4253"/>
        </w:tabs>
        <w:jc w:val="right"/>
        <w:rPr>
          <w:b/>
          <w:sz w:val="28"/>
          <w:szCs w:val="28"/>
          <w:lang w:val="es-ES_tradnl"/>
        </w:rPr>
      </w:pPr>
      <w:bookmarkStart w:id="0" w:name="_GoBack"/>
      <w:bookmarkEnd w:id="0"/>
      <w:r w:rsidRPr="00786EEB">
        <w:rPr>
          <w:b/>
          <w:sz w:val="28"/>
          <w:szCs w:val="28"/>
          <w:lang w:val="es-ES_tradnl"/>
        </w:rPr>
        <w:t xml:space="preserve">RES. </w:t>
      </w:r>
      <w:r>
        <w:rPr>
          <w:b/>
          <w:sz w:val="28"/>
          <w:szCs w:val="28"/>
          <w:lang w:val="es-ES_tradnl"/>
        </w:rPr>
        <w:t>2557</w:t>
      </w:r>
      <w:r w:rsidRPr="00786EEB">
        <w:rPr>
          <w:b/>
          <w:sz w:val="28"/>
          <w:szCs w:val="28"/>
          <w:lang w:val="es-ES_tradnl"/>
        </w:rPr>
        <w:t>/16</w:t>
      </w:r>
    </w:p>
    <w:p w:rsidR="00567F19" w:rsidRDefault="00567F19" w:rsidP="005E1565">
      <w:pPr>
        <w:tabs>
          <w:tab w:val="center" w:pos="4253"/>
        </w:tabs>
        <w:jc w:val="right"/>
        <w:rPr>
          <w:b/>
          <w:lang w:val="es-ES_tradnl"/>
        </w:rPr>
      </w:pPr>
    </w:p>
    <w:p w:rsidR="00567F19" w:rsidRPr="00762B34" w:rsidRDefault="00567F19">
      <w:pPr>
        <w:tabs>
          <w:tab w:val="center" w:pos="4253"/>
        </w:tabs>
        <w:jc w:val="center"/>
        <w:rPr>
          <w:b/>
          <w:lang w:val="es-ES_tradnl"/>
        </w:rPr>
      </w:pPr>
      <w:r w:rsidRPr="00762B34">
        <w:rPr>
          <w:b/>
          <w:lang w:val="es-ES_tradnl"/>
        </w:rPr>
        <w:t>RESOLUCION ADOPTADA POR EL</w:t>
      </w:r>
    </w:p>
    <w:p w:rsidR="00567F19" w:rsidRPr="00762B34" w:rsidRDefault="00567F19">
      <w:pPr>
        <w:tabs>
          <w:tab w:val="left" w:pos="-720"/>
        </w:tabs>
        <w:jc w:val="center"/>
        <w:rPr>
          <w:b/>
          <w:lang w:val="es-ES_tradnl"/>
        </w:rPr>
      </w:pPr>
    </w:p>
    <w:p w:rsidR="00567F19" w:rsidRPr="00762B34" w:rsidRDefault="00567F19">
      <w:pPr>
        <w:tabs>
          <w:tab w:val="center" w:pos="4253"/>
        </w:tabs>
        <w:jc w:val="center"/>
        <w:rPr>
          <w:b/>
          <w:lang w:val="es-ES_tradnl"/>
        </w:rPr>
      </w:pPr>
      <w:r w:rsidRPr="00762B34">
        <w:rPr>
          <w:b/>
          <w:lang w:val="es-ES_tradnl"/>
        </w:rPr>
        <w:t>TRIBUNAL DE CUENTAS</w:t>
      </w:r>
    </w:p>
    <w:p w:rsidR="00567F19" w:rsidRPr="00762B34" w:rsidRDefault="00567F19">
      <w:pPr>
        <w:tabs>
          <w:tab w:val="left" w:pos="-720"/>
        </w:tabs>
        <w:jc w:val="center"/>
        <w:rPr>
          <w:b/>
          <w:lang w:val="es-ES_tradnl"/>
        </w:rPr>
      </w:pPr>
    </w:p>
    <w:p w:rsidR="00567F19" w:rsidRPr="00762B34" w:rsidRDefault="00567F19">
      <w:pPr>
        <w:tabs>
          <w:tab w:val="center" w:pos="4253"/>
        </w:tabs>
        <w:jc w:val="center"/>
        <w:rPr>
          <w:b/>
          <w:lang w:val="es-ES_tradnl"/>
        </w:rPr>
      </w:pPr>
      <w:r w:rsidRPr="00762B34">
        <w:rPr>
          <w:b/>
          <w:lang w:val="es-ES_tradnl"/>
        </w:rPr>
        <w:t xml:space="preserve">EN SESION DE FECHA </w:t>
      </w:r>
      <w:r>
        <w:rPr>
          <w:b/>
          <w:lang w:val="es-ES_tradnl"/>
        </w:rPr>
        <w:t xml:space="preserve">20 DE JULIO </w:t>
      </w:r>
      <w:r>
        <w:rPr>
          <w:rFonts w:ascii="Helvetica" w:hAnsi="Helvetica"/>
          <w:b/>
          <w:lang w:val="es-ES_tradnl"/>
        </w:rPr>
        <w:t>DE 2016</w:t>
      </w:r>
    </w:p>
    <w:p w:rsidR="00567F19" w:rsidRPr="00762B34" w:rsidRDefault="00567F19">
      <w:pPr>
        <w:tabs>
          <w:tab w:val="center" w:pos="4253"/>
        </w:tabs>
        <w:jc w:val="center"/>
        <w:rPr>
          <w:b/>
          <w:lang w:val="es-ES_tradnl"/>
        </w:rPr>
      </w:pPr>
    </w:p>
    <w:p w:rsidR="00567F19" w:rsidRPr="00BC735E" w:rsidRDefault="00567F19">
      <w:pPr>
        <w:tabs>
          <w:tab w:val="center" w:pos="4253"/>
        </w:tabs>
        <w:jc w:val="center"/>
        <w:rPr>
          <w:b/>
          <w:lang w:val="es-UY"/>
        </w:rPr>
      </w:pPr>
      <w:r w:rsidRPr="00BC735E">
        <w:rPr>
          <w:b/>
          <w:lang w:val="es-UY"/>
        </w:rPr>
        <w:t>(E. E. Nº</w:t>
      </w:r>
      <w:r w:rsidR="000E57C9">
        <w:rPr>
          <w:b/>
          <w:lang w:val="es-UY"/>
        </w:rPr>
        <w:t xml:space="preserve"> </w:t>
      </w:r>
      <w:r w:rsidRPr="00514C32">
        <w:rPr>
          <w:b/>
        </w:rPr>
        <w:t>201</w:t>
      </w:r>
      <w:r>
        <w:rPr>
          <w:b/>
        </w:rPr>
        <w:t>6</w:t>
      </w:r>
      <w:r w:rsidRPr="00514C32">
        <w:rPr>
          <w:b/>
        </w:rPr>
        <w:t>-17-1-000</w:t>
      </w:r>
      <w:r>
        <w:rPr>
          <w:b/>
        </w:rPr>
        <w:t>3283</w:t>
      </w:r>
      <w:r w:rsidRPr="00BC735E">
        <w:rPr>
          <w:b/>
          <w:lang w:val="es-UY"/>
        </w:rPr>
        <w:t xml:space="preserve">, </w:t>
      </w:r>
      <w:proofErr w:type="spellStart"/>
      <w:r w:rsidRPr="00BC735E">
        <w:rPr>
          <w:b/>
          <w:lang w:val="es-UY"/>
        </w:rPr>
        <w:t>Ent</w:t>
      </w:r>
      <w:proofErr w:type="spellEnd"/>
      <w:r w:rsidRPr="00BC735E">
        <w:rPr>
          <w:b/>
          <w:lang w:val="es-UY"/>
        </w:rPr>
        <w:t>. N°</w:t>
      </w:r>
      <w:r w:rsidR="005E1565">
        <w:rPr>
          <w:b/>
          <w:bCs/>
        </w:rPr>
        <w:t xml:space="preserve"> 2481</w:t>
      </w:r>
      <w:r>
        <w:rPr>
          <w:b/>
          <w:bCs/>
        </w:rPr>
        <w:t>/16</w:t>
      </w:r>
      <w:r w:rsidRPr="00BC735E">
        <w:rPr>
          <w:b/>
          <w:lang w:val="es-UY"/>
        </w:rPr>
        <w:t>)</w:t>
      </w:r>
    </w:p>
    <w:p w:rsidR="000A7E49" w:rsidRDefault="000A7E49" w:rsidP="000A7E49">
      <w:pPr>
        <w:spacing w:line="360" w:lineRule="auto"/>
        <w:jc w:val="both"/>
      </w:pPr>
    </w:p>
    <w:p w:rsidR="000A7E49" w:rsidRDefault="000A7E49" w:rsidP="00567F19">
      <w:pPr>
        <w:spacing w:line="360" w:lineRule="auto"/>
        <w:ind w:firstLine="851"/>
        <w:jc w:val="both"/>
      </w:pPr>
      <w:r>
        <w:rPr>
          <w:b/>
        </w:rPr>
        <w:t>VISTO:</w:t>
      </w:r>
      <w:r>
        <w:t xml:space="preserve"> la Rendición de Cuentas y Balance de Ejecución Presupuestal de la Junta Departamental d</w:t>
      </w:r>
      <w:r w:rsidR="00567F19">
        <w:t>e Maldonado correspondiente al E</w:t>
      </w:r>
      <w:r>
        <w:t>jercicio 201</w:t>
      </w:r>
      <w:r w:rsidR="00F45A07">
        <w:t>5</w:t>
      </w:r>
      <w:r w:rsidR="000E57C9">
        <w:t>;</w:t>
      </w:r>
    </w:p>
    <w:p w:rsidR="000A7E49" w:rsidRDefault="000A7E49" w:rsidP="00567F19">
      <w:pPr>
        <w:spacing w:line="360" w:lineRule="auto"/>
        <w:ind w:firstLine="851"/>
        <w:jc w:val="both"/>
        <w:rPr>
          <w:rFonts w:eastAsia="Arial"/>
          <w:b/>
        </w:rPr>
      </w:pPr>
      <w:r>
        <w:rPr>
          <w:b/>
        </w:rPr>
        <w:t xml:space="preserve">RESULTANDO: </w:t>
      </w:r>
      <w:r>
        <w:t>que el examen se efectuó de acuerdo con los Principios Fundamentales de Auditoría (ISSAI 100 y 200) y las Directrices de Auditoría Financiera (ISSAI 1000 a 1810) de la Organización Internacional de Entidades Fiscalizadoras Superiores (INTOSAI), habiéndose llevado a cabo los procedimientos considerados necesarios en las circunstancias;</w:t>
      </w:r>
    </w:p>
    <w:p w:rsidR="000A7E49" w:rsidRDefault="000A7E49" w:rsidP="00567F19">
      <w:pPr>
        <w:spacing w:line="360" w:lineRule="auto"/>
        <w:ind w:firstLine="851"/>
        <w:jc w:val="both"/>
        <w:rPr>
          <w:b/>
        </w:rPr>
      </w:pPr>
      <w:r>
        <w:rPr>
          <w:b/>
        </w:rPr>
        <w:t xml:space="preserve">CONSIDERANDO: </w:t>
      </w:r>
      <w:r>
        <w:t>que las conclusiones y evidencias obtenidas son las que se expresan en el Informe de Auditoría, que incluye Dictamen e Informe a la Administración;</w:t>
      </w:r>
    </w:p>
    <w:p w:rsidR="000A7E49" w:rsidRDefault="000A7E49" w:rsidP="000E57C9">
      <w:pPr>
        <w:spacing w:line="360" w:lineRule="auto"/>
        <w:ind w:firstLine="851"/>
        <w:jc w:val="both"/>
        <w:rPr>
          <w:b/>
          <w:bCs/>
        </w:rPr>
      </w:pPr>
      <w:r>
        <w:rPr>
          <w:b/>
        </w:rPr>
        <w:t xml:space="preserve">ATENTO: </w:t>
      </w:r>
      <w:r w:rsidR="00567F19">
        <w:t>a lo dispuesto por el Artículo</w:t>
      </w:r>
      <w:r>
        <w:t xml:space="preserve"> 211 Lit</w:t>
      </w:r>
      <w:r w:rsidR="00567F19">
        <w:t>eral</w:t>
      </w:r>
      <w:r>
        <w:t xml:space="preserve"> C) de la Constitución de la República;</w:t>
      </w:r>
    </w:p>
    <w:p w:rsidR="000A7E49" w:rsidRDefault="000A7E49" w:rsidP="000A7E49">
      <w:pPr>
        <w:spacing w:line="360" w:lineRule="auto"/>
        <w:jc w:val="center"/>
      </w:pPr>
      <w:r>
        <w:rPr>
          <w:b/>
          <w:bCs/>
        </w:rPr>
        <w:t>EL TRIBUNAL ACUERDA</w:t>
      </w:r>
    </w:p>
    <w:p w:rsidR="000A7E49" w:rsidRDefault="000A7E49" w:rsidP="000A7E49">
      <w:pPr>
        <w:numPr>
          <w:ilvl w:val="0"/>
          <w:numId w:val="1"/>
        </w:numPr>
        <w:spacing w:line="360" w:lineRule="auto"/>
        <w:jc w:val="both"/>
      </w:pPr>
      <w:r>
        <w:t>Expedirse en los términos del Info</w:t>
      </w:r>
      <w:r w:rsidR="000E57C9">
        <w:t>rme de Auditoría que se adjunta;</w:t>
      </w:r>
    </w:p>
    <w:p w:rsidR="000A7E49" w:rsidRPr="00CB780A" w:rsidRDefault="000A7E49" w:rsidP="000A7E49">
      <w:pPr>
        <w:numPr>
          <w:ilvl w:val="0"/>
          <w:numId w:val="1"/>
        </w:numPr>
        <w:spacing w:line="360" w:lineRule="auto"/>
        <w:jc w:val="both"/>
      </w:pPr>
      <w:r>
        <w:t>Comunicar la presente Resolución a la Intendencia de Maldonado y a la Contadora Del</w:t>
      </w:r>
      <w:r w:rsidR="000E57C9">
        <w:t>egada en la Junta Departamental;</w:t>
      </w:r>
    </w:p>
    <w:p w:rsidR="000A7E49" w:rsidRDefault="000A7E49" w:rsidP="000A7E49">
      <w:pPr>
        <w:numPr>
          <w:ilvl w:val="0"/>
          <w:numId w:val="1"/>
        </w:numPr>
        <w:spacing w:line="360" w:lineRule="auto"/>
        <w:jc w:val="both"/>
      </w:pPr>
      <w:r>
        <w:t>Devolver estas actuaciones a la Junta Departamental de Maldonado</w:t>
      </w:r>
      <w:r w:rsidR="000E57C9">
        <w:t>;</w:t>
      </w:r>
    </w:p>
    <w:p w:rsidR="000A7E49" w:rsidRDefault="000A7E49" w:rsidP="000A7E49">
      <w:pPr>
        <w:numPr>
          <w:ilvl w:val="0"/>
          <w:numId w:val="1"/>
        </w:numPr>
        <w:spacing w:line="360" w:lineRule="auto"/>
        <w:jc w:val="both"/>
      </w:pPr>
      <w:r w:rsidRPr="00CB780A">
        <w:t>Dar cuenta a la Asamblea General</w:t>
      </w:r>
      <w:r>
        <w:t>.</w:t>
      </w:r>
    </w:p>
    <w:p w:rsidR="000A7E49" w:rsidRDefault="000A7E49" w:rsidP="00567F19">
      <w:pPr>
        <w:spacing w:line="360" w:lineRule="auto"/>
        <w:ind w:left="360"/>
        <w:jc w:val="both"/>
      </w:pPr>
    </w:p>
    <w:p w:rsidR="00567F19" w:rsidRDefault="00567F19" w:rsidP="000E57C9">
      <w:pPr>
        <w:spacing w:line="360" w:lineRule="auto"/>
        <w:jc w:val="both"/>
        <w:rPr>
          <w:sz w:val="20"/>
          <w:szCs w:val="20"/>
        </w:rPr>
      </w:pPr>
      <w:r w:rsidRPr="00567F19">
        <w:rPr>
          <w:sz w:val="20"/>
          <w:szCs w:val="20"/>
        </w:rPr>
        <w:t>CLC</w:t>
      </w:r>
    </w:p>
    <w:p w:rsidR="00BC735E" w:rsidRDefault="00BC735E" w:rsidP="00567F19">
      <w:pPr>
        <w:spacing w:line="360" w:lineRule="auto"/>
        <w:ind w:left="360"/>
        <w:jc w:val="both"/>
        <w:rPr>
          <w:sz w:val="20"/>
          <w:szCs w:val="20"/>
        </w:rPr>
      </w:pPr>
    </w:p>
    <w:p w:rsidR="00BC735E" w:rsidRDefault="00BC735E" w:rsidP="00567F19">
      <w:pPr>
        <w:spacing w:line="360" w:lineRule="auto"/>
        <w:ind w:left="360"/>
        <w:jc w:val="both"/>
        <w:rPr>
          <w:sz w:val="20"/>
          <w:szCs w:val="20"/>
        </w:rPr>
      </w:pPr>
    </w:p>
    <w:p w:rsidR="00BC735E" w:rsidRDefault="00BC735E" w:rsidP="00567F19">
      <w:pPr>
        <w:spacing w:line="360" w:lineRule="auto"/>
        <w:ind w:left="360"/>
        <w:jc w:val="both"/>
        <w:rPr>
          <w:sz w:val="20"/>
          <w:szCs w:val="20"/>
        </w:rPr>
      </w:pPr>
    </w:p>
    <w:p w:rsidR="00BC735E" w:rsidRPr="00E03D4F" w:rsidRDefault="00BC735E" w:rsidP="000E57C9">
      <w:pPr>
        <w:pStyle w:val="Ttulo1"/>
        <w:numPr>
          <w:ilvl w:val="0"/>
          <w:numId w:val="0"/>
        </w:numPr>
        <w:spacing w:line="360" w:lineRule="auto"/>
        <w:jc w:val="center"/>
      </w:pPr>
      <w:bookmarkStart w:id="1" w:name="_Toc424919766"/>
      <w:r>
        <w:lastRenderedPageBreak/>
        <w:t>DICTAMEN</w:t>
      </w:r>
      <w:bookmarkEnd w:id="1"/>
    </w:p>
    <w:p w:rsidR="00BC735E" w:rsidRDefault="00BC735E" w:rsidP="000E57C9">
      <w:pPr>
        <w:pStyle w:val="Subttulo"/>
        <w:rPr>
          <w:rFonts w:ascii="Arial" w:hAnsi="Arial" w:cs="Arial"/>
          <w:b w:val="0"/>
        </w:rPr>
      </w:pPr>
      <w:r>
        <w:rPr>
          <w:rFonts w:ascii="Arial" w:hAnsi="Arial" w:cs="Arial"/>
          <w:b w:val="0"/>
        </w:rPr>
        <w:t>El Tribunal de Cuentas ha examinado la Rendición de Cuentas y el Balance de Ejecución Presupuestal de la Junta Departamental de Maldonado, que comprenden los siguientes estados: de Ejecución Presupuestal con relación a los Créditos, de Evolución de las Obligaciones Presupuestales Impagas, de Fondos Indisponibles y otros estados complementarios, correspondientes al Eje</w:t>
      </w:r>
      <w:r w:rsidR="000E57C9">
        <w:rPr>
          <w:rFonts w:ascii="Arial" w:hAnsi="Arial" w:cs="Arial"/>
          <w:b w:val="0"/>
        </w:rPr>
        <w:t>rcicio finalizado el 31/12/2015.</w:t>
      </w:r>
    </w:p>
    <w:p w:rsidR="00BC735E" w:rsidRDefault="00BC735E" w:rsidP="000E57C9">
      <w:pPr>
        <w:pStyle w:val="Subttulo"/>
        <w:rPr>
          <w:rFonts w:ascii="Arial" w:hAnsi="Arial" w:cs="Arial"/>
          <w:b w:val="0"/>
        </w:rPr>
      </w:pPr>
      <w:r>
        <w:rPr>
          <w:rFonts w:ascii="Arial" w:hAnsi="Arial" w:cs="Arial"/>
          <w:b w:val="0"/>
        </w:rPr>
        <w:t>También se presentan, en caso de corresponder, los incumplimientos legales constatados por el Tribunal de Cuentas en el curso de la auditoría efectuada.</w:t>
      </w:r>
    </w:p>
    <w:p w:rsidR="00BC735E" w:rsidRDefault="00BC735E" w:rsidP="000E57C9">
      <w:pPr>
        <w:pStyle w:val="Subttulo"/>
        <w:rPr>
          <w:rFonts w:ascii="Arial" w:hAnsi="Arial" w:cs="Arial"/>
          <w:b w:val="0"/>
        </w:rPr>
      </w:pPr>
      <w:r>
        <w:rPr>
          <w:rFonts w:ascii="Arial" w:hAnsi="Arial" w:cs="Arial"/>
          <w:bCs/>
        </w:rPr>
        <w:t>Responsabilidad de la Dirección de la Junta Departamental por los estados de ejecución presupuestal.</w:t>
      </w:r>
    </w:p>
    <w:p w:rsidR="00BC735E" w:rsidRDefault="00BC735E" w:rsidP="000E57C9">
      <w:pPr>
        <w:pStyle w:val="Subttulo"/>
        <w:rPr>
          <w:rFonts w:ascii="Arial" w:hAnsi="Arial" w:cs="Arial"/>
          <w:bCs/>
        </w:rPr>
      </w:pPr>
      <w:r>
        <w:rPr>
          <w:rFonts w:ascii="Arial" w:hAnsi="Arial" w:cs="Arial"/>
          <w:b w:val="0"/>
        </w:rPr>
        <w:t>La Dirección de la Junta Departamental es responsable por la preparación y la razonable presentación de estos estados de ejecución presupuestal de acuerdo con la normativa vigente y con la Resolución de este Tribunal de fecha 28/01/04. Esta responsabilidad incluye diseñar, implementar y mantener un sistema de control interno adecuado para que la preparación y presentación razonable de los estados mencionados esté libre de errores significativos, ya sea debido a fraude o error, seleccionar y aplicar políticas contables apropiadas.</w:t>
      </w:r>
    </w:p>
    <w:p w:rsidR="00BC735E" w:rsidRPr="00025BF6" w:rsidRDefault="00BC735E" w:rsidP="000E57C9">
      <w:pPr>
        <w:pStyle w:val="Subttulo"/>
        <w:rPr>
          <w:rFonts w:ascii="Arial" w:hAnsi="Arial" w:cs="Arial"/>
          <w:bCs/>
        </w:rPr>
      </w:pPr>
      <w:r>
        <w:rPr>
          <w:rFonts w:ascii="Arial" w:hAnsi="Arial" w:cs="Arial"/>
          <w:bCs/>
        </w:rPr>
        <w:t>Responsabilidad del auditor.</w:t>
      </w:r>
    </w:p>
    <w:p w:rsidR="00BC735E" w:rsidRDefault="00BC735E" w:rsidP="000E57C9">
      <w:pPr>
        <w:pStyle w:val="Textonormal"/>
        <w:widowControl/>
        <w:suppressAutoHyphens w:val="0"/>
        <w:spacing w:line="360" w:lineRule="auto"/>
        <w:jc w:val="both"/>
        <w:rPr>
          <w:rFonts w:ascii="Arial" w:hAnsi="Arial" w:cs="Arial"/>
        </w:rPr>
      </w:pPr>
      <w:r>
        <w:rPr>
          <w:rFonts w:ascii="Arial" w:hAnsi="Arial" w:cs="Arial"/>
          <w:spacing w:val="0"/>
          <w:szCs w:val="20"/>
          <w:lang w:val="es-ES"/>
        </w:rPr>
        <w:t>La responsabilidad del Tribunal de Cuentas es expresar una opinión sobre dichos estados de ejecución presupuestal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mencionados estén li</w:t>
      </w:r>
      <w:r w:rsidR="000E57C9">
        <w:rPr>
          <w:rFonts w:ascii="Arial" w:hAnsi="Arial" w:cs="Arial"/>
          <w:spacing w:val="0"/>
          <w:szCs w:val="20"/>
          <w:lang w:val="es-ES"/>
        </w:rPr>
        <w:t>bres de errores significativos.</w:t>
      </w:r>
    </w:p>
    <w:p w:rsidR="00BC735E" w:rsidRDefault="00BC735E" w:rsidP="000E57C9">
      <w:pPr>
        <w:pStyle w:val="Subttulo"/>
        <w:rPr>
          <w:rFonts w:ascii="Arial" w:hAnsi="Arial" w:cs="Arial"/>
          <w:b w:val="0"/>
        </w:rPr>
      </w:pPr>
      <w:r>
        <w:rPr>
          <w:rFonts w:ascii="Arial" w:hAnsi="Arial" w:cs="Arial"/>
          <w:b w:val="0"/>
        </w:rPr>
        <w:t xml:space="preserve">Una auditoría implica realizar procedimientos para obtener evidencia acerca de </w:t>
      </w:r>
      <w:proofErr w:type="gramStart"/>
      <w:r>
        <w:rPr>
          <w:rFonts w:ascii="Arial" w:hAnsi="Arial" w:cs="Arial"/>
          <w:b w:val="0"/>
        </w:rPr>
        <w:t>los</w:t>
      </w:r>
      <w:proofErr w:type="gramEnd"/>
      <w:r>
        <w:rPr>
          <w:rFonts w:ascii="Arial" w:hAnsi="Arial" w:cs="Arial"/>
          <w:b w:val="0"/>
        </w:rPr>
        <w:t xml:space="preserve"> montos y revelaciones contables. Los procedimientos seleccionados dependen del juicio profesional del auditor, incluyendo la evaluación de los riesgos de existencia de errores significativos en los estados de ejecución presupuestal, ya sea debido a fraude o error. Al efectuar la evaluación de riesgos,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Dirección, así como evaluar la presentación general de los estados de ejecución presupuestal.</w:t>
      </w:r>
    </w:p>
    <w:p w:rsidR="00BC735E" w:rsidRDefault="00BC735E" w:rsidP="000E57C9">
      <w:pPr>
        <w:pStyle w:val="Subttulo"/>
        <w:rPr>
          <w:bCs/>
          <w:szCs w:val="24"/>
        </w:rPr>
      </w:pPr>
      <w:r>
        <w:rPr>
          <w:rFonts w:ascii="Arial" w:hAnsi="Arial" w:cs="Arial"/>
          <w:b w:val="0"/>
        </w:rPr>
        <w:t>Se considera que la evidencia de auditoría obtenida brinda una base suficiente y apropiada para sustentar la opinión.</w:t>
      </w:r>
    </w:p>
    <w:p w:rsidR="00BC735E" w:rsidRDefault="00BC735E" w:rsidP="000E57C9">
      <w:pPr>
        <w:pStyle w:val="Textoindependiente"/>
        <w:spacing w:after="0" w:line="360" w:lineRule="auto"/>
        <w:rPr>
          <w:b/>
          <w:bCs/>
          <w:szCs w:val="24"/>
          <w:lang w:val="es-ES"/>
        </w:rPr>
      </w:pPr>
    </w:p>
    <w:p w:rsidR="00BC735E" w:rsidRDefault="00BC735E" w:rsidP="000E57C9">
      <w:pPr>
        <w:pStyle w:val="Textoindependiente"/>
        <w:spacing w:after="0" w:line="360" w:lineRule="auto"/>
        <w:rPr>
          <w:szCs w:val="24"/>
          <w:lang w:val="es-ES"/>
        </w:rPr>
      </w:pPr>
      <w:r>
        <w:rPr>
          <w:b/>
          <w:bCs/>
          <w:szCs w:val="24"/>
          <w:lang w:val="es-ES"/>
        </w:rPr>
        <w:t>Opinión</w:t>
      </w:r>
    </w:p>
    <w:p w:rsidR="00BC735E" w:rsidRPr="00025BF6" w:rsidRDefault="00BC735E" w:rsidP="000E57C9">
      <w:pPr>
        <w:pStyle w:val="Textoindependiente"/>
        <w:spacing w:after="0" w:line="360" w:lineRule="auto"/>
      </w:pPr>
      <w:r>
        <w:rPr>
          <w:szCs w:val="24"/>
          <w:lang w:val="es-ES"/>
        </w:rPr>
        <w:t>En opinión del Tribunal de Cuentas, el Balance de Ejecución Presupuestal mencionado presenta razonablemente, en todos sus aspectos importantes, la ejecución presupuestal de la Junta de Maldonado correspondiente al Ejercicio finalizado el 31/12/2015, de acuerdo con las normas del TOCAF y a la Resolución de este Cuerpo de 28/01/04.</w:t>
      </w:r>
    </w:p>
    <w:p w:rsidR="00BC735E" w:rsidRPr="00D54223" w:rsidRDefault="00BC735E" w:rsidP="000E57C9">
      <w:pPr>
        <w:spacing w:line="360" w:lineRule="auto"/>
        <w:jc w:val="both"/>
      </w:pPr>
      <w:r w:rsidRPr="00D54223">
        <w:t>Durant</w:t>
      </w:r>
      <w:r>
        <w:t>e el E</w:t>
      </w:r>
      <w:r w:rsidRPr="00D54223">
        <w:t>jercicio 2015, la Contadora Delegada observó gastos que fueron reiterados por el ordenador competente, por incumplir con las siguientes normas: Art</w:t>
      </w:r>
      <w:r>
        <w:t>ículo 86,  211 Literal</w:t>
      </w:r>
      <w:r w:rsidRPr="00D54223">
        <w:t xml:space="preserve"> B)</w:t>
      </w:r>
      <w:r>
        <w:t xml:space="preserve"> y 295</w:t>
      </w:r>
      <w:r w:rsidRPr="00D54223">
        <w:t xml:space="preserve"> de la Constitución de la República, </w:t>
      </w:r>
      <w:r>
        <w:t>y Resolución del Tribunal de Cuentas de la República del 22/12/210, Artículo 15 del TOCAF.</w:t>
      </w:r>
    </w:p>
    <w:p w:rsidR="00BC735E" w:rsidRDefault="00BC735E" w:rsidP="000E57C9">
      <w:pPr>
        <w:pStyle w:val="Encabezado"/>
        <w:tabs>
          <w:tab w:val="clear" w:pos="4419"/>
          <w:tab w:val="clear" w:pos="8838"/>
          <w:tab w:val="left" w:pos="360"/>
        </w:tabs>
        <w:spacing w:line="360" w:lineRule="auto"/>
        <w:jc w:val="right"/>
        <w:rPr>
          <w:color w:val="000000"/>
        </w:rPr>
      </w:pPr>
      <w:r w:rsidRPr="00714270">
        <w:rPr>
          <w:color w:val="000000"/>
        </w:rPr>
        <w:t xml:space="preserve">Montevideo, </w:t>
      </w:r>
      <w:r>
        <w:rPr>
          <w:color w:val="000000"/>
        </w:rPr>
        <w:t xml:space="preserve">4 de julio de </w:t>
      </w:r>
      <w:r w:rsidRPr="00714270">
        <w:rPr>
          <w:color w:val="000000"/>
        </w:rPr>
        <w:t>201</w:t>
      </w:r>
      <w:r>
        <w:rPr>
          <w:color w:val="000000"/>
        </w:rPr>
        <w:t>6</w:t>
      </w:r>
      <w:bookmarkStart w:id="2" w:name="_Toc424919768"/>
    </w:p>
    <w:p w:rsidR="00BC735E" w:rsidRPr="00025BF6" w:rsidRDefault="00BC735E" w:rsidP="000E57C9">
      <w:pPr>
        <w:pStyle w:val="Encabezado"/>
        <w:tabs>
          <w:tab w:val="clear" w:pos="4419"/>
          <w:tab w:val="clear" w:pos="8838"/>
          <w:tab w:val="left" w:pos="360"/>
        </w:tabs>
        <w:spacing w:line="360" w:lineRule="auto"/>
        <w:rPr>
          <w:color w:val="000000"/>
        </w:rPr>
      </w:pPr>
      <w:r w:rsidRPr="001947C3">
        <w:rPr>
          <w:b/>
          <w:sz w:val="20"/>
          <w:szCs w:val="20"/>
        </w:rPr>
        <w:t>CLC</w:t>
      </w:r>
    </w:p>
    <w:bookmarkEnd w:id="2"/>
    <w:p w:rsidR="00BC735E" w:rsidRPr="000F50E3" w:rsidRDefault="00BC735E" w:rsidP="000E57C9">
      <w:pPr>
        <w:pStyle w:val="Ttulo1"/>
        <w:numPr>
          <w:ilvl w:val="0"/>
          <w:numId w:val="0"/>
        </w:numPr>
        <w:spacing w:line="360" w:lineRule="auto"/>
        <w:jc w:val="center"/>
      </w:pPr>
      <w:r>
        <w:t>INFORME A LA ADMINISTRACIÓN</w:t>
      </w:r>
    </w:p>
    <w:p w:rsidR="00BC735E" w:rsidRDefault="00BC735E" w:rsidP="000E57C9">
      <w:pPr>
        <w:pStyle w:val="Subttulo"/>
        <w:rPr>
          <w:rFonts w:cs="Arial"/>
        </w:rPr>
      </w:pPr>
      <w:r>
        <w:rPr>
          <w:rFonts w:ascii="Arial" w:hAnsi="Arial" w:cs="Arial"/>
          <w:b w:val="0"/>
        </w:rPr>
        <w:t>El Tribunal de Cuentas ha examinado la Rendición de Cuentas y Balance de Ejecución Presupuestal correspondiente al Ejercicio 2015 y ha emitido su correspondiente dictamen.</w:t>
      </w:r>
    </w:p>
    <w:p w:rsidR="00BC735E" w:rsidRDefault="00BC735E" w:rsidP="000E57C9">
      <w:pPr>
        <w:widowControl w:val="0"/>
        <w:spacing w:after="120" w:line="360" w:lineRule="auto"/>
        <w:jc w:val="both"/>
      </w:pPr>
      <w:r>
        <w:t>Como consecuencia del examen practicado, se incluyen en este informe comentarios que se ha entendido conveniente exponer, relacionados con la situación de determinados capítulos y rubros de los estados examinados, obligaciones a cumplir, así como recomendaciones que deberá atender el Organismo. Se incluye además, una evaluación del cumplimiento de las recomendaciones presentadas en el Informe de Auditoría correspondiente al ejercicio anterior.</w:t>
      </w:r>
    </w:p>
    <w:p w:rsidR="00BC735E" w:rsidRDefault="00BC735E" w:rsidP="000E57C9">
      <w:pPr>
        <w:pStyle w:val="Ttulo1"/>
        <w:spacing w:line="360" w:lineRule="auto"/>
      </w:pPr>
      <w:bookmarkStart w:id="3" w:name="_Toc424919769"/>
      <w:r>
        <w:t xml:space="preserve">1 </w:t>
      </w:r>
      <w:r w:rsidRPr="00714270">
        <w:t>Situación</w:t>
      </w:r>
      <w:r>
        <w:t xml:space="preserve"> en materia de fondos</w:t>
      </w:r>
      <w:bookmarkEnd w:id="3"/>
    </w:p>
    <w:p w:rsidR="00BC735E" w:rsidRDefault="00BC735E" w:rsidP="000E57C9">
      <w:pPr>
        <w:pStyle w:val="Textoindependiente"/>
        <w:spacing w:line="360" w:lineRule="auto"/>
        <w:rPr>
          <w:lang w:val="es-ES"/>
        </w:rPr>
      </w:pPr>
      <w:r>
        <w:rPr>
          <w:lang w:val="es-ES"/>
        </w:rPr>
        <w:t xml:space="preserve">De acuerdo a los estados incluidos en la Rendición de Cuentas, se elaboró un </w:t>
      </w:r>
      <w:proofErr w:type="gramStart"/>
      <w:r>
        <w:rPr>
          <w:lang w:val="es-ES"/>
        </w:rPr>
        <w:t>resumen</w:t>
      </w:r>
      <w:proofErr w:type="gramEnd"/>
      <w:r>
        <w:rPr>
          <w:lang w:val="es-ES"/>
        </w:rPr>
        <w:t xml:space="preserve"> de la situación en materia de fondos de la Junta Departamental con relación a la Intendencia (en pesos uruguayos):</w:t>
      </w:r>
    </w:p>
    <w:p w:rsidR="00BC735E" w:rsidRDefault="00BC735E" w:rsidP="000E57C9">
      <w:pPr>
        <w:pStyle w:val="Textoindependiente"/>
        <w:spacing w:line="360" w:lineRule="auto"/>
      </w:pPr>
      <w:bookmarkStart w:id="4" w:name="OLE_LINK1"/>
      <w:r>
        <w:rPr>
          <w:lang w:val="es-ES"/>
        </w:rPr>
        <w:t>Disponibilidades</w:t>
      </w:r>
      <w:r>
        <w:rPr>
          <w:lang w:val="es-ES"/>
        </w:rPr>
        <w:tab/>
      </w:r>
      <w:r>
        <w:rPr>
          <w:lang w:val="es-ES"/>
        </w:rPr>
        <w:tab/>
      </w:r>
      <w:r>
        <w:rPr>
          <w:lang w:val="es-ES"/>
        </w:rPr>
        <w:tab/>
      </w:r>
      <w:r>
        <w:rPr>
          <w:lang w:val="es-ES"/>
        </w:rPr>
        <w:tab/>
      </w:r>
      <w:r>
        <w:rPr>
          <w:lang w:val="es-ES"/>
        </w:rPr>
        <w:tab/>
      </w:r>
      <w:r>
        <w:rPr>
          <w:lang w:val="es-ES"/>
        </w:rPr>
        <w:tab/>
        <w:t xml:space="preserve">                  $ 10:536.937</w:t>
      </w:r>
    </w:p>
    <w:p w:rsidR="00BC735E" w:rsidRDefault="00BC735E" w:rsidP="000E57C9">
      <w:pPr>
        <w:pStyle w:val="Textoindependiente"/>
        <w:spacing w:line="360" w:lineRule="auto"/>
        <w:rPr>
          <w:lang w:val="es-ES"/>
        </w:rPr>
      </w:pPr>
      <w:r>
        <w:rPr>
          <w:lang w:val="es-ES"/>
        </w:rPr>
        <w:t>Menos:</w:t>
      </w:r>
      <w:r>
        <w:rPr>
          <w:lang w:val="es-ES"/>
        </w:rPr>
        <w:tab/>
      </w:r>
    </w:p>
    <w:p w:rsidR="00BC735E" w:rsidRDefault="00BC735E" w:rsidP="000E57C9">
      <w:pPr>
        <w:pStyle w:val="Textoindependiente"/>
        <w:spacing w:line="360" w:lineRule="auto"/>
        <w:rPr>
          <w:lang w:val="es-ES"/>
        </w:rPr>
      </w:pPr>
      <w:r>
        <w:rPr>
          <w:lang w:val="es-ES"/>
        </w:rPr>
        <w:tab/>
      </w:r>
      <w:proofErr w:type="spellStart"/>
      <w:r>
        <w:rPr>
          <w:lang w:val="es-ES"/>
        </w:rPr>
        <w:t>Oblig</w:t>
      </w:r>
      <w:proofErr w:type="spellEnd"/>
      <w:r>
        <w:rPr>
          <w:lang w:val="es-ES"/>
        </w:rPr>
        <w:t>. Presupuestales Impagas</w:t>
      </w:r>
      <w:r>
        <w:rPr>
          <w:lang w:val="es-ES"/>
        </w:rPr>
        <w:tab/>
      </w:r>
      <w:r>
        <w:rPr>
          <w:lang w:val="es-ES"/>
        </w:rPr>
        <w:tab/>
        <w:t>$   3:457.969</w:t>
      </w:r>
    </w:p>
    <w:p w:rsidR="00BC735E" w:rsidRDefault="00BC735E" w:rsidP="000E57C9">
      <w:pPr>
        <w:pStyle w:val="Textoindependiente"/>
        <w:spacing w:line="360" w:lineRule="auto"/>
        <w:rPr>
          <w:lang w:val="es-ES"/>
        </w:rPr>
      </w:pPr>
      <w:r>
        <w:rPr>
          <w:lang w:val="es-ES"/>
        </w:rPr>
        <w:tab/>
        <w:t>Indisponibles no vertidos</w:t>
      </w:r>
      <w:r>
        <w:rPr>
          <w:lang w:val="es-ES"/>
        </w:rPr>
        <w:tab/>
      </w:r>
      <w:r>
        <w:rPr>
          <w:lang w:val="es-ES"/>
        </w:rPr>
        <w:tab/>
      </w:r>
      <w:r>
        <w:rPr>
          <w:lang w:val="es-ES"/>
        </w:rPr>
        <w:tab/>
      </w:r>
      <w:r>
        <w:rPr>
          <w:u w:val="single"/>
          <w:lang w:val="es-ES"/>
        </w:rPr>
        <w:t>$   2:970.028</w:t>
      </w:r>
      <w:r>
        <w:rPr>
          <w:lang w:val="es-ES"/>
        </w:rPr>
        <w:tab/>
        <w:t xml:space="preserve">        ($ 6:427.997)</w:t>
      </w:r>
      <w:r>
        <w:rPr>
          <w:lang w:val="es-ES"/>
        </w:rPr>
        <w:tab/>
      </w:r>
    </w:p>
    <w:p w:rsidR="00BC735E" w:rsidRDefault="00BC735E" w:rsidP="000E57C9">
      <w:pPr>
        <w:pStyle w:val="Textoindependiente"/>
        <w:spacing w:line="360" w:lineRule="auto"/>
        <w:rPr>
          <w:lang w:val="es-ES"/>
        </w:rPr>
      </w:pPr>
      <w:r>
        <w:rPr>
          <w:lang w:val="es-ES"/>
        </w:rPr>
        <w:t>Saldo a favor de la Intendencia</w:t>
      </w:r>
      <w:r>
        <w:rPr>
          <w:lang w:val="es-ES"/>
        </w:rPr>
        <w:tab/>
      </w:r>
      <w:r>
        <w:rPr>
          <w:lang w:val="es-ES"/>
        </w:rPr>
        <w:tab/>
      </w:r>
      <w:r>
        <w:rPr>
          <w:lang w:val="es-ES"/>
        </w:rPr>
        <w:tab/>
      </w:r>
      <w:r>
        <w:rPr>
          <w:lang w:val="es-ES"/>
        </w:rPr>
        <w:tab/>
      </w:r>
      <w:r>
        <w:rPr>
          <w:lang w:val="es-ES"/>
        </w:rPr>
        <w:tab/>
        <w:t xml:space="preserve">        </w:t>
      </w:r>
      <w:r>
        <w:rPr>
          <w:u w:val="double"/>
          <w:lang w:val="es-ES"/>
        </w:rPr>
        <w:t>$   4:108.940</w:t>
      </w:r>
    </w:p>
    <w:p w:rsidR="00BC735E" w:rsidRDefault="00BC735E" w:rsidP="000E57C9">
      <w:pPr>
        <w:pStyle w:val="Ttulo1"/>
        <w:spacing w:line="360" w:lineRule="auto"/>
      </w:pPr>
      <w:bookmarkStart w:id="5" w:name="_Toc424919773"/>
      <w:bookmarkEnd w:id="4"/>
      <w:r>
        <w:t>2 Recomendaciones</w:t>
      </w:r>
      <w:bookmarkEnd w:id="5"/>
    </w:p>
    <w:p w:rsidR="00BC735E" w:rsidRDefault="00BC735E" w:rsidP="000E57C9">
      <w:pPr>
        <w:pStyle w:val="Ttulo1"/>
        <w:spacing w:line="360" w:lineRule="auto"/>
      </w:pPr>
      <w:bookmarkStart w:id="6" w:name="_Toc424919774"/>
      <w:r>
        <w:t>2.1 Recomendaciones del ejercicio anterior cumplidas:</w:t>
      </w:r>
      <w:bookmarkEnd w:id="6"/>
    </w:p>
    <w:p w:rsidR="00BC735E" w:rsidRPr="00A95C60" w:rsidRDefault="00BC735E" w:rsidP="000E57C9">
      <w:pPr>
        <w:pStyle w:val="Ttulo1"/>
        <w:spacing w:line="360" w:lineRule="auto"/>
      </w:pPr>
      <w:bookmarkStart w:id="7" w:name="_Toc424919775"/>
      <w:r>
        <w:t>2</w:t>
      </w:r>
      <w:r w:rsidRPr="00A95C60">
        <w:t>.1</w:t>
      </w:r>
      <w:r>
        <w:t>.2</w:t>
      </w:r>
      <w:r w:rsidRPr="00A95C60">
        <w:t xml:space="preserve"> Artículo</w:t>
      </w:r>
      <w:r>
        <w:t xml:space="preserve"> </w:t>
      </w:r>
      <w:r w:rsidRPr="00A95C60">
        <w:t>33</w:t>
      </w:r>
      <w:r>
        <w:t xml:space="preserve"> y 43</w:t>
      </w:r>
      <w:r w:rsidRPr="00A95C60">
        <w:t xml:space="preserve"> del TOCAF</w:t>
      </w:r>
      <w:bookmarkEnd w:id="7"/>
    </w:p>
    <w:p w:rsidR="00BC735E" w:rsidRPr="00A95C60" w:rsidRDefault="00BC735E" w:rsidP="000E57C9">
      <w:pPr>
        <w:pStyle w:val="Textoindependiente"/>
        <w:spacing w:line="360" w:lineRule="auto"/>
        <w:rPr>
          <w:szCs w:val="24"/>
          <w:lang w:val="es-ES"/>
        </w:rPr>
      </w:pPr>
      <w:r>
        <w:rPr>
          <w:szCs w:val="24"/>
          <w:lang w:val="es-ES"/>
        </w:rPr>
        <w:t>No se constataron incumplimientos por parte de l</w:t>
      </w:r>
      <w:r w:rsidRPr="00A95C60">
        <w:rPr>
          <w:szCs w:val="24"/>
          <w:lang w:val="es-ES"/>
        </w:rPr>
        <w:t>a Junta Departamental, en forma previa a contratar un servicio</w:t>
      </w:r>
      <w:r>
        <w:rPr>
          <w:szCs w:val="24"/>
          <w:lang w:val="es-ES"/>
        </w:rPr>
        <w:t xml:space="preserve"> o realizar un gasto</w:t>
      </w:r>
      <w:r w:rsidRPr="00A95C60">
        <w:rPr>
          <w:szCs w:val="24"/>
          <w:lang w:val="es-ES"/>
        </w:rPr>
        <w:t xml:space="preserve">, </w:t>
      </w:r>
      <w:r>
        <w:rPr>
          <w:szCs w:val="24"/>
          <w:lang w:val="es-ES"/>
        </w:rPr>
        <w:t>en relación al</w:t>
      </w:r>
      <w:r w:rsidRPr="00A95C60">
        <w:rPr>
          <w:szCs w:val="24"/>
          <w:lang w:val="es-ES"/>
        </w:rPr>
        <w:t xml:space="preserve"> procedimiento que correspond</w:t>
      </w:r>
      <w:r>
        <w:rPr>
          <w:szCs w:val="24"/>
          <w:lang w:val="es-ES"/>
        </w:rPr>
        <w:t>e</w:t>
      </w:r>
      <w:r w:rsidRPr="00A95C60">
        <w:rPr>
          <w:szCs w:val="24"/>
          <w:lang w:val="es-ES"/>
        </w:rPr>
        <w:t xml:space="preserve"> de acue</w:t>
      </w:r>
      <w:r>
        <w:rPr>
          <w:szCs w:val="24"/>
          <w:lang w:val="es-ES"/>
        </w:rPr>
        <w:t>rdo a lo establecido en los Artí</w:t>
      </w:r>
      <w:r w:rsidRPr="00A95C60">
        <w:rPr>
          <w:szCs w:val="24"/>
          <w:lang w:val="es-ES"/>
        </w:rPr>
        <w:t>culo</w:t>
      </w:r>
      <w:r>
        <w:rPr>
          <w:szCs w:val="24"/>
          <w:lang w:val="es-ES"/>
        </w:rPr>
        <w:t xml:space="preserve">s </w:t>
      </w:r>
      <w:r w:rsidRPr="00A95C60">
        <w:rPr>
          <w:szCs w:val="24"/>
          <w:lang w:val="es-ES"/>
        </w:rPr>
        <w:t>33</w:t>
      </w:r>
      <w:r>
        <w:rPr>
          <w:szCs w:val="24"/>
          <w:lang w:val="es-ES"/>
        </w:rPr>
        <w:t xml:space="preserve"> y 43</w:t>
      </w:r>
      <w:r w:rsidRPr="00A95C60">
        <w:rPr>
          <w:szCs w:val="24"/>
          <w:lang w:val="es-ES"/>
        </w:rPr>
        <w:t xml:space="preserve"> del TOCAF.</w:t>
      </w:r>
    </w:p>
    <w:p w:rsidR="00BC735E" w:rsidRPr="00082469" w:rsidRDefault="00BC735E" w:rsidP="000E57C9">
      <w:pPr>
        <w:pStyle w:val="Ttulo1"/>
        <w:spacing w:line="360" w:lineRule="auto"/>
      </w:pPr>
      <w:bookmarkStart w:id="8" w:name="_Toc424919777"/>
      <w:r>
        <w:t>2</w:t>
      </w:r>
      <w:r w:rsidRPr="00082469">
        <w:t>.</w:t>
      </w:r>
      <w:r>
        <w:t>1</w:t>
      </w:r>
      <w:r w:rsidRPr="00082469">
        <w:t xml:space="preserve">.1 Publicación en la página web </w:t>
      </w:r>
      <w:r w:rsidRPr="002B7BF0">
        <w:t>de Compras y Contrataciones Estatales</w:t>
      </w:r>
      <w:r w:rsidRPr="00082469">
        <w:t xml:space="preserve"> de las resoluciones de adjudicación</w:t>
      </w:r>
      <w:bookmarkEnd w:id="8"/>
    </w:p>
    <w:p w:rsidR="00BC735E" w:rsidRPr="008516DF" w:rsidRDefault="00BC735E" w:rsidP="000E57C9">
      <w:pPr>
        <w:pStyle w:val="Textoindependiente"/>
        <w:spacing w:line="360" w:lineRule="auto"/>
        <w:rPr>
          <w:szCs w:val="24"/>
          <w:lang w:val="es-ES"/>
        </w:rPr>
      </w:pPr>
      <w:r w:rsidRPr="008516DF">
        <w:rPr>
          <w:szCs w:val="24"/>
          <w:lang w:val="es-ES"/>
        </w:rPr>
        <w:t xml:space="preserve">La Junta Departamental </w:t>
      </w:r>
      <w:r>
        <w:rPr>
          <w:szCs w:val="24"/>
          <w:lang w:val="es-ES"/>
        </w:rPr>
        <w:t xml:space="preserve">realizó las publicaciones en el sitio web de Compras y Contrataciones Estatales conforme a lo establecido </w:t>
      </w:r>
      <w:r w:rsidRPr="008516DF">
        <w:rPr>
          <w:szCs w:val="24"/>
          <w:lang w:val="es-ES"/>
        </w:rPr>
        <w:t xml:space="preserve">en el </w:t>
      </w:r>
      <w:r>
        <w:rPr>
          <w:szCs w:val="24"/>
          <w:lang w:val="es-ES"/>
        </w:rPr>
        <w:t>A</w:t>
      </w:r>
      <w:r w:rsidRPr="008516DF">
        <w:rPr>
          <w:szCs w:val="24"/>
          <w:lang w:val="es-ES"/>
        </w:rPr>
        <w:t xml:space="preserve">rtículo 50 del TOCAF, que establece la obligatoriedad de publicar en </w:t>
      </w:r>
      <w:r>
        <w:rPr>
          <w:szCs w:val="24"/>
          <w:lang w:val="es-ES"/>
        </w:rPr>
        <w:t>dicho sitio,</w:t>
      </w:r>
      <w:r w:rsidRPr="008516DF">
        <w:rPr>
          <w:szCs w:val="24"/>
          <w:lang w:val="es-ES"/>
        </w:rPr>
        <w:t xml:space="preserve"> el acto de adjudicación, declaración de desierta o de rechazo de ofertas, de todos los procedimientos de contratación de monto superior al 50 % del límite de su procedimiento de compra directa, así como las ampliaciones y actos de reiteración de gastos observados por el Tribunal de Cuentas, contando con un plazo de 10 días luego de producido el acto que se informa.</w:t>
      </w:r>
      <w:bookmarkStart w:id="9" w:name="_Toc424919776"/>
    </w:p>
    <w:p w:rsidR="00BC735E" w:rsidRDefault="00BC735E" w:rsidP="000E57C9">
      <w:pPr>
        <w:pStyle w:val="Ttulo1"/>
        <w:spacing w:line="360" w:lineRule="auto"/>
        <w:ind w:left="431" w:hanging="431"/>
      </w:pPr>
      <w:r>
        <w:t>2.2 Recomendaciones del ejercicio:</w:t>
      </w:r>
      <w:bookmarkEnd w:id="9"/>
    </w:p>
    <w:p w:rsidR="00BC735E" w:rsidRPr="00B30AD1" w:rsidRDefault="00BC735E" w:rsidP="000E57C9">
      <w:pPr>
        <w:pStyle w:val="Ttulo3"/>
        <w:numPr>
          <w:ilvl w:val="0"/>
          <w:numId w:val="0"/>
        </w:numPr>
        <w:spacing w:line="360" w:lineRule="auto"/>
        <w:jc w:val="left"/>
      </w:pPr>
      <w:bookmarkStart w:id="10" w:name="_Toc397430990"/>
      <w:r>
        <w:t>2</w:t>
      </w:r>
      <w:r w:rsidRPr="00B30AD1">
        <w:t>.</w:t>
      </w:r>
      <w:r>
        <w:t>2</w:t>
      </w:r>
      <w:r w:rsidRPr="00B30AD1">
        <w:t>.</w:t>
      </w:r>
      <w:r>
        <w:t>1</w:t>
      </w:r>
      <w:r w:rsidRPr="00B30AD1">
        <w:t xml:space="preserve"> Excesos de gastos</w:t>
      </w:r>
      <w:bookmarkEnd w:id="10"/>
    </w:p>
    <w:p w:rsidR="00BC735E" w:rsidRDefault="00BC735E" w:rsidP="000E57C9">
      <w:pPr>
        <w:spacing w:line="360" w:lineRule="auto"/>
        <w:jc w:val="both"/>
        <w:rPr>
          <w:kern w:val="1"/>
        </w:rPr>
      </w:pPr>
      <w:r w:rsidRPr="00934E9D">
        <w:rPr>
          <w:kern w:val="1"/>
        </w:rPr>
        <w:t>A efectos de no comprometer gastos cuando no existe crédito disponible sería conveniente, en oportunidad de realizar la imputación previa de los mismos y verificar la falta de disponibilidad suficiente, recurrir al mecanismo de la trasposición de objetos, aplicando las normas presupuestales de la Junta vigentes en la materia.</w:t>
      </w:r>
    </w:p>
    <w:p w:rsidR="00BC735E" w:rsidRDefault="00BC735E" w:rsidP="00247971">
      <w:pPr>
        <w:pStyle w:val="Ttulo3"/>
        <w:numPr>
          <w:ilvl w:val="0"/>
          <w:numId w:val="0"/>
        </w:numPr>
        <w:spacing w:line="360" w:lineRule="auto"/>
        <w:jc w:val="both"/>
      </w:pPr>
      <w:r w:rsidRPr="00934E9D">
        <w:t>2.2.2</w:t>
      </w:r>
      <w:r>
        <w:t xml:space="preserve"> Partidas para Sectores con representación en la Junta Departamental para el mejor cumplimiento de sus fines</w:t>
      </w:r>
      <w:r w:rsidR="00247971">
        <w:t>.</w:t>
      </w:r>
    </w:p>
    <w:p w:rsidR="00BC735E" w:rsidRDefault="00BC735E" w:rsidP="000E57C9">
      <w:pPr>
        <w:spacing w:line="360" w:lineRule="auto"/>
        <w:jc w:val="both"/>
        <w:rPr>
          <w:kern w:val="1"/>
        </w:rPr>
      </w:pPr>
      <w:r w:rsidRPr="00C15F99">
        <w:rPr>
          <w:kern w:val="1"/>
        </w:rPr>
        <w:t>A efectos de verificar el cumplimiento de lo preceptuado por el Artículo 295 de la Constitución de la República, en cuanto al carácter honorario de la función de Edil, la Junta Departamental deberá ajustarse a lo dispuesto por la Resolución de este T</w:t>
      </w:r>
      <w:r w:rsidR="00247971">
        <w:rPr>
          <w:kern w:val="1"/>
        </w:rPr>
        <w:t>ribunal de 22/12/10.</w:t>
      </w:r>
    </w:p>
    <w:p w:rsidR="00BC735E" w:rsidRPr="00714270" w:rsidRDefault="00BC735E" w:rsidP="000E57C9">
      <w:pPr>
        <w:pStyle w:val="Encabezado"/>
        <w:tabs>
          <w:tab w:val="clear" w:pos="4419"/>
          <w:tab w:val="clear" w:pos="8838"/>
          <w:tab w:val="left" w:pos="360"/>
        </w:tabs>
        <w:spacing w:line="360" w:lineRule="auto"/>
        <w:jc w:val="right"/>
        <w:rPr>
          <w:color w:val="000000"/>
        </w:rPr>
      </w:pPr>
      <w:r w:rsidRPr="00714270">
        <w:rPr>
          <w:color w:val="000000"/>
        </w:rPr>
        <w:t xml:space="preserve">Montevideo, </w:t>
      </w:r>
      <w:r>
        <w:rPr>
          <w:color w:val="000000"/>
        </w:rPr>
        <w:t>4</w:t>
      </w:r>
      <w:r w:rsidRPr="00714270">
        <w:rPr>
          <w:color w:val="000000"/>
        </w:rPr>
        <w:t xml:space="preserve"> de</w:t>
      </w:r>
      <w:r>
        <w:rPr>
          <w:color w:val="000000"/>
        </w:rPr>
        <w:t xml:space="preserve"> juli</w:t>
      </w:r>
      <w:r w:rsidRPr="00714270">
        <w:rPr>
          <w:color w:val="000000"/>
        </w:rPr>
        <w:t>o de 201</w:t>
      </w:r>
      <w:r>
        <w:rPr>
          <w:color w:val="000000"/>
        </w:rPr>
        <w:t>6</w:t>
      </w:r>
    </w:p>
    <w:p w:rsidR="00BC735E" w:rsidRPr="00C711EF" w:rsidRDefault="00BC735E" w:rsidP="000E57C9">
      <w:pPr>
        <w:pStyle w:val="Textoindependiente"/>
        <w:spacing w:after="0" w:line="360" w:lineRule="auto"/>
        <w:jc w:val="left"/>
        <w:rPr>
          <w:bCs/>
          <w:sz w:val="20"/>
        </w:rPr>
      </w:pPr>
    </w:p>
    <w:p w:rsidR="00BC735E" w:rsidRPr="00BC735E" w:rsidRDefault="00BC735E" w:rsidP="00BC735E">
      <w:pPr>
        <w:pStyle w:val="Textoindependiente"/>
        <w:spacing w:after="0" w:line="360" w:lineRule="auto"/>
        <w:jc w:val="left"/>
        <w:rPr>
          <w:bCs/>
          <w:sz w:val="20"/>
        </w:rPr>
      </w:pPr>
      <w:r w:rsidRPr="00C711EF">
        <w:rPr>
          <w:bCs/>
          <w:sz w:val="20"/>
        </w:rPr>
        <w:t>CLC</w:t>
      </w:r>
    </w:p>
    <w:sectPr w:rsidR="00BC735E" w:rsidRPr="00BC735E" w:rsidSect="00592E09">
      <w:pgSz w:w="11906" w:h="16838" w:code="9"/>
      <w:pgMar w:top="3402" w:right="1701" w:bottom="1134" w:left="1701" w:header="720" w:footer="720" w:gutter="0"/>
      <w:paperSrc w:first="4" w:other="4"/>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8"/>
    <w:lvl w:ilvl="0">
      <w:start w:val="3"/>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rPr>
        <w:b/>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nsid w:val="00000003"/>
    <w:multiLevelType w:val="singleLevel"/>
    <w:tmpl w:val="00000003"/>
    <w:name w:val="WW8Num11"/>
    <w:lvl w:ilvl="0">
      <w:start w:val="1"/>
      <w:numFmt w:val="decimal"/>
      <w:lvlText w:val="%1)"/>
      <w:lvlJc w:val="left"/>
      <w:pPr>
        <w:tabs>
          <w:tab w:val="num" w:pos="360"/>
        </w:tabs>
        <w:ind w:left="360" w:hanging="360"/>
      </w:pPr>
      <w:rPr>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E49"/>
    <w:rsid w:val="000A7E49"/>
    <w:rsid w:val="000E57C9"/>
    <w:rsid w:val="00247971"/>
    <w:rsid w:val="00295A78"/>
    <w:rsid w:val="00476573"/>
    <w:rsid w:val="00567F19"/>
    <w:rsid w:val="00592E09"/>
    <w:rsid w:val="005A3764"/>
    <w:rsid w:val="005E1565"/>
    <w:rsid w:val="006038FD"/>
    <w:rsid w:val="007031D5"/>
    <w:rsid w:val="0082175D"/>
    <w:rsid w:val="008D4BA6"/>
    <w:rsid w:val="00A569B4"/>
    <w:rsid w:val="00BC735E"/>
    <w:rsid w:val="00C34E02"/>
    <w:rsid w:val="00CF3BC6"/>
    <w:rsid w:val="00D538D1"/>
    <w:rsid w:val="00E57AC8"/>
    <w:rsid w:val="00EA52A1"/>
    <w:rsid w:val="00F45A07"/>
    <w:rsid w:val="00FF1F2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E49"/>
    <w:pPr>
      <w:suppressAutoHyphens/>
      <w:spacing w:after="0" w:line="240" w:lineRule="auto"/>
    </w:pPr>
    <w:rPr>
      <w:rFonts w:ascii="Arial" w:eastAsia="Times New Roman" w:hAnsi="Arial" w:cs="Arial"/>
      <w:sz w:val="24"/>
      <w:szCs w:val="24"/>
      <w:lang w:val="es-ES" w:eastAsia="zh-CN"/>
    </w:rPr>
  </w:style>
  <w:style w:type="paragraph" w:styleId="Ttulo1">
    <w:name w:val="heading 1"/>
    <w:basedOn w:val="Normal"/>
    <w:next w:val="Normal"/>
    <w:link w:val="Ttulo1Car"/>
    <w:qFormat/>
    <w:rsid w:val="00BC735E"/>
    <w:pPr>
      <w:keepNext/>
      <w:numPr>
        <w:numId w:val="2"/>
      </w:numPr>
      <w:spacing w:before="240" w:after="60"/>
      <w:outlineLvl w:val="0"/>
    </w:pPr>
    <w:rPr>
      <w:b/>
      <w:bCs/>
      <w:kern w:val="1"/>
      <w:szCs w:val="32"/>
    </w:rPr>
  </w:style>
  <w:style w:type="paragraph" w:styleId="Ttulo2">
    <w:name w:val="heading 2"/>
    <w:basedOn w:val="Normal"/>
    <w:next w:val="Textoindependiente"/>
    <w:link w:val="Ttulo2Car"/>
    <w:qFormat/>
    <w:rsid w:val="00BC735E"/>
    <w:pPr>
      <w:numPr>
        <w:ilvl w:val="1"/>
        <w:numId w:val="2"/>
      </w:numPr>
      <w:spacing w:after="170" w:line="360" w:lineRule="auto"/>
      <w:jc w:val="both"/>
      <w:outlineLvl w:val="1"/>
    </w:pPr>
    <w:rPr>
      <w:b/>
      <w:kern w:val="1"/>
      <w:szCs w:val="20"/>
    </w:rPr>
  </w:style>
  <w:style w:type="paragraph" w:styleId="Ttulo3">
    <w:name w:val="heading 3"/>
    <w:basedOn w:val="Normal"/>
    <w:next w:val="Normal"/>
    <w:link w:val="Ttulo3Car"/>
    <w:qFormat/>
    <w:rsid w:val="00BC735E"/>
    <w:pPr>
      <w:keepNext/>
      <w:numPr>
        <w:ilvl w:val="2"/>
        <w:numId w:val="2"/>
      </w:numPr>
      <w:jc w:val="center"/>
      <w:outlineLvl w:val="2"/>
    </w:pPr>
    <w:rPr>
      <w:b/>
    </w:rPr>
  </w:style>
  <w:style w:type="paragraph" w:styleId="Ttulo4">
    <w:name w:val="heading 4"/>
    <w:basedOn w:val="Normal"/>
    <w:next w:val="Normal"/>
    <w:link w:val="Ttulo4Car"/>
    <w:qFormat/>
    <w:rsid w:val="00BC735E"/>
    <w:pPr>
      <w:keepNext/>
      <w:numPr>
        <w:ilvl w:val="3"/>
        <w:numId w:val="2"/>
      </w:numPr>
      <w:jc w:val="center"/>
      <w:outlineLvl w:val="3"/>
    </w:pPr>
    <w:rPr>
      <w:b/>
      <w:sz w:val="28"/>
    </w:rPr>
  </w:style>
  <w:style w:type="paragraph" w:styleId="Ttulo5">
    <w:name w:val="heading 5"/>
    <w:basedOn w:val="Normal"/>
    <w:next w:val="Normal"/>
    <w:link w:val="Ttulo5Car"/>
    <w:qFormat/>
    <w:rsid w:val="00BC735E"/>
    <w:pPr>
      <w:keepNext/>
      <w:numPr>
        <w:ilvl w:val="4"/>
        <w:numId w:val="2"/>
      </w:numPr>
      <w:jc w:val="center"/>
      <w:outlineLvl w:val="4"/>
    </w:pPr>
    <w:rPr>
      <w:b/>
      <w:bCs/>
      <w:sz w:val="32"/>
    </w:rPr>
  </w:style>
  <w:style w:type="paragraph" w:styleId="Ttulo6">
    <w:name w:val="heading 6"/>
    <w:basedOn w:val="Normal"/>
    <w:next w:val="Normal"/>
    <w:link w:val="Ttulo6Car"/>
    <w:qFormat/>
    <w:rsid w:val="00BC735E"/>
    <w:pPr>
      <w:keepNext/>
      <w:numPr>
        <w:ilvl w:val="5"/>
        <w:numId w:val="2"/>
      </w:numPr>
      <w:spacing w:line="360" w:lineRule="auto"/>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A7E49"/>
    <w:pPr>
      <w:spacing w:after="240" w:line="240" w:lineRule="atLeast"/>
      <w:jc w:val="both"/>
    </w:pPr>
    <w:rPr>
      <w:kern w:val="1"/>
      <w:szCs w:val="20"/>
      <w:lang w:val="es-ES_tradnl"/>
    </w:rPr>
  </w:style>
  <w:style w:type="character" w:customStyle="1" w:styleId="TextoindependienteCar">
    <w:name w:val="Texto independiente Car"/>
    <w:basedOn w:val="Fuentedeprrafopredeter"/>
    <w:link w:val="Textoindependiente"/>
    <w:rsid w:val="000A7E49"/>
    <w:rPr>
      <w:rFonts w:ascii="Arial" w:eastAsia="Times New Roman" w:hAnsi="Arial" w:cs="Arial"/>
      <w:kern w:val="1"/>
      <w:sz w:val="24"/>
      <w:szCs w:val="20"/>
      <w:lang w:val="es-ES_tradnl" w:eastAsia="zh-CN"/>
    </w:rPr>
  </w:style>
  <w:style w:type="character" w:customStyle="1" w:styleId="Ttulo1Car">
    <w:name w:val="Título 1 Car"/>
    <w:basedOn w:val="Fuentedeprrafopredeter"/>
    <w:link w:val="Ttulo1"/>
    <w:rsid w:val="00BC735E"/>
    <w:rPr>
      <w:rFonts w:ascii="Arial" w:eastAsia="Times New Roman" w:hAnsi="Arial" w:cs="Arial"/>
      <w:b/>
      <w:bCs/>
      <w:kern w:val="1"/>
      <w:sz w:val="24"/>
      <w:szCs w:val="32"/>
      <w:lang w:val="es-ES" w:eastAsia="zh-CN"/>
    </w:rPr>
  </w:style>
  <w:style w:type="character" w:customStyle="1" w:styleId="Ttulo2Car">
    <w:name w:val="Título 2 Car"/>
    <w:basedOn w:val="Fuentedeprrafopredeter"/>
    <w:link w:val="Ttulo2"/>
    <w:rsid w:val="00BC735E"/>
    <w:rPr>
      <w:rFonts w:ascii="Arial" w:eastAsia="Times New Roman" w:hAnsi="Arial" w:cs="Arial"/>
      <w:b/>
      <w:kern w:val="1"/>
      <w:sz w:val="24"/>
      <w:szCs w:val="20"/>
      <w:lang w:val="es-ES" w:eastAsia="zh-CN"/>
    </w:rPr>
  </w:style>
  <w:style w:type="character" w:customStyle="1" w:styleId="Ttulo3Car">
    <w:name w:val="Título 3 Car"/>
    <w:basedOn w:val="Fuentedeprrafopredeter"/>
    <w:link w:val="Ttulo3"/>
    <w:rsid w:val="00BC735E"/>
    <w:rPr>
      <w:rFonts w:ascii="Arial" w:eastAsia="Times New Roman" w:hAnsi="Arial" w:cs="Arial"/>
      <w:b/>
      <w:sz w:val="24"/>
      <w:szCs w:val="24"/>
      <w:lang w:val="es-ES" w:eastAsia="zh-CN"/>
    </w:rPr>
  </w:style>
  <w:style w:type="character" w:customStyle="1" w:styleId="Ttulo4Car">
    <w:name w:val="Título 4 Car"/>
    <w:basedOn w:val="Fuentedeprrafopredeter"/>
    <w:link w:val="Ttulo4"/>
    <w:rsid w:val="00BC735E"/>
    <w:rPr>
      <w:rFonts w:ascii="Arial" w:eastAsia="Times New Roman" w:hAnsi="Arial" w:cs="Arial"/>
      <w:b/>
      <w:sz w:val="28"/>
      <w:szCs w:val="24"/>
      <w:lang w:val="es-ES" w:eastAsia="zh-CN"/>
    </w:rPr>
  </w:style>
  <w:style w:type="character" w:customStyle="1" w:styleId="Ttulo5Car">
    <w:name w:val="Título 5 Car"/>
    <w:basedOn w:val="Fuentedeprrafopredeter"/>
    <w:link w:val="Ttulo5"/>
    <w:rsid w:val="00BC735E"/>
    <w:rPr>
      <w:rFonts w:ascii="Arial" w:eastAsia="Times New Roman" w:hAnsi="Arial" w:cs="Arial"/>
      <w:b/>
      <w:bCs/>
      <w:sz w:val="32"/>
      <w:szCs w:val="24"/>
      <w:lang w:val="es-ES" w:eastAsia="zh-CN"/>
    </w:rPr>
  </w:style>
  <w:style w:type="character" w:customStyle="1" w:styleId="Ttulo6Car">
    <w:name w:val="Título 6 Car"/>
    <w:basedOn w:val="Fuentedeprrafopredeter"/>
    <w:link w:val="Ttulo6"/>
    <w:rsid w:val="00BC735E"/>
    <w:rPr>
      <w:rFonts w:ascii="Arial" w:eastAsia="Times New Roman" w:hAnsi="Arial" w:cs="Arial"/>
      <w:b/>
      <w:sz w:val="24"/>
      <w:szCs w:val="20"/>
      <w:lang w:val="es-ES" w:eastAsia="zh-CN"/>
    </w:rPr>
  </w:style>
  <w:style w:type="paragraph" w:styleId="Subttulo">
    <w:name w:val="Subtitle"/>
    <w:basedOn w:val="Normal"/>
    <w:next w:val="Textoindependiente"/>
    <w:link w:val="SubttuloCar"/>
    <w:qFormat/>
    <w:rsid w:val="00BC735E"/>
    <w:pPr>
      <w:spacing w:line="360" w:lineRule="auto"/>
      <w:jc w:val="both"/>
    </w:pPr>
    <w:rPr>
      <w:rFonts w:ascii="Bookman Old Style" w:hAnsi="Bookman Old Style" w:cs="Bookman Old Style"/>
      <w:b/>
      <w:kern w:val="1"/>
      <w:szCs w:val="20"/>
    </w:rPr>
  </w:style>
  <w:style w:type="character" w:customStyle="1" w:styleId="SubttuloCar">
    <w:name w:val="Subtítulo Car"/>
    <w:basedOn w:val="Fuentedeprrafopredeter"/>
    <w:link w:val="Subttulo"/>
    <w:rsid w:val="00BC735E"/>
    <w:rPr>
      <w:rFonts w:ascii="Bookman Old Style" w:eastAsia="Times New Roman" w:hAnsi="Bookman Old Style" w:cs="Bookman Old Style"/>
      <w:b/>
      <w:kern w:val="1"/>
      <w:sz w:val="24"/>
      <w:szCs w:val="20"/>
      <w:lang w:val="es-ES" w:eastAsia="zh-CN"/>
    </w:rPr>
  </w:style>
  <w:style w:type="paragraph" w:styleId="Encabezado">
    <w:name w:val="header"/>
    <w:basedOn w:val="Normal"/>
    <w:link w:val="EncabezadoCar"/>
    <w:rsid w:val="00BC735E"/>
    <w:pPr>
      <w:tabs>
        <w:tab w:val="center" w:pos="4419"/>
        <w:tab w:val="right" w:pos="8838"/>
      </w:tabs>
    </w:pPr>
  </w:style>
  <w:style w:type="character" w:customStyle="1" w:styleId="EncabezadoCar">
    <w:name w:val="Encabezado Car"/>
    <w:basedOn w:val="Fuentedeprrafopredeter"/>
    <w:link w:val="Encabezado"/>
    <w:rsid w:val="00BC735E"/>
    <w:rPr>
      <w:rFonts w:ascii="Arial" w:eastAsia="Times New Roman" w:hAnsi="Arial" w:cs="Arial"/>
      <w:sz w:val="24"/>
      <w:szCs w:val="24"/>
      <w:lang w:val="es-ES" w:eastAsia="zh-CN"/>
    </w:rPr>
  </w:style>
  <w:style w:type="paragraph" w:customStyle="1" w:styleId="Textonormal">
    <w:name w:val="Texto normal"/>
    <w:basedOn w:val="Textoindependiente"/>
    <w:rsid w:val="00BC735E"/>
    <w:pPr>
      <w:widowControl w:val="0"/>
      <w:tabs>
        <w:tab w:val="left" w:pos="-720"/>
      </w:tabs>
      <w:spacing w:after="0" w:line="480" w:lineRule="auto"/>
      <w:jc w:val="left"/>
    </w:pPr>
    <w:rPr>
      <w:rFonts w:ascii="Courier" w:hAnsi="Courier" w:cs="Courier"/>
      <w:spacing w:val="-3"/>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E49"/>
    <w:pPr>
      <w:suppressAutoHyphens/>
      <w:spacing w:after="0" w:line="240" w:lineRule="auto"/>
    </w:pPr>
    <w:rPr>
      <w:rFonts w:ascii="Arial" w:eastAsia="Times New Roman" w:hAnsi="Arial" w:cs="Arial"/>
      <w:sz w:val="24"/>
      <w:szCs w:val="24"/>
      <w:lang w:val="es-ES" w:eastAsia="zh-CN"/>
    </w:rPr>
  </w:style>
  <w:style w:type="paragraph" w:styleId="Ttulo1">
    <w:name w:val="heading 1"/>
    <w:basedOn w:val="Normal"/>
    <w:next w:val="Normal"/>
    <w:link w:val="Ttulo1Car"/>
    <w:qFormat/>
    <w:rsid w:val="00BC735E"/>
    <w:pPr>
      <w:keepNext/>
      <w:numPr>
        <w:numId w:val="2"/>
      </w:numPr>
      <w:spacing w:before="240" w:after="60"/>
      <w:outlineLvl w:val="0"/>
    </w:pPr>
    <w:rPr>
      <w:b/>
      <w:bCs/>
      <w:kern w:val="1"/>
      <w:szCs w:val="32"/>
    </w:rPr>
  </w:style>
  <w:style w:type="paragraph" w:styleId="Ttulo2">
    <w:name w:val="heading 2"/>
    <w:basedOn w:val="Normal"/>
    <w:next w:val="Textoindependiente"/>
    <w:link w:val="Ttulo2Car"/>
    <w:qFormat/>
    <w:rsid w:val="00BC735E"/>
    <w:pPr>
      <w:numPr>
        <w:ilvl w:val="1"/>
        <w:numId w:val="2"/>
      </w:numPr>
      <w:spacing w:after="170" w:line="360" w:lineRule="auto"/>
      <w:jc w:val="both"/>
      <w:outlineLvl w:val="1"/>
    </w:pPr>
    <w:rPr>
      <w:b/>
      <w:kern w:val="1"/>
      <w:szCs w:val="20"/>
    </w:rPr>
  </w:style>
  <w:style w:type="paragraph" w:styleId="Ttulo3">
    <w:name w:val="heading 3"/>
    <w:basedOn w:val="Normal"/>
    <w:next w:val="Normal"/>
    <w:link w:val="Ttulo3Car"/>
    <w:qFormat/>
    <w:rsid w:val="00BC735E"/>
    <w:pPr>
      <w:keepNext/>
      <w:numPr>
        <w:ilvl w:val="2"/>
        <w:numId w:val="2"/>
      </w:numPr>
      <w:jc w:val="center"/>
      <w:outlineLvl w:val="2"/>
    </w:pPr>
    <w:rPr>
      <w:b/>
    </w:rPr>
  </w:style>
  <w:style w:type="paragraph" w:styleId="Ttulo4">
    <w:name w:val="heading 4"/>
    <w:basedOn w:val="Normal"/>
    <w:next w:val="Normal"/>
    <w:link w:val="Ttulo4Car"/>
    <w:qFormat/>
    <w:rsid w:val="00BC735E"/>
    <w:pPr>
      <w:keepNext/>
      <w:numPr>
        <w:ilvl w:val="3"/>
        <w:numId w:val="2"/>
      </w:numPr>
      <w:jc w:val="center"/>
      <w:outlineLvl w:val="3"/>
    </w:pPr>
    <w:rPr>
      <w:b/>
      <w:sz w:val="28"/>
    </w:rPr>
  </w:style>
  <w:style w:type="paragraph" w:styleId="Ttulo5">
    <w:name w:val="heading 5"/>
    <w:basedOn w:val="Normal"/>
    <w:next w:val="Normal"/>
    <w:link w:val="Ttulo5Car"/>
    <w:qFormat/>
    <w:rsid w:val="00BC735E"/>
    <w:pPr>
      <w:keepNext/>
      <w:numPr>
        <w:ilvl w:val="4"/>
        <w:numId w:val="2"/>
      </w:numPr>
      <w:jc w:val="center"/>
      <w:outlineLvl w:val="4"/>
    </w:pPr>
    <w:rPr>
      <w:b/>
      <w:bCs/>
      <w:sz w:val="32"/>
    </w:rPr>
  </w:style>
  <w:style w:type="paragraph" w:styleId="Ttulo6">
    <w:name w:val="heading 6"/>
    <w:basedOn w:val="Normal"/>
    <w:next w:val="Normal"/>
    <w:link w:val="Ttulo6Car"/>
    <w:qFormat/>
    <w:rsid w:val="00BC735E"/>
    <w:pPr>
      <w:keepNext/>
      <w:numPr>
        <w:ilvl w:val="5"/>
        <w:numId w:val="2"/>
      </w:numPr>
      <w:spacing w:line="360" w:lineRule="auto"/>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A7E49"/>
    <w:pPr>
      <w:spacing w:after="240" w:line="240" w:lineRule="atLeast"/>
      <w:jc w:val="both"/>
    </w:pPr>
    <w:rPr>
      <w:kern w:val="1"/>
      <w:szCs w:val="20"/>
      <w:lang w:val="es-ES_tradnl"/>
    </w:rPr>
  </w:style>
  <w:style w:type="character" w:customStyle="1" w:styleId="TextoindependienteCar">
    <w:name w:val="Texto independiente Car"/>
    <w:basedOn w:val="Fuentedeprrafopredeter"/>
    <w:link w:val="Textoindependiente"/>
    <w:rsid w:val="000A7E49"/>
    <w:rPr>
      <w:rFonts w:ascii="Arial" w:eastAsia="Times New Roman" w:hAnsi="Arial" w:cs="Arial"/>
      <w:kern w:val="1"/>
      <w:sz w:val="24"/>
      <w:szCs w:val="20"/>
      <w:lang w:val="es-ES_tradnl" w:eastAsia="zh-CN"/>
    </w:rPr>
  </w:style>
  <w:style w:type="character" w:customStyle="1" w:styleId="Ttulo1Car">
    <w:name w:val="Título 1 Car"/>
    <w:basedOn w:val="Fuentedeprrafopredeter"/>
    <w:link w:val="Ttulo1"/>
    <w:rsid w:val="00BC735E"/>
    <w:rPr>
      <w:rFonts w:ascii="Arial" w:eastAsia="Times New Roman" w:hAnsi="Arial" w:cs="Arial"/>
      <w:b/>
      <w:bCs/>
      <w:kern w:val="1"/>
      <w:sz w:val="24"/>
      <w:szCs w:val="32"/>
      <w:lang w:val="es-ES" w:eastAsia="zh-CN"/>
    </w:rPr>
  </w:style>
  <w:style w:type="character" w:customStyle="1" w:styleId="Ttulo2Car">
    <w:name w:val="Título 2 Car"/>
    <w:basedOn w:val="Fuentedeprrafopredeter"/>
    <w:link w:val="Ttulo2"/>
    <w:rsid w:val="00BC735E"/>
    <w:rPr>
      <w:rFonts w:ascii="Arial" w:eastAsia="Times New Roman" w:hAnsi="Arial" w:cs="Arial"/>
      <w:b/>
      <w:kern w:val="1"/>
      <w:sz w:val="24"/>
      <w:szCs w:val="20"/>
      <w:lang w:val="es-ES" w:eastAsia="zh-CN"/>
    </w:rPr>
  </w:style>
  <w:style w:type="character" w:customStyle="1" w:styleId="Ttulo3Car">
    <w:name w:val="Título 3 Car"/>
    <w:basedOn w:val="Fuentedeprrafopredeter"/>
    <w:link w:val="Ttulo3"/>
    <w:rsid w:val="00BC735E"/>
    <w:rPr>
      <w:rFonts w:ascii="Arial" w:eastAsia="Times New Roman" w:hAnsi="Arial" w:cs="Arial"/>
      <w:b/>
      <w:sz w:val="24"/>
      <w:szCs w:val="24"/>
      <w:lang w:val="es-ES" w:eastAsia="zh-CN"/>
    </w:rPr>
  </w:style>
  <w:style w:type="character" w:customStyle="1" w:styleId="Ttulo4Car">
    <w:name w:val="Título 4 Car"/>
    <w:basedOn w:val="Fuentedeprrafopredeter"/>
    <w:link w:val="Ttulo4"/>
    <w:rsid w:val="00BC735E"/>
    <w:rPr>
      <w:rFonts w:ascii="Arial" w:eastAsia="Times New Roman" w:hAnsi="Arial" w:cs="Arial"/>
      <w:b/>
      <w:sz w:val="28"/>
      <w:szCs w:val="24"/>
      <w:lang w:val="es-ES" w:eastAsia="zh-CN"/>
    </w:rPr>
  </w:style>
  <w:style w:type="character" w:customStyle="1" w:styleId="Ttulo5Car">
    <w:name w:val="Título 5 Car"/>
    <w:basedOn w:val="Fuentedeprrafopredeter"/>
    <w:link w:val="Ttulo5"/>
    <w:rsid w:val="00BC735E"/>
    <w:rPr>
      <w:rFonts w:ascii="Arial" w:eastAsia="Times New Roman" w:hAnsi="Arial" w:cs="Arial"/>
      <w:b/>
      <w:bCs/>
      <w:sz w:val="32"/>
      <w:szCs w:val="24"/>
      <w:lang w:val="es-ES" w:eastAsia="zh-CN"/>
    </w:rPr>
  </w:style>
  <w:style w:type="character" w:customStyle="1" w:styleId="Ttulo6Car">
    <w:name w:val="Título 6 Car"/>
    <w:basedOn w:val="Fuentedeprrafopredeter"/>
    <w:link w:val="Ttulo6"/>
    <w:rsid w:val="00BC735E"/>
    <w:rPr>
      <w:rFonts w:ascii="Arial" w:eastAsia="Times New Roman" w:hAnsi="Arial" w:cs="Arial"/>
      <w:b/>
      <w:sz w:val="24"/>
      <w:szCs w:val="20"/>
      <w:lang w:val="es-ES" w:eastAsia="zh-CN"/>
    </w:rPr>
  </w:style>
  <w:style w:type="paragraph" w:styleId="Subttulo">
    <w:name w:val="Subtitle"/>
    <w:basedOn w:val="Normal"/>
    <w:next w:val="Textoindependiente"/>
    <w:link w:val="SubttuloCar"/>
    <w:qFormat/>
    <w:rsid w:val="00BC735E"/>
    <w:pPr>
      <w:spacing w:line="360" w:lineRule="auto"/>
      <w:jc w:val="both"/>
    </w:pPr>
    <w:rPr>
      <w:rFonts w:ascii="Bookman Old Style" w:hAnsi="Bookman Old Style" w:cs="Bookman Old Style"/>
      <w:b/>
      <w:kern w:val="1"/>
      <w:szCs w:val="20"/>
    </w:rPr>
  </w:style>
  <w:style w:type="character" w:customStyle="1" w:styleId="SubttuloCar">
    <w:name w:val="Subtítulo Car"/>
    <w:basedOn w:val="Fuentedeprrafopredeter"/>
    <w:link w:val="Subttulo"/>
    <w:rsid w:val="00BC735E"/>
    <w:rPr>
      <w:rFonts w:ascii="Bookman Old Style" w:eastAsia="Times New Roman" w:hAnsi="Bookman Old Style" w:cs="Bookman Old Style"/>
      <w:b/>
      <w:kern w:val="1"/>
      <w:sz w:val="24"/>
      <w:szCs w:val="20"/>
      <w:lang w:val="es-ES" w:eastAsia="zh-CN"/>
    </w:rPr>
  </w:style>
  <w:style w:type="paragraph" w:styleId="Encabezado">
    <w:name w:val="header"/>
    <w:basedOn w:val="Normal"/>
    <w:link w:val="EncabezadoCar"/>
    <w:rsid w:val="00BC735E"/>
    <w:pPr>
      <w:tabs>
        <w:tab w:val="center" w:pos="4419"/>
        <w:tab w:val="right" w:pos="8838"/>
      </w:tabs>
    </w:pPr>
  </w:style>
  <w:style w:type="character" w:customStyle="1" w:styleId="EncabezadoCar">
    <w:name w:val="Encabezado Car"/>
    <w:basedOn w:val="Fuentedeprrafopredeter"/>
    <w:link w:val="Encabezado"/>
    <w:rsid w:val="00BC735E"/>
    <w:rPr>
      <w:rFonts w:ascii="Arial" w:eastAsia="Times New Roman" w:hAnsi="Arial" w:cs="Arial"/>
      <w:sz w:val="24"/>
      <w:szCs w:val="24"/>
      <w:lang w:val="es-ES" w:eastAsia="zh-CN"/>
    </w:rPr>
  </w:style>
  <w:style w:type="paragraph" w:customStyle="1" w:styleId="Textonormal">
    <w:name w:val="Texto normal"/>
    <w:basedOn w:val="Textoindependiente"/>
    <w:rsid w:val="00BC735E"/>
    <w:pPr>
      <w:widowControl w:val="0"/>
      <w:tabs>
        <w:tab w:val="left" w:pos="-720"/>
      </w:tabs>
      <w:spacing w:after="0" w:line="480" w:lineRule="auto"/>
      <w:jc w:val="left"/>
    </w:pPr>
    <w:rPr>
      <w:rFonts w:ascii="Courier" w:hAnsi="Courier" w:cs="Courier"/>
      <w:spacing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1189</Words>
  <Characters>6545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Hernandez</dc:creator>
  <cp:lastModifiedBy> </cp:lastModifiedBy>
  <cp:revision>8</cp:revision>
  <cp:lastPrinted>2016-07-27T18:12:00Z</cp:lastPrinted>
  <dcterms:created xsi:type="dcterms:W3CDTF">2016-07-26T14:29:00Z</dcterms:created>
  <dcterms:modified xsi:type="dcterms:W3CDTF">2016-11-04T17:40:00Z</dcterms:modified>
</cp:coreProperties>
</file>