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12C" w:rsidRPr="00786EEB" w:rsidRDefault="003F612C" w:rsidP="00B05D01">
      <w:pPr>
        <w:tabs>
          <w:tab w:val="center" w:pos="4253"/>
        </w:tabs>
        <w:jc w:val="right"/>
        <w:rPr>
          <w:b/>
          <w:sz w:val="28"/>
          <w:szCs w:val="28"/>
          <w:lang w:val="es-ES_tradnl"/>
        </w:rPr>
      </w:pPr>
      <w:bookmarkStart w:id="0" w:name="_GoBack"/>
      <w:bookmarkEnd w:id="0"/>
      <w:r w:rsidRPr="00786EEB">
        <w:rPr>
          <w:b/>
          <w:sz w:val="28"/>
          <w:szCs w:val="28"/>
          <w:lang w:val="es-ES_tradnl"/>
        </w:rPr>
        <w:t xml:space="preserve">RES. </w:t>
      </w:r>
      <w:r>
        <w:rPr>
          <w:b/>
          <w:sz w:val="28"/>
          <w:szCs w:val="28"/>
          <w:lang w:val="es-ES_tradnl"/>
        </w:rPr>
        <w:t>2528</w:t>
      </w:r>
      <w:r w:rsidRPr="00786EEB">
        <w:rPr>
          <w:b/>
          <w:sz w:val="28"/>
          <w:szCs w:val="28"/>
          <w:lang w:val="es-ES_tradnl"/>
        </w:rPr>
        <w:t>/16</w:t>
      </w:r>
    </w:p>
    <w:p w:rsidR="003F612C" w:rsidRDefault="003F612C" w:rsidP="00B05D01">
      <w:pPr>
        <w:tabs>
          <w:tab w:val="center" w:pos="4253"/>
        </w:tabs>
        <w:jc w:val="right"/>
        <w:rPr>
          <w:b/>
          <w:lang w:val="es-ES_tradnl"/>
        </w:rPr>
      </w:pPr>
    </w:p>
    <w:p w:rsidR="003F612C" w:rsidRPr="00762B34" w:rsidRDefault="003F612C">
      <w:pPr>
        <w:tabs>
          <w:tab w:val="center" w:pos="4253"/>
        </w:tabs>
        <w:jc w:val="center"/>
        <w:rPr>
          <w:b/>
          <w:lang w:val="es-ES_tradnl"/>
        </w:rPr>
      </w:pPr>
      <w:r w:rsidRPr="00762B34">
        <w:rPr>
          <w:b/>
          <w:lang w:val="es-ES_tradnl"/>
        </w:rPr>
        <w:t>RESOLUCION ADOPTADA POR EL</w:t>
      </w:r>
    </w:p>
    <w:p w:rsidR="003F612C" w:rsidRPr="00762B34" w:rsidRDefault="003F612C">
      <w:pPr>
        <w:tabs>
          <w:tab w:val="left" w:pos="-720"/>
        </w:tabs>
        <w:jc w:val="center"/>
        <w:rPr>
          <w:b/>
          <w:lang w:val="es-ES_tradnl"/>
        </w:rPr>
      </w:pPr>
    </w:p>
    <w:p w:rsidR="003F612C" w:rsidRPr="00762B34" w:rsidRDefault="003F612C">
      <w:pPr>
        <w:tabs>
          <w:tab w:val="center" w:pos="4253"/>
        </w:tabs>
        <w:jc w:val="center"/>
        <w:rPr>
          <w:b/>
          <w:lang w:val="es-ES_tradnl"/>
        </w:rPr>
      </w:pPr>
      <w:r w:rsidRPr="00762B34">
        <w:rPr>
          <w:b/>
          <w:lang w:val="es-ES_tradnl"/>
        </w:rPr>
        <w:t>TRIBUNAL DE CUENTAS</w:t>
      </w:r>
    </w:p>
    <w:p w:rsidR="003F612C" w:rsidRPr="00762B34" w:rsidRDefault="003F612C">
      <w:pPr>
        <w:tabs>
          <w:tab w:val="left" w:pos="-720"/>
        </w:tabs>
        <w:jc w:val="center"/>
        <w:rPr>
          <w:b/>
          <w:lang w:val="es-ES_tradnl"/>
        </w:rPr>
      </w:pPr>
    </w:p>
    <w:p w:rsidR="003F612C" w:rsidRPr="00762B34" w:rsidRDefault="003F612C">
      <w:pPr>
        <w:tabs>
          <w:tab w:val="center" w:pos="4253"/>
        </w:tabs>
        <w:jc w:val="center"/>
        <w:rPr>
          <w:b/>
          <w:lang w:val="es-ES_tradnl"/>
        </w:rPr>
      </w:pPr>
      <w:r w:rsidRPr="00762B34">
        <w:rPr>
          <w:b/>
          <w:lang w:val="es-ES_tradnl"/>
        </w:rPr>
        <w:t xml:space="preserve">EN SESION DE FECHA </w:t>
      </w:r>
      <w:r>
        <w:rPr>
          <w:b/>
          <w:lang w:val="es-ES_tradnl"/>
        </w:rPr>
        <w:t xml:space="preserve">20 DE JULIO </w:t>
      </w:r>
      <w:r>
        <w:rPr>
          <w:rFonts w:ascii="Helvetica" w:hAnsi="Helvetica"/>
          <w:b/>
          <w:lang w:val="es-ES_tradnl"/>
        </w:rPr>
        <w:t>DE 2016</w:t>
      </w:r>
    </w:p>
    <w:p w:rsidR="003F612C" w:rsidRPr="00762B34" w:rsidRDefault="003F612C">
      <w:pPr>
        <w:tabs>
          <w:tab w:val="center" w:pos="4253"/>
        </w:tabs>
        <w:jc w:val="center"/>
        <w:rPr>
          <w:b/>
          <w:lang w:val="es-ES_tradnl"/>
        </w:rPr>
      </w:pPr>
    </w:p>
    <w:p w:rsidR="003F612C" w:rsidRDefault="003F612C">
      <w:pPr>
        <w:tabs>
          <w:tab w:val="center" w:pos="4253"/>
        </w:tabs>
        <w:jc w:val="center"/>
        <w:rPr>
          <w:b/>
          <w:lang w:val="es-AR"/>
        </w:rPr>
      </w:pPr>
      <w:r w:rsidRPr="003F612C">
        <w:rPr>
          <w:b/>
          <w:lang w:val="es-AR"/>
        </w:rPr>
        <w:t xml:space="preserve">(E. E. Nº 2016-17-1-0000482, </w:t>
      </w:r>
      <w:proofErr w:type="spellStart"/>
      <w:r w:rsidRPr="003F612C">
        <w:rPr>
          <w:b/>
          <w:lang w:val="es-AR"/>
        </w:rPr>
        <w:t>Ent</w:t>
      </w:r>
      <w:proofErr w:type="spellEnd"/>
      <w:r w:rsidRPr="003F612C">
        <w:rPr>
          <w:b/>
          <w:lang w:val="es-AR"/>
        </w:rPr>
        <w:t>. N° 339/16)</w:t>
      </w:r>
    </w:p>
    <w:p w:rsidR="00B05D01" w:rsidRPr="003F612C" w:rsidRDefault="00B05D01">
      <w:pPr>
        <w:tabs>
          <w:tab w:val="center" w:pos="4253"/>
        </w:tabs>
        <w:jc w:val="center"/>
        <w:rPr>
          <w:b/>
          <w:lang w:val="es-AR"/>
        </w:rPr>
      </w:pPr>
    </w:p>
    <w:p w:rsidR="003F612C" w:rsidRPr="003F612C" w:rsidRDefault="003F612C">
      <w:pPr>
        <w:tabs>
          <w:tab w:val="center" w:pos="4253"/>
        </w:tabs>
        <w:jc w:val="center"/>
        <w:rPr>
          <w:rFonts w:ascii="Helvetica" w:hAnsi="Helvetica"/>
          <w:b/>
          <w:lang w:val="es-AR"/>
        </w:rPr>
      </w:pPr>
    </w:p>
    <w:p w:rsidR="003F612C" w:rsidRDefault="00C545CB" w:rsidP="003F612C">
      <w:pPr>
        <w:spacing w:line="360" w:lineRule="auto"/>
        <w:ind w:firstLine="851"/>
        <w:jc w:val="both"/>
      </w:pPr>
      <w:r w:rsidRPr="00C00C1B">
        <w:rPr>
          <w:b/>
        </w:rPr>
        <w:t>VISTO:</w:t>
      </w:r>
      <w:r w:rsidRPr="00C00C1B">
        <w:t xml:space="preserve"> la Rendición de Cuentas y Balance de Ejecución Presupuestal de la Junta Departamental de </w:t>
      </w:r>
      <w:r>
        <w:t>Treinta y Tres</w:t>
      </w:r>
      <w:r w:rsidR="003F612C">
        <w:t xml:space="preserve"> correspondiente al E</w:t>
      </w:r>
      <w:r w:rsidRPr="00C00C1B">
        <w:t>jercicio 201</w:t>
      </w:r>
      <w:r w:rsidR="00BA63E5">
        <w:t>4</w:t>
      </w:r>
      <w:r w:rsidRPr="00C00C1B">
        <w:t>;</w:t>
      </w:r>
    </w:p>
    <w:p w:rsidR="003F612C" w:rsidRDefault="000A7E49" w:rsidP="003F612C">
      <w:pPr>
        <w:spacing w:line="360" w:lineRule="auto"/>
        <w:ind w:firstLine="851"/>
        <w:jc w:val="both"/>
      </w:pPr>
      <w:r>
        <w:rPr>
          <w:b/>
        </w:rPr>
        <w:t xml:space="preserve">RESULTANDO: </w:t>
      </w:r>
      <w:r>
        <w:t>que el examen se efectuó de acuerdo con los Principios Fundamentales de Auditoría (ISSAI 100 y 200) y las Directrices de Auditoría Financiera (ISSAI 1000 a 1810) de la Organización Internacional de Entidades Fiscalizadoras Superiores (INTOSAI),</w:t>
      </w:r>
      <w:r w:rsidR="00BE5FDF">
        <w:t xml:space="preserve"> </w:t>
      </w:r>
      <w:r>
        <w:t>habiéndose llevado a cabo los procedimientos considerados necesarios en las circunstancias;</w:t>
      </w:r>
    </w:p>
    <w:p w:rsidR="003F612C" w:rsidRDefault="000A7E49" w:rsidP="003F612C">
      <w:pPr>
        <w:spacing w:line="360" w:lineRule="auto"/>
        <w:ind w:firstLine="851"/>
        <w:jc w:val="both"/>
      </w:pPr>
      <w:r>
        <w:rPr>
          <w:b/>
        </w:rPr>
        <w:t xml:space="preserve">CONSIDERANDO: </w:t>
      </w:r>
      <w:r>
        <w:t>que las conclusiones y evidencias obtenidas son las que se expresan en el Informe de Auditoría, que incluye Dictamen e Informe a la Administración;</w:t>
      </w:r>
    </w:p>
    <w:p w:rsidR="000A7E49" w:rsidRDefault="000A7E49" w:rsidP="003F612C">
      <w:pPr>
        <w:spacing w:line="360" w:lineRule="auto"/>
        <w:ind w:firstLine="851"/>
        <w:jc w:val="both"/>
        <w:rPr>
          <w:b/>
          <w:bCs/>
        </w:rPr>
      </w:pPr>
      <w:r>
        <w:rPr>
          <w:b/>
        </w:rPr>
        <w:t xml:space="preserve">ATENTO: </w:t>
      </w:r>
      <w:r w:rsidR="003F612C">
        <w:t>a lo dispuesto por el Artículo</w:t>
      </w:r>
      <w:r>
        <w:t xml:space="preserve"> 211 Lit</w:t>
      </w:r>
      <w:r w:rsidR="003F612C">
        <w:t>eral</w:t>
      </w:r>
      <w:r>
        <w:t xml:space="preserve"> C) de la Constitución de la República;</w:t>
      </w:r>
    </w:p>
    <w:p w:rsidR="000A7E49" w:rsidRDefault="000A7E49" w:rsidP="000A7E49">
      <w:pPr>
        <w:spacing w:line="360" w:lineRule="auto"/>
        <w:jc w:val="center"/>
      </w:pPr>
      <w:r>
        <w:rPr>
          <w:b/>
          <w:bCs/>
        </w:rPr>
        <w:t>EL TRIBUNAL ACUERDA</w:t>
      </w:r>
    </w:p>
    <w:p w:rsidR="00C545CB" w:rsidRPr="00C00C1B" w:rsidRDefault="00C545CB" w:rsidP="00C545CB">
      <w:pPr>
        <w:numPr>
          <w:ilvl w:val="0"/>
          <w:numId w:val="1"/>
        </w:numPr>
        <w:suppressAutoHyphens w:val="0"/>
        <w:spacing w:line="360" w:lineRule="auto"/>
        <w:jc w:val="both"/>
      </w:pPr>
      <w:r w:rsidRPr="00C00C1B">
        <w:t>E</w:t>
      </w:r>
      <w:r w:rsidR="00364CC7">
        <w:t>xpedirse respecto a</w:t>
      </w:r>
      <w:r w:rsidRPr="00C00C1B">
        <w:t xml:space="preserve"> la Rendición de Cuentas y Balance de Ejecución Presupuestal de la Junta Departamental de </w:t>
      </w:r>
      <w:r>
        <w:t>Treinta y Tres</w:t>
      </w:r>
      <w:r w:rsidR="003F612C">
        <w:t xml:space="preserve"> correspondiente al E</w:t>
      </w:r>
      <w:r w:rsidRPr="00C00C1B">
        <w:t>jercicio 201</w:t>
      </w:r>
      <w:r w:rsidR="00BA63E5">
        <w:t>4</w:t>
      </w:r>
      <w:r w:rsidRPr="00C00C1B">
        <w:t>, en los términos del Info</w:t>
      </w:r>
      <w:r w:rsidR="003F612C">
        <w:t>rme de Auditoría que se adjunta;</w:t>
      </w:r>
    </w:p>
    <w:p w:rsidR="00C545CB" w:rsidRPr="00C00C1B" w:rsidRDefault="00C545CB" w:rsidP="00C545CB">
      <w:pPr>
        <w:numPr>
          <w:ilvl w:val="0"/>
          <w:numId w:val="1"/>
        </w:numPr>
        <w:suppressAutoHyphens w:val="0"/>
        <w:spacing w:line="360" w:lineRule="auto"/>
        <w:jc w:val="both"/>
      </w:pPr>
      <w:r w:rsidRPr="00C00C1B">
        <w:t xml:space="preserve">Comunicar la presente Resolución a la Intendencia </w:t>
      </w:r>
      <w:r>
        <w:t xml:space="preserve"> </w:t>
      </w:r>
      <w:r w:rsidR="00364CC7">
        <w:t xml:space="preserve">de Treinta y Tres </w:t>
      </w:r>
      <w:r>
        <w:t>y al C</w:t>
      </w:r>
      <w:r w:rsidR="003F612C">
        <w:t>ontado</w:t>
      </w:r>
      <w:r>
        <w:t>r Delegad</w:t>
      </w:r>
      <w:r w:rsidR="00BA63E5">
        <w:t>o</w:t>
      </w:r>
      <w:r>
        <w:t xml:space="preserve"> en la Junta Departamental </w:t>
      </w:r>
      <w:r w:rsidRPr="00C00C1B">
        <w:t xml:space="preserve">de </w:t>
      </w:r>
      <w:r>
        <w:t>Treinta y Tres</w:t>
      </w:r>
      <w:r w:rsidR="003F612C">
        <w:t>;</w:t>
      </w:r>
    </w:p>
    <w:p w:rsidR="000A7E49" w:rsidRDefault="000A7E49" w:rsidP="000A7E49">
      <w:pPr>
        <w:numPr>
          <w:ilvl w:val="0"/>
          <w:numId w:val="1"/>
        </w:numPr>
        <w:spacing w:line="360" w:lineRule="auto"/>
        <w:jc w:val="both"/>
      </w:pPr>
      <w:r w:rsidRPr="00CB780A">
        <w:t>Dar cuenta a la Asamblea General</w:t>
      </w:r>
      <w:r>
        <w:t>.</w:t>
      </w:r>
    </w:p>
    <w:p w:rsidR="003F612C" w:rsidRDefault="003F612C" w:rsidP="003F612C">
      <w:pPr>
        <w:spacing w:line="360" w:lineRule="auto"/>
        <w:jc w:val="both"/>
      </w:pPr>
    </w:p>
    <w:p w:rsidR="003F612C" w:rsidRDefault="003F612C" w:rsidP="003F612C">
      <w:pPr>
        <w:spacing w:line="360" w:lineRule="auto"/>
        <w:ind w:hanging="709"/>
        <w:jc w:val="both"/>
      </w:pPr>
      <w:proofErr w:type="gramStart"/>
      <w:r>
        <w:t>dc</w:t>
      </w:r>
      <w:proofErr w:type="gramEnd"/>
    </w:p>
    <w:p w:rsidR="004B479E" w:rsidRDefault="004B479E" w:rsidP="004B479E">
      <w:pPr>
        <w:pStyle w:val="Ttulo1"/>
        <w:widowControl w:val="0"/>
        <w:suppressAutoHyphens/>
      </w:pPr>
      <w:bookmarkStart w:id="1" w:name="_Toc303700806"/>
      <w:bookmarkStart w:id="2" w:name="_Toc331077628"/>
      <w:bookmarkStart w:id="3" w:name="_Toc411241468"/>
      <w:bookmarkStart w:id="4" w:name="_Toc49942673"/>
      <w:bookmarkStart w:id="5" w:name="_Toc278970132"/>
      <w:bookmarkStart w:id="6" w:name="_Toc331077630"/>
      <w:r w:rsidRPr="00391EEA">
        <w:lastRenderedPageBreak/>
        <w:t>DICTAMEN</w:t>
      </w:r>
      <w:bookmarkEnd w:id="1"/>
      <w:bookmarkEnd w:id="2"/>
      <w:bookmarkEnd w:id="3"/>
    </w:p>
    <w:p w:rsidR="004B479E" w:rsidRPr="00391EEA" w:rsidRDefault="004B479E" w:rsidP="004B479E">
      <w:pPr>
        <w:pStyle w:val="Subttulo"/>
        <w:keepNext/>
        <w:widowControl w:val="0"/>
        <w:suppressAutoHyphens/>
        <w:rPr>
          <w:rFonts w:ascii="Arial" w:hAnsi="Arial" w:cs="Arial"/>
          <w:b w:val="0"/>
        </w:rPr>
      </w:pPr>
      <w:r w:rsidRPr="00391EEA">
        <w:rPr>
          <w:rFonts w:ascii="Arial" w:hAnsi="Arial" w:cs="Arial"/>
          <w:b w:val="0"/>
        </w:rPr>
        <w:t xml:space="preserve">El Tribunal de Cuentas ha examinado la Rendición de Cuentas y el Balance de Ejecución Presupuestal de la Junta Departamental de Treinta y Tres correspondiente al </w:t>
      </w:r>
      <w:r>
        <w:rPr>
          <w:rFonts w:ascii="Arial" w:hAnsi="Arial" w:cs="Arial"/>
          <w:b w:val="0"/>
        </w:rPr>
        <w:t>e</w:t>
      </w:r>
      <w:r w:rsidRPr="00391EEA">
        <w:rPr>
          <w:rFonts w:ascii="Arial" w:hAnsi="Arial" w:cs="Arial"/>
          <w:b w:val="0"/>
        </w:rPr>
        <w:t>jercicio 201</w:t>
      </w:r>
      <w:r>
        <w:rPr>
          <w:rFonts w:ascii="Arial" w:hAnsi="Arial" w:cs="Arial"/>
          <w:b w:val="0"/>
        </w:rPr>
        <w:t>4</w:t>
      </w:r>
      <w:r w:rsidRPr="00391EEA">
        <w:rPr>
          <w:rFonts w:ascii="Arial" w:hAnsi="Arial" w:cs="Arial"/>
          <w:b w:val="0"/>
        </w:rPr>
        <w:t>, que incluye los siguientes estados: de ejecución presupuestal con relación a los créditos, de evoluc</w:t>
      </w:r>
      <w:r>
        <w:rPr>
          <w:rFonts w:ascii="Arial" w:hAnsi="Arial" w:cs="Arial"/>
          <w:b w:val="0"/>
        </w:rPr>
        <w:t>ión de las obligaciones presupue</w:t>
      </w:r>
      <w:r w:rsidRPr="00391EEA">
        <w:rPr>
          <w:rFonts w:ascii="Arial" w:hAnsi="Arial" w:cs="Arial"/>
          <w:b w:val="0"/>
        </w:rPr>
        <w:t>stales impagas, de fondos indisponibles y otros estados complementarios.</w:t>
      </w:r>
    </w:p>
    <w:p w:rsidR="004B479E" w:rsidRDefault="004B479E" w:rsidP="004B479E">
      <w:pPr>
        <w:pStyle w:val="Subttulo"/>
        <w:keepNext/>
        <w:widowControl w:val="0"/>
        <w:suppressAutoHyphens/>
        <w:rPr>
          <w:rFonts w:ascii="Arial" w:hAnsi="Arial" w:cs="Arial"/>
          <w:b w:val="0"/>
        </w:rPr>
      </w:pPr>
      <w:r>
        <w:rPr>
          <w:rFonts w:ascii="Arial" w:hAnsi="Arial" w:cs="Arial"/>
          <w:b w:val="0"/>
        </w:rPr>
        <w:t>También se presentan, en caso de corresponder, los incumplimientos legales constatados por el Tribunal de Cuentas en el curso de la auditoría efectuada.</w:t>
      </w:r>
    </w:p>
    <w:p w:rsidR="004B479E" w:rsidRDefault="004B479E" w:rsidP="004B479E">
      <w:pPr>
        <w:pStyle w:val="Subttulo"/>
        <w:keepNext/>
        <w:widowControl w:val="0"/>
        <w:suppressAutoHyphens/>
        <w:rPr>
          <w:rFonts w:ascii="Arial" w:hAnsi="Arial" w:cs="Arial"/>
          <w:b w:val="0"/>
        </w:rPr>
      </w:pPr>
    </w:p>
    <w:p w:rsidR="004B479E" w:rsidRPr="00391EEA" w:rsidRDefault="004B479E" w:rsidP="004B479E">
      <w:pPr>
        <w:pStyle w:val="Subttulo"/>
        <w:keepNext/>
        <w:widowControl w:val="0"/>
        <w:suppressAutoHyphens/>
        <w:rPr>
          <w:rFonts w:ascii="Arial" w:hAnsi="Arial" w:cs="Arial"/>
          <w:bCs/>
        </w:rPr>
      </w:pPr>
      <w:r w:rsidRPr="00391EEA">
        <w:rPr>
          <w:rFonts w:ascii="Arial" w:hAnsi="Arial" w:cs="Arial"/>
          <w:bCs/>
        </w:rPr>
        <w:t>Responsabilidad de la Junta Departamental</w:t>
      </w:r>
    </w:p>
    <w:p w:rsidR="004B479E" w:rsidRDefault="004B479E" w:rsidP="004B479E">
      <w:pPr>
        <w:pStyle w:val="Subttulo"/>
        <w:keepNext/>
        <w:widowControl w:val="0"/>
        <w:suppressAutoHyphens/>
        <w:rPr>
          <w:rFonts w:ascii="Arial" w:hAnsi="Arial"/>
          <w:b w:val="0"/>
        </w:rPr>
      </w:pPr>
      <w:r w:rsidRPr="00391EEA">
        <w:rPr>
          <w:rFonts w:ascii="Arial" w:hAnsi="Arial"/>
          <w:b w:val="0"/>
        </w:rPr>
        <w:t xml:space="preserve">La Junta Departamental es responsable por la preparación y la razonable presentación de estos estados de acuerdo con la normativa vigente y con la Resolución de este Tribunal de fecha 28/01/04. Esta responsabilidad incluye diseñar, implementar y mantener un sistema de control interno adecuado para la preparación y presentación razonable de estos estados </w:t>
      </w:r>
      <w:r>
        <w:rPr>
          <w:rFonts w:ascii="Arial" w:hAnsi="Arial"/>
          <w:b w:val="0"/>
        </w:rPr>
        <w:t xml:space="preserve">que </w:t>
      </w:r>
      <w:r w:rsidRPr="00391EEA">
        <w:rPr>
          <w:rFonts w:ascii="Arial" w:hAnsi="Arial"/>
          <w:b w:val="0"/>
        </w:rPr>
        <w:t xml:space="preserve">estén libres de errores significativos, ya sea debido a fraude o error, y seleccionar y aplicar </w:t>
      </w:r>
      <w:r>
        <w:rPr>
          <w:rFonts w:ascii="Arial" w:hAnsi="Arial"/>
          <w:b w:val="0"/>
        </w:rPr>
        <w:t>políticas contables apropiadas.</w:t>
      </w:r>
    </w:p>
    <w:p w:rsidR="004B479E" w:rsidRDefault="004B479E" w:rsidP="004B479E">
      <w:pPr>
        <w:pStyle w:val="Subttulo"/>
        <w:keepNext/>
        <w:widowControl w:val="0"/>
        <w:suppressAutoHyphens/>
        <w:rPr>
          <w:rFonts w:ascii="Arial" w:hAnsi="Arial"/>
          <w:b w:val="0"/>
        </w:rPr>
      </w:pPr>
    </w:p>
    <w:p w:rsidR="004B479E" w:rsidRPr="00391EEA" w:rsidRDefault="004B479E" w:rsidP="004B479E">
      <w:pPr>
        <w:pStyle w:val="Subttulo"/>
        <w:keepNext/>
        <w:widowControl w:val="0"/>
        <w:suppressAutoHyphens/>
        <w:rPr>
          <w:rFonts w:ascii="Arial" w:hAnsi="Arial" w:cs="Arial"/>
          <w:bCs/>
        </w:rPr>
      </w:pPr>
      <w:r w:rsidRPr="00391EEA">
        <w:rPr>
          <w:rFonts w:ascii="Arial" w:hAnsi="Arial" w:cs="Arial"/>
          <w:bCs/>
        </w:rPr>
        <w:t>Responsabilidad del auditor</w:t>
      </w:r>
    </w:p>
    <w:p w:rsidR="004B479E" w:rsidRPr="00391EEA" w:rsidRDefault="004B479E" w:rsidP="004B479E">
      <w:pPr>
        <w:keepNext/>
        <w:widowControl w:val="0"/>
        <w:spacing w:line="360" w:lineRule="auto"/>
        <w:jc w:val="both"/>
        <w:rPr>
          <w:kern w:val="18"/>
          <w:szCs w:val="20"/>
        </w:rPr>
      </w:pPr>
      <w:r w:rsidRPr="00391EEA">
        <w:rPr>
          <w:kern w:val="18"/>
          <w:szCs w:val="20"/>
        </w:rPr>
        <w:t xml:space="preserve">La responsabilidad del Tribunal de Cuentas es expresar una opinión sobre dichos estados </w:t>
      </w:r>
      <w:r>
        <w:rPr>
          <w:kern w:val="18"/>
          <w:szCs w:val="20"/>
        </w:rPr>
        <w:t>financieros</w:t>
      </w:r>
      <w:r w:rsidRPr="00391EEA">
        <w:rPr>
          <w:kern w:val="18"/>
          <w:szCs w:val="20"/>
        </w:rPr>
        <w:t xml:space="preserve"> basada en la auditoría realizada. Esta auditoría fue practicada de acuerdo con los Prin</w:t>
      </w:r>
      <w:r>
        <w:rPr>
          <w:kern w:val="18"/>
          <w:szCs w:val="20"/>
        </w:rPr>
        <w:t>cipios Fundamentales de Auditorí</w:t>
      </w:r>
      <w:r w:rsidRPr="00391EEA">
        <w:rPr>
          <w:kern w:val="18"/>
          <w:szCs w:val="20"/>
        </w:rPr>
        <w:t>a (ISSAI 100 y 200) y las Directrices de Auditoría Financiera (ISSAI 1000 a 1810) de la Organización Internacional de Entidades Fiscalizadoras Superiores (INTOSAI). Estas normas requieren que se cumpla con requisitos éticos, se planifique y se realice la auditoría para obtener seguridad razonable acerca de si los estados contables están li</w:t>
      </w:r>
      <w:r>
        <w:rPr>
          <w:kern w:val="18"/>
          <w:szCs w:val="20"/>
        </w:rPr>
        <w:t>bres de errores significativos.</w:t>
      </w:r>
    </w:p>
    <w:p w:rsidR="004B479E" w:rsidRDefault="004B479E" w:rsidP="004B479E">
      <w:pPr>
        <w:keepNext/>
        <w:widowControl w:val="0"/>
        <w:spacing w:line="360" w:lineRule="auto"/>
        <w:jc w:val="both"/>
        <w:rPr>
          <w:kern w:val="18"/>
          <w:szCs w:val="20"/>
        </w:rPr>
      </w:pPr>
      <w:r w:rsidRPr="00391EEA">
        <w:rPr>
          <w:kern w:val="18"/>
          <w:szCs w:val="20"/>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ya sea debido a fraude o error. Al efectuar la evaluación de riesgo,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w:t>
      </w:r>
      <w:r>
        <w:rPr>
          <w:kern w:val="18"/>
          <w:szCs w:val="20"/>
        </w:rPr>
        <w:t xml:space="preserve"> </w:t>
      </w:r>
      <w:r w:rsidRPr="00391EEA">
        <w:rPr>
          <w:kern w:val="18"/>
          <w:szCs w:val="20"/>
        </w:rPr>
        <w:t>Una auditoría también implica evaluar lo apropiado de las políticas contables utilizadas y la presentación general de los estados financieros.</w:t>
      </w:r>
    </w:p>
    <w:p w:rsidR="004B479E" w:rsidRDefault="004B479E" w:rsidP="004B479E">
      <w:pPr>
        <w:keepNext/>
        <w:widowControl w:val="0"/>
        <w:spacing w:line="360" w:lineRule="auto"/>
        <w:jc w:val="both"/>
        <w:rPr>
          <w:kern w:val="18"/>
          <w:szCs w:val="20"/>
        </w:rPr>
      </w:pPr>
      <w:r w:rsidRPr="00391EEA">
        <w:rPr>
          <w:kern w:val="18"/>
          <w:szCs w:val="20"/>
        </w:rPr>
        <w:t>Se considera que la evidencia de auditoría obtenida brinda una base suficiente y apropiada para sustentar la opinión.</w:t>
      </w:r>
    </w:p>
    <w:p w:rsidR="004B479E" w:rsidRDefault="004B479E" w:rsidP="004B479E">
      <w:pPr>
        <w:keepNext/>
        <w:widowControl w:val="0"/>
        <w:spacing w:line="360" w:lineRule="auto"/>
        <w:jc w:val="both"/>
        <w:rPr>
          <w:kern w:val="18"/>
          <w:szCs w:val="20"/>
        </w:rPr>
      </w:pPr>
    </w:p>
    <w:p w:rsidR="004B479E" w:rsidRPr="00B451EC" w:rsidRDefault="004B479E" w:rsidP="004B479E">
      <w:pPr>
        <w:pStyle w:val="Textoindependiente"/>
        <w:keepNext/>
        <w:widowControl w:val="0"/>
        <w:spacing w:line="360" w:lineRule="auto"/>
        <w:rPr>
          <w:b/>
        </w:rPr>
      </w:pPr>
      <w:r w:rsidRPr="00B451EC">
        <w:rPr>
          <w:b/>
        </w:rPr>
        <w:t>Opinión</w:t>
      </w:r>
    </w:p>
    <w:p w:rsidR="004B479E" w:rsidRPr="00460C46" w:rsidRDefault="004B479E" w:rsidP="004B479E">
      <w:pPr>
        <w:pStyle w:val="Textoindependiente"/>
        <w:keepNext/>
        <w:widowControl w:val="0"/>
        <w:spacing w:line="360" w:lineRule="auto"/>
      </w:pPr>
      <w:r w:rsidRPr="00460C46">
        <w:t xml:space="preserve">En opinión del Tribunal de Cuentas, los estados mencionados presentan razonablemente, en todos sus aspectos importantes, la ejecución presupuestal del </w:t>
      </w:r>
      <w:r>
        <w:t>E</w:t>
      </w:r>
      <w:r w:rsidRPr="00460C46">
        <w:t>jercicio 201</w:t>
      </w:r>
      <w:r>
        <w:t>4</w:t>
      </w:r>
      <w:r w:rsidRPr="00460C46">
        <w:t xml:space="preserve">, la evolución de las obligaciones presupuestales impagas y de los fondos indisponibles de acuerdo con las normas establecidas en el TOCAF y la Resolución de este </w:t>
      </w:r>
      <w:r>
        <w:t xml:space="preserve">Tribunal </w:t>
      </w:r>
      <w:r w:rsidRPr="00460C46">
        <w:t>de fecha 28/01/</w:t>
      </w:r>
      <w:r>
        <w:t>20</w:t>
      </w:r>
      <w:r w:rsidRPr="00460C46">
        <w:t>04.</w:t>
      </w:r>
    </w:p>
    <w:p w:rsidR="004B479E" w:rsidRDefault="004B479E" w:rsidP="004B479E">
      <w:pPr>
        <w:keepNext/>
        <w:widowControl w:val="0"/>
        <w:spacing w:line="360" w:lineRule="auto"/>
        <w:jc w:val="both"/>
      </w:pPr>
      <w:r w:rsidRPr="00391EEA">
        <w:t xml:space="preserve">Con relación al cumplimiento de las disposiciones legales que fueron objeto de examen y en aplicación a lo dispuesto por el Artículo 211 </w:t>
      </w:r>
      <w:r>
        <w:t>L</w:t>
      </w:r>
      <w:r w:rsidRPr="00391EEA">
        <w:t>iterales C) y E) de la Constitución de la República, en opinión del Tribunal de Cuentas no se ha dado cumplimiento a las siguientes normas:</w:t>
      </w:r>
    </w:p>
    <w:p w:rsidR="004B479E" w:rsidRDefault="004B479E" w:rsidP="004B479E">
      <w:pPr>
        <w:keepNext/>
        <w:widowControl w:val="0"/>
        <w:spacing w:line="360" w:lineRule="auto"/>
        <w:ind w:right="-136"/>
        <w:jc w:val="both"/>
      </w:pPr>
      <w:r>
        <w:rPr>
          <w:rFonts w:eastAsia="Arial"/>
          <w:b/>
        </w:rPr>
        <w:t>1.</w:t>
      </w:r>
      <w:r w:rsidRPr="00626B63">
        <w:rPr>
          <w:rFonts w:eastAsia="Arial"/>
          <w:b/>
        </w:rPr>
        <w:t xml:space="preserve"> Artículo 211 Literal B) de la Constitución de la República</w:t>
      </w:r>
      <w:r>
        <w:rPr>
          <w:rFonts w:eastAsia="Arial"/>
          <w:b/>
        </w:rPr>
        <w:t xml:space="preserve">: </w:t>
      </w:r>
      <w:r w:rsidRPr="008812FA">
        <w:t>Se ejecutaron y se pagaron gastos sin haber sido intervenidos preventivamente por el Tribunal de Cuentas o el Contador Delegado en su caso</w:t>
      </w:r>
      <w:r>
        <w:t>.</w:t>
      </w:r>
      <w:r w:rsidRPr="008812FA">
        <w:t xml:space="preserve"> </w:t>
      </w:r>
    </w:p>
    <w:p w:rsidR="004B479E" w:rsidRPr="004F3732" w:rsidRDefault="004B479E" w:rsidP="004B479E">
      <w:pPr>
        <w:pStyle w:val="Textoindependiente"/>
        <w:keepNext/>
        <w:widowControl w:val="0"/>
        <w:spacing w:line="360" w:lineRule="auto"/>
      </w:pPr>
      <w:r w:rsidRPr="004F3732">
        <w:rPr>
          <w:b/>
        </w:rPr>
        <w:t xml:space="preserve">2. </w:t>
      </w:r>
      <w:r w:rsidRPr="004F3732">
        <w:rPr>
          <w:b/>
          <w:spacing w:val="8"/>
        </w:rPr>
        <w:t>Artículos 225 y 227 de la Constitución de la República y Ordenanza N°</w:t>
      </w:r>
      <w:r w:rsidRPr="004F3732">
        <w:rPr>
          <w:b/>
        </w:rPr>
        <w:t xml:space="preserve"> 71 del Tribunal de Cuentas</w:t>
      </w:r>
      <w:r w:rsidRPr="004F3732">
        <w:t>: No se realizaron los ajustes correspondientes a efectos de subsanar algunas de las observaciones efectuadas por este Tribunal al Proyecto de Presupuesto Quinquenal 2011-2015 y a la Modificación Presupuestal 2012-2015 de la Junta Departamental, que fueron aceptadas por la misma.</w:t>
      </w:r>
    </w:p>
    <w:p w:rsidR="004B479E" w:rsidRDefault="004B479E" w:rsidP="004B479E">
      <w:pPr>
        <w:keepNext/>
        <w:widowControl w:val="0"/>
        <w:spacing w:line="360" w:lineRule="auto"/>
        <w:jc w:val="both"/>
      </w:pPr>
      <w:r w:rsidRPr="004F3732">
        <w:t>Al respecto, con fecha 29/06/2011 este Tribunal emitió su Dictamen observando el Proyecto de Presupuesto Quinquenal en los términos contenidos en el párrafo 2.2). Esta observación se reiteró en el Dictamen correspondiente a la Modificación Presupuestal 2012-2015, en idéntico párrafo. En ambas ocasiones, la Junta Departamental aceptó esas observaciones, según Decretos Nº 6/11 y 8/12, pero no efectuó las correcciones correspondientes.</w:t>
      </w:r>
    </w:p>
    <w:p w:rsidR="004B479E" w:rsidRPr="00ED1025" w:rsidRDefault="004B479E" w:rsidP="004B479E">
      <w:pPr>
        <w:pStyle w:val="Ttulo2"/>
        <w:keepNext/>
        <w:widowControl w:val="0"/>
        <w:suppressAutoHyphens/>
        <w:spacing w:after="0"/>
        <w:jc w:val="both"/>
        <w:rPr>
          <w:rFonts w:cs="Arial"/>
        </w:rPr>
      </w:pPr>
      <w:r w:rsidRPr="00ED1025">
        <w:rPr>
          <w:rFonts w:cs="Arial"/>
        </w:rPr>
        <w:t>3</w:t>
      </w:r>
      <w:r>
        <w:rPr>
          <w:rFonts w:cs="Arial"/>
        </w:rPr>
        <w:t>. Artículo 11.1 del Presupuesto Quinquenal -</w:t>
      </w:r>
      <w:r w:rsidRPr="00381A1E">
        <w:rPr>
          <w:rFonts w:cs="Arial"/>
        </w:rPr>
        <w:t xml:space="preserve"> </w:t>
      </w:r>
      <w:r w:rsidRPr="00ED1025">
        <w:rPr>
          <w:rFonts w:cs="Arial"/>
        </w:rPr>
        <w:t>Compensaciones Especial</w:t>
      </w:r>
    </w:p>
    <w:p w:rsidR="004B479E" w:rsidRDefault="004B479E" w:rsidP="004B479E">
      <w:pPr>
        <w:keepNext/>
        <w:widowControl w:val="0"/>
        <w:spacing w:line="360" w:lineRule="auto"/>
        <w:jc w:val="both"/>
      </w:pPr>
      <w:r>
        <w:t xml:space="preserve">Se constataron </w:t>
      </w:r>
      <w:r w:rsidRPr="00AE621F">
        <w:t>pago</w:t>
      </w:r>
      <w:r>
        <w:t>s</w:t>
      </w:r>
      <w:r w:rsidRPr="00AE621F">
        <w:t xml:space="preserve"> a los funcionarios de la Junta de $ 954.584 por concepto de compensaciones que no se ajusta en su totalidad a lo establecido en la citada norma debido a que dicha partida se otorgó a la</w:t>
      </w:r>
      <w:r w:rsidR="00B05D01">
        <w:t xml:space="preserve"> totalidad de los funcionarios.</w:t>
      </w:r>
    </w:p>
    <w:p w:rsidR="004B479E" w:rsidRDefault="004B479E" w:rsidP="004B479E">
      <w:pPr>
        <w:pStyle w:val="Textoindependiente"/>
        <w:keepNext/>
        <w:widowControl w:val="0"/>
        <w:spacing w:line="360" w:lineRule="auto"/>
      </w:pPr>
      <w:r>
        <w:rPr>
          <w:b/>
          <w:spacing w:val="8"/>
        </w:rPr>
        <w:t>4</w:t>
      </w:r>
      <w:r w:rsidRPr="007F27C8">
        <w:rPr>
          <w:b/>
          <w:spacing w:val="8"/>
        </w:rPr>
        <w:t xml:space="preserve">. </w:t>
      </w:r>
      <w:r w:rsidRPr="007F27C8">
        <w:rPr>
          <w:b/>
        </w:rPr>
        <w:t>Artículo 3</w:t>
      </w:r>
      <w:r>
        <w:rPr>
          <w:b/>
        </w:rPr>
        <w:t>4</w:t>
      </w:r>
      <w:r w:rsidRPr="007F27C8">
        <w:rPr>
          <w:b/>
        </w:rPr>
        <w:t xml:space="preserve"> de la Ley N° 1</w:t>
      </w:r>
      <w:r>
        <w:rPr>
          <w:b/>
        </w:rPr>
        <w:t>9</w:t>
      </w:r>
      <w:r w:rsidRPr="007F27C8">
        <w:rPr>
          <w:b/>
        </w:rPr>
        <w:t>.</w:t>
      </w:r>
      <w:r>
        <w:rPr>
          <w:b/>
        </w:rPr>
        <w:t>210 y Decreto Nº 429/004</w:t>
      </w:r>
      <w:r w:rsidRPr="007F27C8">
        <w:rPr>
          <w:b/>
        </w:rPr>
        <w:t>:</w:t>
      </w:r>
      <w:r w:rsidRPr="007F27C8">
        <w:t xml:space="preserve"> Se abonaron algunas retribuciones</w:t>
      </w:r>
      <w:r w:rsidRPr="00BA5742">
        <w:t xml:space="preserve"> personales líquidas por un importe menor al 30% del monto nominal, deducido impuesto y contribuciones de seguridad social.</w:t>
      </w:r>
    </w:p>
    <w:p w:rsidR="004B479E" w:rsidRDefault="004B479E" w:rsidP="004B479E">
      <w:pPr>
        <w:keepNext/>
        <w:widowControl w:val="0"/>
        <w:spacing w:line="360" w:lineRule="auto"/>
        <w:jc w:val="both"/>
      </w:pPr>
      <w:r>
        <w:rPr>
          <w:b/>
        </w:rPr>
        <w:t>5</w:t>
      </w:r>
      <w:r w:rsidRPr="00391EEA">
        <w:rPr>
          <w:b/>
        </w:rPr>
        <w:t>.</w:t>
      </w:r>
      <w:r w:rsidRPr="00391EEA">
        <w:rPr>
          <w:b/>
          <w:bCs/>
        </w:rPr>
        <w:t xml:space="preserve"> Artículo </w:t>
      </w:r>
      <w:r>
        <w:rPr>
          <w:b/>
          <w:bCs/>
        </w:rPr>
        <w:t>20</w:t>
      </w:r>
      <w:r w:rsidRPr="00391EEA">
        <w:rPr>
          <w:b/>
          <w:bCs/>
        </w:rPr>
        <w:t xml:space="preserve"> del TOCAF: </w:t>
      </w:r>
      <w:r>
        <w:t>La Junta Departamental no aplicó</w:t>
      </w:r>
      <w:r w:rsidRPr="00391EEA">
        <w:t xml:space="preserve"> el criterio de lo devengado en la imputación de algunos gastos.</w:t>
      </w:r>
    </w:p>
    <w:p w:rsidR="004B479E" w:rsidRPr="004F3732" w:rsidRDefault="004B479E" w:rsidP="004B479E">
      <w:pPr>
        <w:keepNext/>
        <w:widowControl w:val="0"/>
        <w:spacing w:line="360" w:lineRule="auto"/>
        <w:jc w:val="both"/>
      </w:pPr>
      <w:r>
        <w:rPr>
          <w:b/>
        </w:rPr>
        <w:t>6</w:t>
      </w:r>
      <w:r w:rsidRPr="004F3732">
        <w:rPr>
          <w:b/>
        </w:rPr>
        <w:t>.</w:t>
      </w:r>
      <w:r w:rsidRPr="004F3732">
        <w:rPr>
          <w:b/>
          <w:bCs/>
        </w:rPr>
        <w:t xml:space="preserve"> Artículo 20 Numeral 1) del TOCAF: </w:t>
      </w:r>
      <w:r w:rsidRPr="004F3732">
        <w:t>Se otorgaron adelantos de sueldos por mayor importe que el generado por la prestación del servicio.</w:t>
      </w:r>
    </w:p>
    <w:p w:rsidR="004B479E" w:rsidRPr="004F3732" w:rsidRDefault="004B479E" w:rsidP="004B479E">
      <w:pPr>
        <w:keepNext/>
        <w:widowControl w:val="0"/>
        <w:tabs>
          <w:tab w:val="left" w:pos="720"/>
        </w:tabs>
        <w:spacing w:line="360" w:lineRule="auto"/>
        <w:jc w:val="both"/>
      </w:pPr>
      <w:r>
        <w:rPr>
          <w:b/>
          <w:bCs/>
        </w:rPr>
        <w:t>7</w:t>
      </w:r>
      <w:r w:rsidRPr="004F3732">
        <w:rPr>
          <w:b/>
          <w:bCs/>
        </w:rPr>
        <w:t xml:space="preserve">. Artículo 23 del TOCAF: </w:t>
      </w:r>
      <w:r w:rsidRPr="004F3732">
        <w:t>Se ejecutaron y se pagaron gastos sin haber sido autorizados por el Ordenador  competente.</w:t>
      </w:r>
    </w:p>
    <w:p w:rsidR="004B479E" w:rsidRDefault="004B479E" w:rsidP="004B479E">
      <w:pPr>
        <w:keepNext/>
        <w:widowControl w:val="0"/>
        <w:tabs>
          <w:tab w:val="left" w:pos="720"/>
        </w:tabs>
        <w:spacing w:line="360" w:lineRule="auto"/>
        <w:jc w:val="both"/>
        <w:rPr>
          <w:b/>
        </w:rPr>
      </w:pPr>
    </w:p>
    <w:p w:rsidR="004B479E" w:rsidRPr="004F3732" w:rsidRDefault="004B479E" w:rsidP="004B479E">
      <w:pPr>
        <w:keepNext/>
        <w:widowControl w:val="0"/>
        <w:tabs>
          <w:tab w:val="left" w:pos="720"/>
        </w:tabs>
        <w:spacing w:line="360" w:lineRule="auto"/>
        <w:jc w:val="both"/>
        <w:rPr>
          <w:b/>
        </w:rPr>
      </w:pPr>
      <w:r>
        <w:rPr>
          <w:b/>
        </w:rPr>
        <w:t>8</w:t>
      </w:r>
      <w:r w:rsidRPr="004F3732">
        <w:rPr>
          <w:b/>
        </w:rPr>
        <w:t xml:space="preserve">. </w:t>
      </w:r>
      <w:r w:rsidRPr="004F3732">
        <w:rPr>
          <w:b/>
          <w:bCs/>
        </w:rPr>
        <w:t xml:space="preserve">Artículos 33 del TOCAF: </w:t>
      </w:r>
      <w:r w:rsidRPr="004F3732">
        <w:t>En algunos casos la Junta Departamental realizó contrataciones en forma directa sin haber realizado los procedimientos previstos en la referida norma.</w:t>
      </w:r>
    </w:p>
    <w:p w:rsidR="004B479E" w:rsidRPr="004F3732" w:rsidRDefault="004B479E" w:rsidP="004B479E">
      <w:pPr>
        <w:keepNext/>
        <w:widowControl w:val="0"/>
        <w:spacing w:line="360" w:lineRule="auto"/>
        <w:jc w:val="both"/>
      </w:pPr>
      <w:r>
        <w:rPr>
          <w:b/>
        </w:rPr>
        <w:t>9</w:t>
      </w:r>
      <w:r w:rsidRPr="004F3732">
        <w:rPr>
          <w:b/>
        </w:rPr>
        <w:t>.</w:t>
      </w:r>
      <w:r w:rsidRPr="004F3732">
        <w:rPr>
          <w:b/>
          <w:bCs/>
        </w:rPr>
        <w:t xml:space="preserve"> Artículos 89 y 90 del TOCAF y Resolución Nº 91/2012 de la Junta Departamental: </w:t>
      </w:r>
      <w:r w:rsidRPr="004F3732">
        <w:t>Respecto al manejo de fondos, no se dio cumplimiento a lo dispuesto por los mencionados artículos, en la medida que se abonaron gastos de naturaleza salarial con cargo al fondo permanente.</w:t>
      </w:r>
    </w:p>
    <w:p w:rsidR="004B479E" w:rsidRPr="004F3732" w:rsidRDefault="004B479E" w:rsidP="004B479E">
      <w:pPr>
        <w:keepNext/>
        <w:widowControl w:val="0"/>
        <w:spacing w:line="360" w:lineRule="auto"/>
        <w:jc w:val="both"/>
      </w:pPr>
      <w:r>
        <w:rPr>
          <w:b/>
        </w:rPr>
        <w:t>10</w:t>
      </w:r>
      <w:r w:rsidRPr="004F3732">
        <w:rPr>
          <w:b/>
        </w:rPr>
        <w:t xml:space="preserve">. Artículo 94 del TOCAF y Ordenanza N° 81 del Tribunal de Cuentas: </w:t>
      </w:r>
      <w:r w:rsidRPr="004F3732">
        <w:t>No se ha implementado por la Junta Departamental un sistema de contabilidad  patrimonial que permita cumplir con lo establecido por dichas normas.</w:t>
      </w:r>
    </w:p>
    <w:p w:rsidR="004B479E" w:rsidRPr="004F3732" w:rsidRDefault="004B479E" w:rsidP="004B479E">
      <w:pPr>
        <w:keepNext/>
        <w:widowControl w:val="0"/>
        <w:spacing w:line="360" w:lineRule="auto"/>
        <w:jc w:val="both"/>
      </w:pPr>
      <w:r w:rsidRPr="004F3732">
        <w:rPr>
          <w:b/>
        </w:rPr>
        <w:t>1</w:t>
      </w:r>
      <w:r>
        <w:rPr>
          <w:b/>
        </w:rPr>
        <w:t>1</w:t>
      </w:r>
      <w:r w:rsidRPr="004F3732">
        <w:rPr>
          <w:b/>
        </w:rPr>
        <w:t>.</w:t>
      </w:r>
      <w:r w:rsidRPr="004F3732">
        <w:t xml:space="preserve"> </w:t>
      </w:r>
      <w:r w:rsidRPr="004F3732">
        <w:rPr>
          <w:b/>
          <w:bCs/>
        </w:rPr>
        <w:t>Artículo 132 del TOCAF y Articulo 416 de la Ley 17.930:</w:t>
      </w:r>
      <w:r w:rsidRPr="004F3732">
        <w:t xml:space="preserve"> Se adelantaron fondos que no fueron rendidos en los plazos establecidos por la referida norma. Además, la Ley N° 17930 en su artículo 416 establece asimismo que “no podrán adelantarse fondos a rendir cuentas a personas físicas o jurídicas que no hayan presentado la rendición de cuentas de partidas recibidas con anterioridad”. En ese sentido se verificó que se adelantaron fondos a Sres. Ediles que presentaban hasta cinco vales sin rendir.</w:t>
      </w:r>
    </w:p>
    <w:p w:rsidR="004B479E" w:rsidRPr="004F3732" w:rsidRDefault="004B479E" w:rsidP="004B479E">
      <w:pPr>
        <w:keepNext/>
        <w:widowControl w:val="0"/>
        <w:spacing w:line="360" w:lineRule="auto"/>
        <w:jc w:val="both"/>
      </w:pPr>
      <w:r w:rsidRPr="004F3732">
        <w:t>El 30/12/2015 se habían adelantado fondos por $ 10.000 a un Edil, quien mantenía pendiente de rendición vales por un total de $ 25.000 cuya antigüedad correspondía a los meses de abril, mayo, junio y setiembre de 2015.</w:t>
      </w:r>
    </w:p>
    <w:p w:rsidR="004B479E" w:rsidRPr="004F3732" w:rsidRDefault="004B479E" w:rsidP="004B479E">
      <w:pPr>
        <w:pStyle w:val="Textoindependiente"/>
        <w:keepNext/>
        <w:widowControl w:val="0"/>
        <w:spacing w:line="360" w:lineRule="auto"/>
      </w:pPr>
      <w:r w:rsidRPr="004F3732">
        <w:rPr>
          <w:b/>
          <w:color w:val="000000"/>
        </w:rPr>
        <w:t>1</w:t>
      </w:r>
      <w:r>
        <w:rPr>
          <w:b/>
          <w:color w:val="000000"/>
        </w:rPr>
        <w:t>2</w:t>
      </w:r>
      <w:r w:rsidRPr="004F3732">
        <w:rPr>
          <w:b/>
          <w:color w:val="000000"/>
        </w:rPr>
        <w:t>.</w:t>
      </w:r>
      <w:r w:rsidRPr="004F3732">
        <w:rPr>
          <w:b/>
        </w:rPr>
        <w:t xml:space="preserve"> Artículo 9 del Decreto Reglamentario Nº 199/07 del Poder Ejecutivo y Decreto Nº 306/07: </w:t>
      </w:r>
      <w:r w:rsidRPr="004F3732">
        <w:t xml:space="preserve">La Junta realizó adquisiciones a contribuyentes comprendidos en el régimen de </w:t>
      </w:r>
      <w:proofErr w:type="spellStart"/>
      <w:r w:rsidRPr="004F3732">
        <w:t>Monotributo</w:t>
      </w:r>
      <w:proofErr w:type="spellEnd"/>
      <w:r w:rsidRPr="004F3732">
        <w:t xml:space="preserve"> cuando, al no considerarse consumidor final, está inhabilitados para hacerlo.</w:t>
      </w:r>
    </w:p>
    <w:p w:rsidR="004B479E" w:rsidRPr="00C44706" w:rsidRDefault="004B479E" w:rsidP="004B479E">
      <w:pPr>
        <w:pStyle w:val="Textoindependiente"/>
        <w:keepNext/>
        <w:widowControl w:val="0"/>
        <w:spacing w:line="360" w:lineRule="auto"/>
      </w:pPr>
      <w:r w:rsidRPr="004F3732">
        <w:rPr>
          <w:b/>
        </w:rPr>
        <w:t>1</w:t>
      </w:r>
      <w:r>
        <w:rPr>
          <w:b/>
        </w:rPr>
        <w:t>3</w:t>
      </w:r>
      <w:r w:rsidRPr="004F3732">
        <w:rPr>
          <w:b/>
        </w:rPr>
        <w:t>. Decreto N° 26/1986 de la Junta Departamental de Treinta y Tres y Artículo 59</w:t>
      </w:r>
      <w:r w:rsidRPr="004F3732">
        <w:t xml:space="preserve"> </w:t>
      </w:r>
      <w:r w:rsidRPr="004F3732">
        <w:rPr>
          <w:b/>
        </w:rPr>
        <w:t>del Estatuto del funcionario municipal:</w:t>
      </w:r>
      <w:r w:rsidRPr="004F3732">
        <w:t xml:space="preserve"> Se constató que se abonaron licencias generadas y no gozadas, cancelando  con estos haberes adelantos de sueldos otorgados en meses anteriores, incumpliendo con lo establecido en el Decreto N° 26/1986 de la Junta Departamental de Treinta y Tres y Artículo 59 del Estatuto funcionario municipal</w:t>
      </w:r>
      <w:r>
        <w:t>.</w:t>
      </w:r>
    </w:p>
    <w:p w:rsidR="004B479E" w:rsidRDefault="004B479E" w:rsidP="004B479E">
      <w:pPr>
        <w:keepNext/>
        <w:widowControl w:val="0"/>
        <w:spacing w:line="360" w:lineRule="auto"/>
        <w:ind w:left="4248"/>
        <w:jc w:val="right"/>
      </w:pPr>
      <w:r>
        <w:t xml:space="preserve">       </w:t>
      </w:r>
      <w:r w:rsidRPr="00391EEA">
        <w:t xml:space="preserve">Montevideo, </w:t>
      </w:r>
      <w:r>
        <w:t xml:space="preserve">6 </w:t>
      </w:r>
      <w:r w:rsidRPr="00391EEA">
        <w:t>de</w:t>
      </w:r>
      <w:r>
        <w:t xml:space="preserve"> julio </w:t>
      </w:r>
      <w:r w:rsidRPr="00391EEA">
        <w:t xml:space="preserve">de </w:t>
      </w:r>
      <w:r w:rsidR="00E94DFA">
        <w:t xml:space="preserve"> 2016</w:t>
      </w:r>
    </w:p>
    <w:bookmarkEnd w:id="4"/>
    <w:bookmarkEnd w:id="5"/>
    <w:bookmarkEnd w:id="6"/>
    <w:p w:rsidR="004B479E" w:rsidRDefault="004B479E" w:rsidP="004B479E">
      <w:pPr>
        <w:keepNext/>
        <w:widowControl w:val="0"/>
        <w:suppressAutoHyphens w:val="0"/>
        <w:spacing w:line="360" w:lineRule="auto"/>
        <w:ind w:hanging="709"/>
        <w:jc w:val="both"/>
      </w:pPr>
    </w:p>
    <w:p w:rsidR="004B479E" w:rsidRPr="00D61793" w:rsidRDefault="004B479E" w:rsidP="004B479E">
      <w:pPr>
        <w:keepNext/>
        <w:widowControl w:val="0"/>
        <w:suppressAutoHyphens w:val="0"/>
        <w:spacing w:line="360" w:lineRule="auto"/>
        <w:jc w:val="center"/>
        <w:outlineLvl w:val="0"/>
        <w:rPr>
          <w:b/>
        </w:rPr>
      </w:pPr>
      <w:r w:rsidRPr="00D61793">
        <w:rPr>
          <w:b/>
        </w:rPr>
        <w:t>INFORME A LA ADMINISTRACIÓN</w:t>
      </w:r>
    </w:p>
    <w:p w:rsidR="004B479E" w:rsidRPr="00D61793" w:rsidRDefault="004B479E" w:rsidP="004B479E">
      <w:pPr>
        <w:keepNext/>
        <w:widowControl w:val="0"/>
        <w:suppressAutoHyphens w:val="0"/>
        <w:spacing w:line="360" w:lineRule="auto"/>
        <w:jc w:val="both"/>
        <w:rPr>
          <w:kern w:val="18"/>
        </w:rPr>
      </w:pPr>
    </w:p>
    <w:p w:rsidR="004B479E" w:rsidRPr="00D61793" w:rsidRDefault="004B479E" w:rsidP="004B479E">
      <w:pPr>
        <w:keepNext/>
        <w:widowControl w:val="0"/>
        <w:suppressAutoHyphens w:val="0"/>
        <w:spacing w:line="360" w:lineRule="auto"/>
        <w:jc w:val="both"/>
        <w:rPr>
          <w:kern w:val="18"/>
        </w:rPr>
      </w:pPr>
      <w:r w:rsidRPr="00D61793">
        <w:rPr>
          <w:kern w:val="18"/>
        </w:rPr>
        <w:t xml:space="preserve">El Tribunal de Cuentas ha examinado la Rendición de Cuentas y Balance de Ejecución Presupuestal correspondiente al </w:t>
      </w:r>
      <w:r>
        <w:rPr>
          <w:kern w:val="18"/>
        </w:rPr>
        <w:t>E</w:t>
      </w:r>
      <w:r w:rsidRPr="00D61793">
        <w:rPr>
          <w:kern w:val="18"/>
        </w:rPr>
        <w:t>jercicio 2014 y ha emitido su correspondiente Dictamen.</w:t>
      </w:r>
    </w:p>
    <w:p w:rsidR="004B479E" w:rsidRPr="00D61793" w:rsidRDefault="004B479E" w:rsidP="004B479E">
      <w:pPr>
        <w:keepNext/>
        <w:widowControl w:val="0"/>
        <w:suppressAutoHyphens w:val="0"/>
        <w:spacing w:line="360" w:lineRule="auto"/>
        <w:jc w:val="both"/>
        <w:rPr>
          <w:kern w:val="18"/>
        </w:rPr>
      </w:pPr>
      <w:r w:rsidRPr="00D61793">
        <w:rPr>
          <w:kern w:val="18"/>
        </w:rPr>
        <w:t xml:space="preserve">Como consecuencia del examen practicado, se incluyen en este informe comentarios que se ha entendido conveniente exponer, relacionados a la situación de determinados capítulos y rubros de los estados examinados, obligaciones a cumplir, así como recomendaciones que deberá atender el Organismo. Se incluye además una evaluación de la forma de cumplimiento de las recomendaciones presentadas en el informe de auditoría correspondiente el </w:t>
      </w:r>
      <w:r>
        <w:rPr>
          <w:kern w:val="18"/>
        </w:rPr>
        <w:t>E</w:t>
      </w:r>
      <w:r w:rsidRPr="00D61793">
        <w:rPr>
          <w:kern w:val="18"/>
        </w:rPr>
        <w:t>jercicio anterior.</w:t>
      </w:r>
    </w:p>
    <w:p w:rsidR="004B479E" w:rsidRPr="00D61793" w:rsidRDefault="004B479E" w:rsidP="004B479E">
      <w:pPr>
        <w:keepNext/>
        <w:widowControl w:val="0"/>
        <w:suppressAutoHyphens w:val="0"/>
        <w:spacing w:line="360" w:lineRule="auto"/>
        <w:jc w:val="both"/>
        <w:rPr>
          <w:kern w:val="18"/>
        </w:rPr>
      </w:pPr>
    </w:p>
    <w:p w:rsidR="004B479E" w:rsidRPr="00D61793" w:rsidRDefault="004B479E" w:rsidP="004B479E">
      <w:pPr>
        <w:keepNext/>
        <w:widowControl w:val="0"/>
        <w:suppressAutoHyphens w:val="0"/>
        <w:spacing w:line="360" w:lineRule="auto"/>
        <w:jc w:val="both"/>
        <w:outlineLvl w:val="1"/>
        <w:rPr>
          <w:b/>
          <w:kern w:val="18"/>
        </w:rPr>
      </w:pPr>
      <w:r w:rsidRPr="00D61793">
        <w:rPr>
          <w:b/>
          <w:kern w:val="18"/>
        </w:rPr>
        <w:t>1 Antecedentes</w:t>
      </w:r>
    </w:p>
    <w:p w:rsidR="004B479E" w:rsidRPr="00D61793" w:rsidRDefault="004B479E" w:rsidP="004B479E">
      <w:pPr>
        <w:keepNext/>
        <w:widowControl w:val="0"/>
        <w:suppressAutoHyphens w:val="0"/>
        <w:spacing w:line="360" w:lineRule="auto"/>
        <w:jc w:val="both"/>
        <w:rPr>
          <w:kern w:val="18"/>
        </w:rPr>
      </w:pPr>
      <w:r w:rsidRPr="00D61793">
        <w:rPr>
          <w:kern w:val="18"/>
        </w:rPr>
        <w:t>Por Oficio Nº 07/2016 de fecha 13/01/2016 la Junta Departamental de Treinta y Tres remitió a este Tribunal la Rendición de Cuentas de esa C</w:t>
      </w:r>
      <w:r>
        <w:rPr>
          <w:kern w:val="18"/>
        </w:rPr>
        <w:t>orporación referente al E</w:t>
      </w:r>
      <w:r w:rsidRPr="00D61793">
        <w:rPr>
          <w:kern w:val="18"/>
        </w:rPr>
        <w:t>jercicio 2014.</w:t>
      </w:r>
    </w:p>
    <w:p w:rsidR="004B479E" w:rsidRPr="00D61793" w:rsidRDefault="004B479E" w:rsidP="004B479E">
      <w:pPr>
        <w:keepNext/>
        <w:widowControl w:val="0"/>
        <w:suppressAutoHyphens w:val="0"/>
        <w:spacing w:line="360" w:lineRule="auto"/>
        <w:jc w:val="both"/>
        <w:rPr>
          <w:kern w:val="18"/>
        </w:rPr>
      </w:pPr>
      <w:r w:rsidRPr="00D61793">
        <w:rPr>
          <w:kern w:val="18"/>
        </w:rPr>
        <w:t>Si bien la Junta no tiene plazo constitucional para su envío a este Tribunal, la  Intendencia si lo tiene. Esto dificulta cuando se analiza la Rendición de Cuentas del Ejecutivo Comunal, así como la correspondiente conciliación con la Jun</w:t>
      </w:r>
      <w:r w:rsidR="00E94DFA">
        <w:rPr>
          <w:kern w:val="18"/>
        </w:rPr>
        <w:t>ta Departamental.</w:t>
      </w:r>
    </w:p>
    <w:p w:rsidR="004B479E" w:rsidRDefault="004B479E" w:rsidP="004B479E">
      <w:pPr>
        <w:keepNext/>
        <w:widowControl w:val="0"/>
        <w:suppressAutoHyphens w:val="0"/>
        <w:spacing w:line="360" w:lineRule="auto"/>
        <w:jc w:val="both"/>
        <w:rPr>
          <w:kern w:val="18"/>
        </w:rPr>
      </w:pPr>
    </w:p>
    <w:p w:rsidR="00E94DFA" w:rsidRPr="00D61793" w:rsidRDefault="00E94DFA" w:rsidP="004B479E">
      <w:pPr>
        <w:keepNext/>
        <w:widowControl w:val="0"/>
        <w:suppressAutoHyphens w:val="0"/>
        <w:spacing w:line="360" w:lineRule="auto"/>
        <w:jc w:val="both"/>
        <w:rPr>
          <w:kern w:val="18"/>
        </w:rPr>
      </w:pPr>
    </w:p>
    <w:p w:rsidR="004B479E" w:rsidRPr="00D61793" w:rsidRDefault="004B479E" w:rsidP="004B479E">
      <w:pPr>
        <w:keepNext/>
        <w:widowControl w:val="0"/>
        <w:suppressAutoHyphens w:val="0"/>
        <w:spacing w:line="360" w:lineRule="auto"/>
        <w:jc w:val="both"/>
        <w:outlineLvl w:val="1"/>
        <w:rPr>
          <w:b/>
          <w:kern w:val="18"/>
        </w:rPr>
      </w:pPr>
      <w:bookmarkStart w:id="7" w:name="_Toc278970133"/>
      <w:bookmarkStart w:id="8" w:name="_Toc331077631"/>
      <w:bookmarkStart w:id="9" w:name="_Toc411241471"/>
      <w:r w:rsidRPr="00D61793">
        <w:rPr>
          <w:b/>
          <w:kern w:val="18"/>
        </w:rPr>
        <w:t>2 Situación en Materia de Fondos</w:t>
      </w:r>
      <w:bookmarkStart w:id="10" w:name="_Toc37740559"/>
      <w:bookmarkStart w:id="11" w:name="_Toc37740811"/>
      <w:bookmarkStart w:id="12" w:name="_Toc43280747"/>
      <w:bookmarkStart w:id="13" w:name="_Toc49942672"/>
      <w:bookmarkEnd w:id="7"/>
      <w:bookmarkEnd w:id="8"/>
      <w:bookmarkEnd w:id="9"/>
    </w:p>
    <w:p w:rsidR="004B479E" w:rsidRPr="00D61793" w:rsidRDefault="004B479E" w:rsidP="004B479E">
      <w:pPr>
        <w:keepNext/>
        <w:widowControl w:val="0"/>
        <w:suppressAutoHyphens w:val="0"/>
        <w:spacing w:line="360" w:lineRule="auto"/>
        <w:jc w:val="both"/>
      </w:pPr>
      <w:r w:rsidRPr="00D61793">
        <w:t>De acuerdo con los estados incluidos en la Rendición de Cuentas, se elaboró un resumen de la situación en materia de fondos de la Junta Departamental con relación a la Intendencia:</w:t>
      </w:r>
    </w:p>
    <w:tbl>
      <w:tblPr>
        <w:tblW w:w="8119" w:type="dxa"/>
        <w:jc w:val="center"/>
        <w:tblInd w:w="1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433"/>
        <w:gridCol w:w="1928"/>
        <w:gridCol w:w="1758"/>
      </w:tblGrid>
      <w:tr w:rsidR="004B479E" w:rsidRPr="00D61793" w:rsidTr="00B05D01">
        <w:trPr>
          <w:trHeight w:hRule="exact" w:val="318"/>
          <w:jc w:val="center"/>
        </w:trPr>
        <w:tc>
          <w:tcPr>
            <w:tcW w:w="4433" w:type="dxa"/>
          </w:tcPr>
          <w:bookmarkEnd w:id="10"/>
          <w:bookmarkEnd w:id="11"/>
          <w:bookmarkEnd w:id="12"/>
          <w:bookmarkEnd w:id="13"/>
          <w:p w:rsidR="004B479E" w:rsidRPr="00D61793" w:rsidRDefault="004B479E" w:rsidP="004B479E">
            <w:pPr>
              <w:keepNext/>
              <w:widowControl w:val="0"/>
              <w:suppressAutoHyphens w:val="0"/>
              <w:spacing w:line="360" w:lineRule="auto"/>
              <w:jc w:val="both"/>
              <w:rPr>
                <w:snapToGrid w:val="0"/>
                <w:color w:val="000000"/>
              </w:rPr>
            </w:pPr>
            <w:r w:rsidRPr="00D61793">
              <w:rPr>
                <w:snapToGrid w:val="0"/>
                <w:color w:val="000000"/>
              </w:rPr>
              <w:t>Disponibilidades en la Junta</w:t>
            </w:r>
          </w:p>
        </w:tc>
        <w:tc>
          <w:tcPr>
            <w:tcW w:w="1928" w:type="dxa"/>
          </w:tcPr>
          <w:p w:rsidR="004B479E" w:rsidRPr="00D61793" w:rsidRDefault="004B479E" w:rsidP="004B479E">
            <w:pPr>
              <w:keepNext/>
              <w:widowControl w:val="0"/>
              <w:suppressAutoHyphens w:val="0"/>
              <w:spacing w:line="360" w:lineRule="auto"/>
              <w:jc w:val="center"/>
              <w:rPr>
                <w:snapToGrid w:val="0"/>
                <w:color w:val="000000"/>
              </w:rPr>
            </w:pPr>
            <w:r w:rsidRPr="00D61793">
              <w:rPr>
                <w:snapToGrid w:val="0"/>
                <w:color w:val="000000"/>
              </w:rPr>
              <w:t>$      2:043.872</w:t>
            </w:r>
          </w:p>
          <w:p w:rsidR="004B479E" w:rsidRPr="00D61793" w:rsidRDefault="004B479E" w:rsidP="004B479E">
            <w:pPr>
              <w:keepNext/>
              <w:widowControl w:val="0"/>
              <w:suppressAutoHyphens w:val="0"/>
              <w:spacing w:line="360" w:lineRule="auto"/>
              <w:jc w:val="center"/>
              <w:rPr>
                <w:snapToGrid w:val="0"/>
                <w:color w:val="000000"/>
              </w:rPr>
            </w:pPr>
          </w:p>
          <w:p w:rsidR="004B479E" w:rsidRPr="00D61793" w:rsidRDefault="004B479E" w:rsidP="004B479E">
            <w:pPr>
              <w:keepNext/>
              <w:widowControl w:val="0"/>
              <w:suppressAutoHyphens w:val="0"/>
              <w:spacing w:line="360" w:lineRule="auto"/>
              <w:jc w:val="center"/>
              <w:rPr>
                <w:snapToGrid w:val="0"/>
                <w:color w:val="000000"/>
              </w:rPr>
            </w:pPr>
          </w:p>
        </w:tc>
        <w:tc>
          <w:tcPr>
            <w:tcW w:w="1758" w:type="dxa"/>
          </w:tcPr>
          <w:p w:rsidR="004B479E" w:rsidRPr="00D61793" w:rsidRDefault="004B479E" w:rsidP="004B479E">
            <w:pPr>
              <w:keepNext/>
              <w:widowControl w:val="0"/>
              <w:suppressAutoHyphens w:val="0"/>
              <w:spacing w:line="360" w:lineRule="auto"/>
              <w:jc w:val="both"/>
              <w:rPr>
                <w:snapToGrid w:val="0"/>
                <w:color w:val="000000"/>
              </w:rPr>
            </w:pPr>
          </w:p>
        </w:tc>
      </w:tr>
      <w:tr w:rsidR="004B479E" w:rsidRPr="00D61793" w:rsidTr="00B05D01">
        <w:trPr>
          <w:trHeight w:hRule="exact" w:val="340"/>
          <w:jc w:val="center"/>
        </w:trPr>
        <w:tc>
          <w:tcPr>
            <w:tcW w:w="4433" w:type="dxa"/>
          </w:tcPr>
          <w:p w:rsidR="004B479E" w:rsidRPr="00D61793" w:rsidRDefault="004B479E" w:rsidP="004B479E">
            <w:pPr>
              <w:keepNext/>
              <w:widowControl w:val="0"/>
              <w:suppressAutoHyphens w:val="0"/>
              <w:spacing w:line="360" w:lineRule="auto"/>
              <w:jc w:val="both"/>
              <w:rPr>
                <w:snapToGrid w:val="0"/>
                <w:color w:val="000000"/>
              </w:rPr>
            </w:pPr>
            <w:proofErr w:type="spellStart"/>
            <w:r w:rsidRPr="00D61793">
              <w:rPr>
                <w:snapToGrid w:val="0"/>
                <w:color w:val="000000"/>
              </w:rPr>
              <w:t>Extrapresupuesto</w:t>
            </w:r>
            <w:proofErr w:type="spellEnd"/>
            <w:r w:rsidRPr="00D61793">
              <w:rPr>
                <w:snapToGrid w:val="0"/>
                <w:color w:val="000000"/>
              </w:rPr>
              <w:t xml:space="preserve"> a cobrar</w:t>
            </w:r>
          </w:p>
        </w:tc>
        <w:tc>
          <w:tcPr>
            <w:tcW w:w="1928" w:type="dxa"/>
          </w:tcPr>
          <w:p w:rsidR="004B479E" w:rsidRPr="00D61793" w:rsidRDefault="004B479E" w:rsidP="004B479E">
            <w:pPr>
              <w:keepNext/>
              <w:widowControl w:val="0"/>
              <w:suppressAutoHyphens w:val="0"/>
              <w:spacing w:line="360" w:lineRule="auto"/>
              <w:jc w:val="center"/>
              <w:rPr>
                <w:snapToGrid w:val="0"/>
                <w:color w:val="000000"/>
              </w:rPr>
            </w:pPr>
            <w:r w:rsidRPr="00D61793">
              <w:rPr>
                <w:snapToGrid w:val="0"/>
                <w:color w:val="000000"/>
              </w:rPr>
              <w:t>$         592.128</w:t>
            </w:r>
          </w:p>
        </w:tc>
        <w:tc>
          <w:tcPr>
            <w:tcW w:w="1758" w:type="dxa"/>
          </w:tcPr>
          <w:p w:rsidR="004B479E" w:rsidRPr="00D61793" w:rsidRDefault="004B479E" w:rsidP="004B479E">
            <w:pPr>
              <w:keepNext/>
              <w:widowControl w:val="0"/>
              <w:suppressAutoHyphens w:val="0"/>
              <w:spacing w:line="360" w:lineRule="auto"/>
              <w:jc w:val="center"/>
              <w:rPr>
                <w:b/>
                <w:snapToGrid w:val="0"/>
                <w:color w:val="000000"/>
              </w:rPr>
            </w:pPr>
            <w:r w:rsidRPr="00D61793">
              <w:rPr>
                <w:b/>
                <w:snapToGrid w:val="0"/>
                <w:color w:val="000000"/>
              </w:rPr>
              <w:t>$     2:636.000</w:t>
            </w:r>
          </w:p>
        </w:tc>
      </w:tr>
      <w:tr w:rsidR="004B479E" w:rsidRPr="00D61793" w:rsidTr="00B05D01">
        <w:trPr>
          <w:trHeight w:hRule="exact" w:val="340"/>
          <w:jc w:val="center"/>
        </w:trPr>
        <w:tc>
          <w:tcPr>
            <w:tcW w:w="4433" w:type="dxa"/>
          </w:tcPr>
          <w:p w:rsidR="004B479E" w:rsidRPr="00D61793" w:rsidRDefault="004B479E" w:rsidP="004B479E">
            <w:pPr>
              <w:keepNext/>
              <w:widowControl w:val="0"/>
              <w:suppressAutoHyphens w:val="0"/>
              <w:spacing w:line="360" w:lineRule="auto"/>
              <w:jc w:val="both"/>
              <w:rPr>
                <w:snapToGrid w:val="0"/>
                <w:color w:val="000000"/>
              </w:rPr>
            </w:pPr>
            <w:r w:rsidRPr="00D61793">
              <w:rPr>
                <w:snapToGrid w:val="0"/>
                <w:color w:val="000000"/>
              </w:rPr>
              <w:t>Menos</w:t>
            </w:r>
          </w:p>
        </w:tc>
        <w:tc>
          <w:tcPr>
            <w:tcW w:w="1928" w:type="dxa"/>
          </w:tcPr>
          <w:p w:rsidR="004B479E" w:rsidRPr="00D61793" w:rsidRDefault="004B479E" w:rsidP="004B479E">
            <w:pPr>
              <w:keepNext/>
              <w:widowControl w:val="0"/>
              <w:suppressAutoHyphens w:val="0"/>
              <w:spacing w:line="360" w:lineRule="auto"/>
              <w:jc w:val="center"/>
              <w:rPr>
                <w:snapToGrid w:val="0"/>
                <w:color w:val="000000"/>
              </w:rPr>
            </w:pPr>
          </w:p>
        </w:tc>
        <w:tc>
          <w:tcPr>
            <w:tcW w:w="1758" w:type="dxa"/>
          </w:tcPr>
          <w:p w:rsidR="004B479E" w:rsidRPr="00D61793" w:rsidRDefault="004B479E" w:rsidP="004B479E">
            <w:pPr>
              <w:keepNext/>
              <w:widowControl w:val="0"/>
              <w:suppressAutoHyphens w:val="0"/>
              <w:spacing w:line="360" w:lineRule="auto"/>
              <w:jc w:val="center"/>
              <w:rPr>
                <w:snapToGrid w:val="0"/>
                <w:color w:val="000000"/>
              </w:rPr>
            </w:pPr>
          </w:p>
        </w:tc>
      </w:tr>
      <w:tr w:rsidR="004B479E" w:rsidRPr="00D61793" w:rsidTr="00B05D01">
        <w:trPr>
          <w:trHeight w:hRule="exact" w:val="340"/>
          <w:jc w:val="center"/>
        </w:trPr>
        <w:tc>
          <w:tcPr>
            <w:tcW w:w="4433" w:type="dxa"/>
          </w:tcPr>
          <w:p w:rsidR="004B479E" w:rsidRPr="00D61793" w:rsidRDefault="004B479E" w:rsidP="004B479E">
            <w:pPr>
              <w:keepNext/>
              <w:widowControl w:val="0"/>
              <w:suppressAutoHyphens w:val="0"/>
              <w:spacing w:line="360" w:lineRule="auto"/>
              <w:jc w:val="both"/>
              <w:rPr>
                <w:snapToGrid w:val="0"/>
                <w:color w:val="000000"/>
              </w:rPr>
            </w:pPr>
            <w:r w:rsidRPr="00D61793">
              <w:rPr>
                <w:snapToGrid w:val="0"/>
                <w:color w:val="000000"/>
              </w:rPr>
              <w:t xml:space="preserve">Gastos ejecutados no pagados </w:t>
            </w:r>
          </w:p>
        </w:tc>
        <w:tc>
          <w:tcPr>
            <w:tcW w:w="1928" w:type="dxa"/>
          </w:tcPr>
          <w:p w:rsidR="004B479E" w:rsidRPr="00D61793" w:rsidRDefault="004B479E" w:rsidP="004B479E">
            <w:pPr>
              <w:keepNext/>
              <w:widowControl w:val="0"/>
              <w:suppressAutoHyphens w:val="0"/>
              <w:spacing w:line="360" w:lineRule="auto"/>
              <w:jc w:val="center"/>
              <w:rPr>
                <w:snapToGrid w:val="0"/>
                <w:color w:val="000000"/>
              </w:rPr>
            </w:pPr>
            <w:r w:rsidRPr="00D61793">
              <w:rPr>
                <w:snapToGrid w:val="0"/>
                <w:color w:val="000000"/>
              </w:rPr>
              <w:t>$        (317.161)</w:t>
            </w:r>
          </w:p>
        </w:tc>
        <w:tc>
          <w:tcPr>
            <w:tcW w:w="1758" w:type="dxa"/>
          </w:tcPr>
          <w:p w:rsidR="004B479E" w:rsidRPr="00D61793" w:rsidRDefault="004B479E" w:rsidP="004B479E">
            <w:pPr>
              <w:keepNext/>
              <w:widowControl w:val="0"/>
              <w:suppressAutoHyphens w:val="0"/>
              <w:spacing w:line="360" w:lineRule="auto"/>
              <w:jc w:val="center"/>
              <w:rPr>
                <w:snapToGrid w:val="0"/>
                <w:color w:val="000000"/>
              </w:rPr>
            </w:pPr>
          </w:p>
        </w:tc>
      </w:tr>
      <w:tr w:rsidR="004B479E" w:rsidRPr="00D61793" w:rsidTr="00B05D01">
        <w:trPr>
          <w:trHeight w:hRule="exact" w:val="340"/>
          <w:jc w:val="center"/>
        </w:trPr>
        <w:tc>
          <w:tcPr>
            <w:tcW w:w="4433" w:type="dxa"/>
          </w:tcPr>
          <w:p w:rsidR="004B479E" w:rsidRPr="00D61793" w:rsidRDefault="004B479E" w:rsidP="004B479E">
            <w:pPr>
              <w:keepNext/>
              <w:widowControl w:val="0"/>
              <w:suppressAutoHyphens w:val="0"/>
              <w:spacing w:line="360" w:lineRule="auto"/>
              <w:jc w:val="both"/>
              <w:rPr>
                <w:snapToGrid w:val="0"/>
                <w:color w:val="000000"/>
              </w:rPr>
            </w:pPr>
            <w:r w:rsidRPr="00D61793">
              <w:rPr>
                <w:snapToGrid w:val="0"/>
                <w:color w:val="000000"/>
              </w:rPr>
              <w:t xml:space="preserve">Indisponibles                        </w:t>
            </w:r>
          </w:p>
        </w:tc>
        <w:tc>
          <w:tcPr>
            <w:tcW w:w="1928" w:type="dxa"/>
          </w:tcPr>
          <w:p w:rsidR="004B479E" w:rsidRPr="00D61793" w:rsidRDefault="004B479E" w:rsidP="004B479E">
            <w:pPr>
              <w:keepNext/>
              <w:widowControl w:val="0"/>
              <w:suppressAutoHyphens w:val="0"/>
              <w:spacing w:line="360" w:lineRule="auto"/>
              <w:rPr>
                <w:snapToGrid w:val="0"/>
                <w:color w:val="000000"/>
              </w:rPr>
            </w:pPr>
            <w:r w:rsidRPr="00D61793">
              <w:rPr>
                <w:snapToGrid w:val="0"/>
                <w:color w:val="000000"/>
              </w:rPr>
              <w:t xml:space="preserve"> $        (175.022) (175.022)222nnnnn1111111(11117(175.0225.0022236.395 )</w:t>
            </w:r>
          </w:p>
        </w:tc>
        <w:tc>
          <w:tcPr>
            <w:tcW w:w="1758" w:type="dxa"/>
          </w:tcPr>
          <w:p w:rsidR="004B479E" w:rsidRPr="00D61793" w:rsidRDefault="004B479E" w:rsidP="004B479E">
            <w:pPr>
              <w:keepNext/>
              <w:widowControl w:val="0"/>
              <w:suppressAutoHyphens w:val="0"/>
              <w:spacing w:line="360" w:lineRule="auto"/>
              <w:jc w:val="center"/>
              <w:rPr>
                <w:b/>
                <w:snapToGrid w:val="0"/>
                <w:color w:val="000000"/>
              </w:rPr>
            </w:pPr>
            <w:r w:rsidRPr="00D61793">
              <w:rPr>
                <w:b/>
                <w:snapToGrid w:val="0"/>
                <w:color w:val="000000"/>
              </w:rPr>
              <w:t xml:space="preserve">$ </w:t>
            </w:r>
            <w:r w:rsidRPr="00D61793">
              <w:rPr>
                <w:snapToGrid w:val="0"/>
                <w:color w:val="000000"/>
              </w:rPr>
              <w:t xml:space="preserve">     </w:t>
            </w:r>
            <w:r w:rsidRPr="00D61793">
              <w:rPr>
                <w:b/>
                <w:snapToGrid w:val="0"/>
                <w:color w:val="000000"/>
              </w:rPr>
              <w:t>( 492.183)</w:t>
            </w:r>
          </w:p>
        </w:tc>
      </w:tr>
      <w:tr w:rsidR="004B479E" w:rsidRPr="00D61793" w:rsidTr="00B05D01">
        <w:trPr>
          <w:trHeight w:hRule="exact" w:val="340"/>
          <w:jc w:val="center"/>
        </w:trPr>
        <w:tc>
          <w:tcPr>
            <w:tcW w:w="4433" w:type="dxa"/>
          </w:tcPr>
          <w:p w:rsidR="004B479E" w:rsidRPr="00D61793" w:rsidRDefault="004B479E" w:rsidP="004B479E">
            <w:pPr>
              <w:keepNext/>
              <w:widowControl w:val="0"/>
              <w:suppressAutoHyphens w:val="0"/>
              <w:spacing w:line="360" w:lineRule="auto"/>
              <w:jc w:val="both"/>
              <w:rPr>
                <w:b/>
                <w:snapToGrid w:val="0"/>
                <w:color w:val="000000"/>
              </w:rPr>
            </w:pPr>
            <w:r w:rsidRPr="00D61793">
              <w:rPr>
                <w:b/>
                <w:snapToGrid w:val="0"/>
                <w:color w:val="000000"/>
              </w:rPr>
              <w:t xml:space="preserve">Saldo a favor de la Intendencia  </w:t>
            </w:r>
          </w:p>
        </w:tc>
        <w:tc>
          <w:tcPr>
            <w:tcW w:w="1928" w:type="dxa"/>
          </w:tcPr>
          <w:p w:rsidR="004B479E" w:rsidRPr="00D61793" w:rsidRDefault="004B479E" w:rsidP="004B479E">
            <w:pPr>
              <w:keepNext/>
              <w:widowControl w:val="0"/>
              <w:suppressAutoHyphens w:val="0"/>
              <w:spacing w:line="360" w:lineRule="auto"/>
              <w:jc w:val="center"/>
              <w:rPr>
                <w:b/>
                <w:bCs/>
                <w:snapToGrid w:val="0"/>
                <w:color w:val="000000"/>
              </w:rPr>
            </w:pPr>
          </w:p>
        </w:tc>
        <w:tc>
          <w:tcPr>
            <w:tcW w:w="1758" w:type="dxa"/>
          </w:tcPr>
          <w:p w:rsidR="004B479E" w:rsidRPr="00D61793" w:rsidRDefault="004B479E" w:rsidP="004B479E">
            <w:pPr>
              <w:keepNext/>
              <w:widowControl w:val="0"/>
              <w:suppressAutoHyphens w:val="0"/>
              <w:spacing w:line="360" w:lineRule="auto"/>
              <w:rPr>
                <w:b/>
                <w:bCs/>
                <w:snapToGrid w:val="0"/>
                <w:color w:val="000000"/>
              </w:rPr>
            </w:pPr>
            <w:r w:rsidRPr="00D61793">
              <w:rPr>
                <w:b/>
                <w:bCs/>
                <w:snapToGrid w:val="0"/>
                <w:color w:val="000000"/>
              </w:rPr>
              <w:t>$       2:143.817  2:143.8172</w:t>
            </w:r>
          </w:p>
        </w:tc>
      </w:tr>
    </w:tbl>
    <w:p w:rsidR="004B479E" w:rsidRPr="00D61793" w:rsidRDefault="004B479E" w:rsidP="004B479E">
      <w:pPr>
        <w:keepNext/>
        <w:widowControl w:val="0"/>
        <w:suppressAutoHyphens w:val="0"/>
        <w:spacing w:line="360" w:lineRule="auto"/>
        <w:jc w:val="both"/>
      </w:pPr>
      <w:bookmarkStart w:id="14" w:name="_Toc278970134"/>
      <w:bookmarkStart w:id="15" w:name="_Toc331077632"/>
      <w:bookmarkStart w:id="16" w:name="_Toc411241472"/>
    </w:p>
    <w:p w:rsidR="004B479E" w:rsidRPr="00D61793" w:rsidRDefault="004B479E" w:rsidP="004B479E">
      <w:pPr>
        <w:keepNext/>
        <w:widowControl w:val="0"/>
        <w:suppressAutoHyphens w:val="0"/>
        <w:spacing w:line="360" w:lineRule="auto"/>
        <w:jc w:val="both"/>
        <w:outlineLvl w:val="1"/>
        <w:rPr>
          <w:b/>
          <w:kern w:val="18"/>
        </w:rPr>
      </w:pPr>
      <w:r w:rsidRPr="00D61793">
        <w:rPr>
          <w:b/>
          <w:kern w:val="18"/>
        </w:rPr>
        <w:t>3 Constataciones que no afectan la opinión de los estados</w:t>
      </w:r>
      <w:bookmarkEnd w:id="14"/>
      <w:bookmarkEnd w:id="15"/>
      <w:bookmarkEnd w:id="16"/>
    </w:p>
    <w:p w:rsidR="004B479E" w:rsidRPr="00D61793" w:rsidRDefault="004B479E" w:rsidP="004B479E">
      <w:pPr>
        <w:keepNext/>
        <w:widowControl w:val="0"/>
        <w:suppressAutoHyphens w:val="0"/>
        <w:spacing w:line="360" w:lineRule="auto"/>
        <w:jc w:val="both"/>
        <w:outlineLvl w:val="1"/>
        <w:rPr>
          <w:b/>
          <w:kern w:val="18"/>
        </w:rPr>
      </w:pPr>
      <w:bookmarkStart w:id="17" w:name="_Toc411241473"/>
      <w:r w:rsidRPr="00D61793">
        <w:rPr>
          <w:b/>
          <w:kern w:val="18"/>
        </w:rPr>
        <w:t>3.1 Disponibilidades</w:t>
      </w:r>
      <w:bookmarkEnd w:id="17"/>
    </w:p>
    <w:p w:rsidR="004B479E" w:rsidRPr="00D61793" w:rsidRDefault="004B479E" w:rsidP="004B479E">
      <w:pPr>
        <w:keepNext/>
        <w:widowControl w:val="0"/>
        <w:suppressAutoHyphens w:val="0"/>
        <w:spacing w:line="360" w:lineRule="auto"/>
        <w:jc w:val="both"/>
        <w:rPr>
          <w:lang w:val="es-UY"/>
        </w:rPr>
      </w:pPr>
      <w:bookmarkStart w:id="18" w:name="_Toc411241474"/>
      <w:r w:rsidRPr="00D61793">
        <w:rPr>
          <w:b/>
          <w:lang w:val="es-UY"/>
        </w:rPr>
        <w:t>3.1.1</w:t>
      </w:r>
      <w:r w:rsidRPr="00D61793">
        <w:rPr>
          <w:lang w:val="es-UY"/>
        </w:rPr>
        <w:t xml:space="preserve"> </w:t>
      </w:r>
      <w:r w:rsidRPr="00D61793">
        <w:t xml:space="preserve">Analizadas las conciliaciones bancarias </w:t>
      </w:r>
      <w:r w:rsidRPr="00D61793">
        <w:rPr>
          <w:lang w:val="es-UY"/>
        </w:rPr>
        <w:t xml:space="preserve">al 30/05/2014 </w:t>
      </w:r>
      <w:r w:rsidRPr="00D61793">
        <w:t>se constataron partidas conciliatorias con antigüedad superior a cinco años totalizando un importe de $ 96.540</w:t>
      </w:r>
      <w:r w:rsidRPr="00D61793">
        <w:rPr>
          <w:lang w:val="es-UY"/>
        </w:rPr>
        <w:t xml:space="preserve">, mientras que al 30/09/2014 la cifra disminuyó  a </w:t>
      </w:r>
      <w:r w:rsidRPr="00D61793">
        <w:t xml:space="preserve"> </w:t>
      </w:r>
      <w:r w:rsidRPr="00D61793">
        <w:rPr>
          <w:lang w:val="es-UY"/>
        </w:rPr>
        <w:t>$ 46.717, aunque la ant</w:t>
      </w:r>
      <w:r w:rsidR="00E94DFA">
        <w:rPr>
          <w:lang w:val="es-UY"/>
        </w:rPr>
        <w:t>igüedad sigue siendo relevante.</w:t>
      </w:r>
    </w:p>
    <w:p w:rsidR="004B479E" w:rsidRPr="00D61793" w:rsidRDefault="004B479E" w:rsidP="004B479E">
      <w:pPr>
        <w:keepNext/>
        <w:widowControl w:val="0"/>
        <w:suppressAutoHyphens w:val="0"/>
        <w:spacing w:line="360" w:lineRule="auto"/>
        <w:jc w:val="both"/>
        <w:rPr>
          <w:lang w:val="es-UY"/>
        </w:rPr>
      </w:pPr>
      <w:r w:rsidRPr="00D61793">
        <w:rPr>
          <w:lang w:val="es-UY"/>
        </w:rPr>
        <w:t>Al 30/12/2014,</w:t>
      </w:r>
      <w:r>
        <w:rPr>
          <w:lang w:val="es-UY"/>
        </w:rPr>
        <w:t xml:space="preserve"> fecha de cierre del E</w:t>
      </w:r>
      <w:r w:rsidRPr="00D61793">
        <w:rPr>
          <w:lang w:val="es-UY"/>
        </w:rPr>
        <w:t>jercicio, se verificó que las partidas conciliatorias que permanecen pendientes de subsanar son las originadas en el p</w:t>
      </w:r>
      <w:r w:rsidR="00E94DFA">
        <w:rPr>
          <w:lang w:val="es-UY"/>
        </w:rPr>
        <w:t>eriodo 2009 - 2011 por $ 3.690.</w:t>
      </w:r>
    </w:p>
    <w:p w:rsidR="004B479E" w:rsidRPr="00D61793" w:rsidRDefault="004B479E" w:rsidP="004B479E">
      <w:pPr>
        <w:keepNext/>
        <w:widowControl w:val="0"/>
        <w:suppressAutoHyphens w:val="0"/>
        <w:spacing w:line="360" w:lineRule="auto"/>
        <w:jc w:val="both"/>
        <w:rPr>
          <w:lang w:val="es-UY"/>
        </w:rPr>
      </w:pPr>
    </w:p>
    <w:p w:rsidR="004B479E" w:rsidRPr="00D61793" w:rsidRDefault="004B479E" w:rsidP="004B479E">
      <w:pPr>
        <w:keepNext/>
        <w:widowControl w:val="0"/>
        <w:suppressAutoHyphens w:val="0"/>
        <w:spacing w:line="360" w:lineRule="auto"/>
        <w:jc w:val="both"/>
        <w:rPr>
          <w:lang w:val="es-ES_tradnl"/>
        </w:rPr>
      </w:pPr>
      <w:r w:rsidRPr="00D61793">
        <w:rPr>
          <w:b/>
          <w:lang w:val="es-ES_tradnl"/>
        </w:rPr>
        <w:t>3.1.2</w:t>
      </w:r>
      <w:r w:rsidRPr="00D61793">
        <w:rPr>
          <w:lang w:val="es-ES_tradnl"/>
        </w:rPr>
        <w:t xml:space="preserve"> No se incluyeron en los Estados Contables las cuentas del BROU Nº 158-1539-3 y Nº 158-1538-5 cuyos saldos al 31/12/2014 ascienden a $ 7.508</w:t>
      </w:r>
      <w:r>
        <w:rPr>
          <w:lang w:val="es-ES_tradnl"/>
        </w:rPr>
        <w:t xml:space="preserve"> y $</w:t>
      </w:r>
      <w:r w:rsidRPr="00D61793">
        <w:rPr>
          <w:lang w:val="es-ES_tradnl"/>
        </w:rPr>
        <w:t>1.601 respectivamente, las cuales son utilizadas para el depósito de las retenciones efectuadas a los funcionarios por préstamos del BROU.</w:t>
      </w:r>
    </w:p>
    <w:p w:rsidR="004B479E" w:rsidRPr="00D61793" w:rsidRDefault="004B479E" w:rsidP="004B479E">
      <w:pPr>
        <w:keepNext/>
        <w:widowControl w:val="0"/>
        <w:suppressAutoHyphens w:val="0"/>
        <w:spacing w:line="360" w:lineRule="auto"/>
        <w:jc w:val="both"/>
        <w:rPr>
          <w:b/>
          <w:lang w:val="es-ES_tradnl"/>
        </w:rPr>
      </w:pPr>
    </w:p>
    <w:p w:rsidR="004B479E" w:rsidRPr="00D61793" w:rsidRDefault="004B479E" w:rsidP="004B479E">
      <w:pPr>
        <w:keepNext/>
        <w:widowControl w:val="0"/>
        <w:suppressAutoHyphens w:val="0"/>
        <w:spacing w:line="360" w:lineRule="auto"/>
        <w:jc w:val="both"/>
        <w:rPr>
          <w:bCs/>
          <w:kern w:val="1"/>
          <w:lang w:val="es-ES_tradnl" w:eastAsia="x-none"/>
        </w:rPr>
      </w:pPr>
      <w:r w:rsidRPr="00D61793">
        <w:rPr>
          <w:b/>
          <w:lang w:val="es-ES_tradnl"/>
        </w:rPr>
        <w:t>3.1.3</w:t>
      </w:r>
      <w:r w:rsidRPr="00D61793">
        <w:rPr>
          <w:lang w:val="es-ES_tradnl"/>
        </w:rPr>
        <w:t xml:space="preserve"> </w:t>
      </w:r>
      <w:r w:rsidRPr="00D61793">
        <w:rPr>
          <w:bCs/>
          <w:kern w:val="1"/>
          <w:lang w:val="es-ES_tradnl" w:eastAsia="x-none"/>
        </w:rPr>
        <w:t xml:space="preserve">No se proporcionó la documentación relacionada con la creación de una caja “departamento Caja traslado” por un valor de $ 50.000. Además, no se incluyó en el documento presentado el arqueo correspondiente a dichos fondos.  </w:t>
      </w:r>
    </w:p>
    <w:p w:rsidR="004B479E" w:rsidRPr="00D61793" w:rsidRDefault="004B479E" w:rsidP="004B479E">
      <w:pPr>
        <w:keepNext/>
        <w:widowControl w:val="0"/>
        <w:suppressAutoHyphens w:val="0"/>
        <w:spacing w:line="360" w:lineRule="auto"/>
        <w:jc w:val="both"/>
        <w:outlineLvl w:val="1"/>
        <w:rPr>
          <w:b/>
          <w:kern w:val="18"/>
        </w:rPr>
      </w:pPr>
      <w:r w:rsidRPr="00D61793">
        <w:rPr>
          <w:b/>
          <w:kern w:val="18"/>
        </w:rPr>
        <w:t>3.2 Ejecución por tipo de Gasto (Estado 3.3.3)</w:t>
      </w:r>
    </w:p>
    <w:p w:rsidR="004B479E" w:rsidRPr="00D61793" w:rsidRDefault="004B479E" w:rsidP="004B479E">
      <w:pPr>
        <w:keepNext/>
        <w:widowControl w:val="0"/>
        <w:suppressAutoHyphens w:val="0"/>
        <w:spacing w:line="360" w:lineRule="auto"/>
        <w:jc w:val="both"/>
        <w:rPr>
          <w:lang w:val="es-ES_tradnl"/>
        </w:rPr>
      </w:pPr>
      <w:r w:rsidRPr="00D61793">
        <w:rPr>
          <w:lang w:val="es-ES_tradnl"/>
        </w:rPr>
        <w:t>Dentro del grupo “Retribuciones personales” se presenta ejecutado un importe de $ 18:901.084, resultando un exceso de dichos gastos por $ 785.812, los cuales no fueron observados por el Contado Delegado.</w:t>
      </w:r>
    </w:p>
    <w:p w:rsidR="004B479E" w:rsidRPr="00D61793" w:rsidRDefault="004B479E" w:rsidP="004B479E">
      <w:pPr>
        <w:keepNext/>
        <w:widowControl w:val="0"/>
        <w:suppressAutoHyphens w:val="0"/>
        <w:spacing w:line="360" w:lineRule="auto"/>
        <w:jc w:val="both"/>
        <w:outlineLvl w:val="1"/>
        <w:rPr>
          <w:b/>
          <w:kern w:val="18"/>
        </w:rPr>
      </w:pPr>
    </w:p>
    <w:p w:rsidR="004B479E" w:rsidRPr="00D61793" w:rsidRDefault="004B479E" w:rsidP="004B479E">
      <w:pPr>
        <w:keepNext/>
        <w:widowControl w:val="0"/>
        <w:suppressAutoHyphens w:val="0"/>
        <w:spacing w:line="360" w:lineRule="auto"/>
        <w:jc w:val="both"/>
        <w:outlineLvl w:val="1"/>
        <w:rPr>
          <w:b/>
          <w:kern w:val="18"/>
        </w:rPr>
      </w:pPr>
      <w:r w:rsidRPr="00D61793">
        <w:rPr>
          <w:b/>
          <w:kern w:val="18"/>
        </w:rPr>
        <w:t>3.3</w:t>
      </w:r>
      <w:r w:rsidRPr="00D61793">
        <w:rPr>
          <w:b/>
          <w:bCs/>
          <w:kern w:val="18"/>
        </w:rPr>
        <w:t xml:space="preserve"> </w:t>
      </w:r>
      <w:bookmarkStart w:id="19" w:name="__RefHeading__13_1784722644"/>
      <w:bookmarkStart w:id="20" w:name="__RefHeading__15_1784722644"/>
      <w:bookmarkEnd w:id="19"/>
      <w:bookmarkEnd w:id="20"/>
      <w:r w:rsidRPr="00D61793">
        <w:rPr>
          <w:b/>
          <w:kern w:val="18"/>
        </w:rPr>
        <w:t>Retenciones IRPF</w:t>
      </w:r>
      <w:bookmarkEnd w:id="18"/>
    </w:p>
    <w:p w:rsidR="004B479E" w:rsidRPr="00D61793" w:rsidRDefault="004B479E" w:rsidP="004B479E">
      <w:pPr>
        <w:keepNext/>
        <w:widowControl w:val="0"/>
        <w:suppressAutoHyphens w:val="0"/>
        <w:spacing w:line="360" w:lineRule="auto"/>
        <w:jc w:val="both"/>
      </w:pPr>
      <w:r w:rsidRPr="00D61793">
        <w:t xml:space="preserve">La Junta Departamental no concilia regularmente las retenciones que efectúa a sus funcionarios por concepto de IRPF con los pagos realizados al Banco de Previsión Social, constatándose diferencias en el cálculo de dicho impuesto. </w:t>
      </w:r>
      <w:bookmarkStart w:id="21" w:name="_Toc411241475"/>
      <w:r w:rsidRPr="00D61793">
        <w:t xml:space="preserve">En </w:t>
      </w:r>
      <w:r w:rsidRPr="00D61793">
        <w:rPr>
          <w:spacing w:val="12"/>
        </w:rPr>
        <w:t>el Estado Nº 12 Fondos Indisponibles se presenta un saldo a pagar de $ 40.576</w:t>
      </w:r>
      <w:r w:rsidRPr="00D61793">
        <w:t xml:space="preserve"> cuando el boleto de pago al BPS correspondiente a las obligaciones de diciembre 2015 es de $ 87.262.</w:t>
      </w:r>
    </w:p>
    <w:p w:rsidR="004B479E" w:rsidRPr="00D61793" w:rsidRDefault="004B479E" w:rsidP="004B479E">
      <w:pPr>
        <w:keepNext/>
        <w:widowControl w:val="0"/>
        <w:suppressAutoHyphens w:val="0"/>
        <w:spacing w:line="360" w:lineRule="auto"/>
        <w:jc w:val="both"/>
        <w:outlineLvl w:val="1"/>
        <w:rPr>
          <w:b/>
          <w:kern w:val="18"/>
        </w:rPr>
      </w:pPr>
    </w:p>
    <w:p w:rsidR="004B479E" w:rsidRPr="00D61793" w:rsidRDefault="004B479E" w:rsidP="004B479E">
      <w:pPr>
        <w:keepNext/>
        <w:widowControl w:val="0"/>
        <w:suppressAutoHyphens w:val="0"/>
        <w:spacing w:line="360" w:lineRule="auto"/>
        <w:jc w:val="both"/>
        <w:outlineLvl w:val="1"/>
        <w:rPr>
          <w:kern w:val="18"/>
        </w:rPr>
      </w:pPr>
      <w:r w:rsidRPr="00D61793">
        <w:rPr>
          <w:b/>
          <w:kern w:val="18"/>
        </w:rPr>
        <w:t>3.4 Fondos indisponibles</w:t>
      </w:r>
      <w:bookmarkEnd w:id="21"/>
    </w:p>
    <w:p w:rsidR="004B479E" w:rsidRPr="00D61793" w:rsidRDefault="004B479E" w:rsidP="004B479E">
      <w:pPr>
        <w:keepNext/>
        <w:widowControl w:val="0"/>
        <w:suppressAutoHyphens w:val="0"/>
        <w:spacing w:line="360" w:lineRule="auto"/>
        <w:jc w:val="both"/>
      </w:pPr>
      <w:r w:rsidRPr="00D61793">
        <w:t>En la cuenta “COPOLAC” (Cooperativa Policial de Ahorro y Crédito) se expone un saldo a favor de la Junta al 31/12/2014 de $ 154.143  y en enero de</w:t>
      </w:r>
      <w:r>
        <w:t xml:space="preserve"> 2015 se abonó, como saldo del E</w:t>
      </w:r>
      <w:r w:rsidRPr="00D61793">
        <w:t>jercicio</w:t>
      </w:r>
      <w:r w:rsidR="00E94DFA">
        <w:t xml:space="preserve"> 2014, un importe de $  24.750.</w:t>
      </w:r>
    </w:p>
    <w:p w:rsidR="004B479E" w:rsidRPr="00D61793" w:rsidRDefault="004B479E" w:rsidP="004B479E">
      <w:pPr>
        <w:keepNext/>
        <w:widowControl w:val="0"/>
        <w:suppressAutoHyphens w:val="0"/>
        <w:spacing w:line="360" w:lineRule="auto"/>
        <w:jc w:val="both"/>
      </w:pPr>
      <w:r w:rsidRPr="00D61793">
        <w:t>También en la cuenta “CACCSOE” (Cooperativa de Ahorro y Crédito del Personal Subalterno de las Fuerzas Armadas) se presenta como saldo a favor de la Junta un valor de $ 147.632, mientras que en enero de 2015 se abonó un importe de $ 32.232.</w:t>
      </w:r>
    </w:p>
    <w:p w:rsidR="004B479E" w:rsidRPr="00D61793" w:rsidRDefault="004B479E" w:rsidP="004B479E">
      <w:pPr>
        <w:keepNext/>
        <w:widowControl w:val="0"/>
        <w:suppressAutoHyphens w:val="0"/>
        <w:spacing w:line="360" w:lineRule="auto"/>
        <w:jc w:val="both"/>
        <w:outlineLvl w:val="1"/>
        <w:rPr>
          <w:b/>
          <w:kern w:val="18"/>
        </w:rPr>
      </w:pPr>
      <w:bookmarkStart w:id="22" w:name="_Toc411241476"/>
    </w:p>
    <w:p w:rsidR="004B479E" w:rsidRPr="00D61793" w:rsidRDefault="004B479E" w:rsidP="004B479E">
      <w:pPr>
        <w:keepNext/>
        <w:widowControl w:val="0"/>
        <w:suppressAutoHyphens w:val="0"/>
        <w:spacing w:line="360" w:lineRule="auto"/>
        <w:jc w:val="both"/>
        <w:outlineLvl w:val="1"/>
        <w:rPr>
          <w:b/>
          <w:kern w:val="18"/>
        </w:rPr>
      </w:pPr>
      <w:r w:rsidRPr="00D61793">
        <w:rPr>
          <w:b/>
          <w:kern w:val="18"/>
        </w:rPr>
        <w:t xml:space="preserve">3.5 Bonificación Buen Pagador BPS - Ley Nº </w:t>
      </w:r>
      <w:r w:rsidRPr="00D61793">
        <w:rPr>
          <w:b/>
          <w:bCs/>
          <w:kern w:val="18"/>
        </w:rPr>
        <w:t>17.963</w:t>
      </w:r>
      <w:bookmarkEnd w:id="22"/>
    </w:p>
    <w:p w:rsidR="004B479E" w:rsidRPr="00D61793" w:rsidRDefault="004B479E" w:rsidP="004B479E">
      <w:pPr>
        <w:keepNext/>
        <w:widowControl w:val="0"/>
        <w:suppressAutoHyphens w:val="0"/>
        <w:spacing w:line="360" w:lineRule="auto"/>
        <w:jc w:val="both"/>
      </w:pPr>
      <w:r w:rsidRPr="00D61793">
        <w:t xml:space="preserve">La bonificación por buen pagador otorgada por el BPS en el mes de diciembre de 2014, se encuentra contabilizada como disminución del objeto “Aportes Patronales”, por un importe de $ 30.169, cuando correspondía haberse  registrado como un ingreso del </w:t>
      </w:r>
      <w:r>
        <w:t>E</w:t>
      </w:r>
      <w:r w:rsidRPr="00D61793">
        <w:t>jercicio.</w:t>
      </w:r>
    </w:p>
    <w:p w:rsidR="004B479E" w:rsidRPr="00D61793" w:rsidRDefault="004B479E" w:rsidP="004B479E">
      <w:pPr>
        <w:keepNext/>
        <w:widowControl w:val="0"/>
        <w:suppressAutoHyphens w:val="0"/>
        <w:spacing w:line="360" w:lineRule="auto"/>
        <w:jc w:val="both"/>
        <w:outlineLvl w:val="1"/>
        <w:rPr>
          <w:b/>
          <w:kern w:val="18"/>
        </w:rPr>
      </w:pPr>
      <w:bookmarkStart w:id="23" w:name="_Toc278970138"/>
      <w:bookmarkStart w:id="24" w:name="_Toc331077636"/>
      <w:bookmarkStart w:id="25" w:name="_Toc411241477"/>
    </w:p>
    <w:p w:rsidR="004B479E" w:rsidRPr="00D61793" w:rsidRDefault="004B479E" w:rsidP="004B479E">
      <w:pPr>
        <w:keepNext/>
        <w:widowControl w:val="0"/>
        <w:suppressAutoHyphens w:val="0"/>
        <w:spacing w:line="360" w:lineRule="auto"/>
        <w:jc w:val="both"/>
        <w:outlineLvl w:val="1"/>
        <w:rPr>
          <w:b/>
          <w:kern w:val="18"/>
        </w:rPr>
      </w:pPr>
      <w:r w:rsidRPr="00D61793">
        <w:rPr>
          <w:b/>
          <w:kern w:val="18"/>
        </w:rPr>
        <w:t>3.6 Conciliación de saldos</w:t>
      </w:r>
    </w:p>
    <w:p w:rsidR="004B479E" w:rsidRPr="00D61793" w:rsidRDefault="004B479E" w:rsidP="004B479E">
      <w:pPr>
        <w:keepNext/>
        <w:widowControl w:val="0"/>
        <w:suppressAutoHyphens w:val="0"/>
        <w:spacing w:line="360" w:lineRule="auto"/>
        <w:jc w:val="both"/>
      </w:pPr>
      <w:r>
        <w:t>Al igual que en E</w:t>
      </w:r>
      <w:r w:rsidRPr="00D61793">
        <w:t xml:space="preserve">jercicios anteriores, la Junta realizó conciliaciones de las partidas recibidas entre sus registros y los de la Intendencia. Según la Corporación, se recibieron $ 26:344.437 mientras que la información obtenida de </w:t>
      </w:r>
      <w:r w:rsidRPr="00D61793">
        <w:rPr>
          <w:spacing w:val="-10"/>
        </w:rPr>
        <w:t xml:space="preserve">los registros y del documento de Rendición de la Intendencia resulta como pagado un importe de $ 26:342.683. Por lo expuesto, se constata una </w:t>
      </w:r>
      <w:r w:rsidRPr="00D61793">
        <w:t xml:space="preserve"> diferencia de $ 1.754, impor</w:t>
      </w:r>
      <w:r w:rsidR="00E94DFA">
        <w:t>te que carece de materialidad.</w:t>
      </w:r>
    </w:p>
    <w:p w:rsidR="004B479E" w:rsidRPr="00D61793" w:rsidRDefault="004B479E" w:rsidP="004B479E">
      <w:pPr>
        <w:keepNext/>
        <w:widowControl w:val="0"/>
        <w:suppressAutoHyphens w:val="0"/>
        <w:spacing w:line="360" w:lineRule="auto"/>
        <w:jc w:val="both"/>
        <w:outlineLvl w:val="1"/>
        <w:rPr>
          <w:b/>
          <w:kern w:val="18"/>
        </w:rPr>
      </w:pPr>
    </w:p>
    <w:p w:rsidR="004B479E" w:rsidRPr="00D61793" w:rsidRDefault="004B479E" w:rsidP="004B479E">
      <w:pPr>
        <w:keepNext/>
        <w:widowControl w:val="0"/>
        <w:suppressAutoHyphens w:val="0"/>
        <w:spacing w:line="360" w:lineRule="auto"/>
        <w:jc w:val="both"/>
        <w:outlineLvl w:val="1"/>
        <w:rPr>
          <w:b/>
          <w:kern w:val="18"/>
        </w:rPr>
      </w:pPr>
      <w:r w:rsidRPr="00D61793">
        <w:rPr>
          <w:b/>
          <w:kern w:val="18"/>
        </w:rPr>
        <w:t xml:space="preserve">4 Incumplimiento </w:t>
      </w:r>
      <w:bookmarkEnd w:id="23"/>
      <w:r w:rsidRPr="00D61793">
        <w:rPr>
          <w:b/>
          <w:kern w:val="18"/>
        </w:rPr>
        <w:t>de normas</w:t>
      </w:r>
      <w:bookmarkEnd w:id="24"/>
      <w:bookmarkEnd w:id="25"/>
    </w:p>
    <w:p w:rsidR="004B479E" w:rsidRPr="00D61793" w:rsidRDefault="004B479E" w:rsidP="004B479E">
      <w:pPr>
        <w:keepNext/>
        <w:widowControl w:val="0"/>
        <w:suppressAutoHyphens w:val="0"/>
        <w:spacing w:line="360" w:lineRule="auto"/>
        <w:jc w:val="both"/>
      </w:pPr>
      <w:r w:rsidRPr="00D61793">
        <w:t>Con relación al incumplimiento de las normas aplicables, corresponde realizar las siguientes precisiones:</w:t>
      </w:r>
    </w:p>
    <w:p w:rsidR="004B479E" w:rsidRPr="00D61793" w:rsidRDefault="004B479E" w:rsidP="004B479E">
      <w:pPr>
        <w:keepNext/>
        <w:widowControl w:val="0"/>
        <w:suppressAutoHyphens w:val="0"/>
        <w:spacing w:line="360" w:lineRule="auto"/>
        <w:jc w:val="both"/>
        <w:rPr>
          <w:b/>
        </w:rPr>
      </w:pPr>
    </w:p>
    <w:p w:rsidR="004B479E" w:rsidRPr="00D61793" w:rsidRDefault="004B479E" w:rsidP="004B479E">
      <w:pPr>
        <w:keepNext/>
        <w:widowControl w:val="0"/>
        <w:numPr>
          <w:ilvl w:val="1"/>
          <w:numId w:val="3"/>
        </w:numPr>
        <w:suppressAutoHyphens w:val="0"/>
        <w:spacing w:line="360" w:lineRule="auto"/>
        <w:contextualSpacing/>
        <w:jc w:val="both"/>
        <w:rPr>
          <w:b/>
          <w:snapToGrid w:val="0"/>
        </w:rPr>
      </w:pPr>
      <w:r w:rsidRPr="00D61793">
        <w:rPr>
          <w:b/>
          <w:snapToGrid w:val="0"/>
        </w:rPr>
        <w:t>Artículo 211 Literal B) de l</w:t>
      </w:r>
      <w:r w:rsidR="00E94DFA">
        <w:rPr>
          <w:b/>
          <w:snapToGrid w:val="0"/>
        </w:rPr>
        <w:t>a Constitución de la República:</w:t>
      </w:r>
    </w:p>
    <w:p w:rsidR="004B479E" w:rsidRPr="00D61793" w:rsidRDefault="004B479E" w:rsidP="004B479E">
      <w:pPr>
        <w:keepNext/>
        <w:widowControl w:val="0"/>
        <w:suppressAutoHyphens w:val="0"/>
        <w:spacing w:line="360" w:lineRule="auto"/>
        <w:jc w:val="both"/>
        <w:rPr>
          <w:color w:val="000000"/>
        </w:rPr>
      </w:pPr>
      <w:r w:rsidRPr="00D61793">
        <w:rPr>
          <w:snapToGrid w:val="0"/>
        </w:rPr>
        <w:t xml:space="preserve">Se ejecutaron y se pagaron gastos sin haber sido intervenidos preventivamente por el Tribunal de Cuentas o el Contador Delegado en su caso. </w:t>
      </w:r>
      <w:r w:rsidRPr="00D61793">
        <w:rPr>
          <w:color w:val="000000"/>
        </w:rPr>
        <w:t>A continuación se adjunta cuadro con algunas de las órdenes referidas:</w:t>
      </w:r>
    </w:p>
    <w:tbl>
      <w:tblPr>
        <w:tblW w:w="4040" w:type="dxa"/>
        <w:tblInd w:w="55" w:type="dxa"/>
        <w:tblCellMar>
          <w:left w:w="70" w:type="dxa"/>
          <w:right w:w="70" w:type="dxa"/>
        </w:tblCellMar>
        <w:tblLook w:val="04A0" w:firstRow="1" w:lastRow="0" w:firstColumn="1" w:lastColumn="0" w:noHBand="0" w:noVBand="1"/>
      </w:tblPr>
      <w:tblGrid>
        <w:gridCol w:w="1200"/>
        <w:gridCol w:w="1200"/>
        <w:gridCol w:w="1640"/>
      </w:tblGrid>
      <w:tr w:rsidR="004B479E" w:rsidRPr="00D61793" w:rsidTr="00B05D01">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479E" w:rsidRPr="00D61793" w:rsidRDefault="004B479E" w:rsidP="004B479E">
            <w:pPr>
              <w:keepNext/>
              <w:widowControl w:val="0"/>
              <w:suppressAutoHyphens w:val="0"/>
              <w:jc w:val="center"/>
              <w:rPr>
                <w:rFonts w:ascii="Calibri" w:hAnsi="Calibri"/>
                <w:b/>
                <w:bCs/>
                <w:color w:val="000000"/>
                <w:sz w:val="22"/>
                <w:szCs w:val="22"/>
              </w:rPr>
            </w:pPr>
            <w:r w:rsidRPr="00D61793">
              <w:rPr>
                <w:rFonts w:ascii="Calibri" w:hAnsi="Calibri"/>
                <w:b/>
                <w:bCs/>
                <w:color w:val="000000"/>
                <w:sz w:val="22"/>
                <w:szCs w:val="22"/>
              </w:rPr>
              <w:t>Fecha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4B479E" w:rsidRPr="00D61793" w:rsidRDefault="004B479E" w:rsidP="004B479E">
            <w:pPr>
              <w:keepNext/>
              <w:widowControl w:val="0"/>
              <w:suppressAutoHyphens w:val="0"/>
              <w:jc w:val="center"/>
              <w:rPr>
                <w:rFonts w:ascii="Calibri" w:hAnsi="Calibri"/>
                <w:b/>
                <w:bCs/>
                <w:color w:val="000000"/>
                <w:sz w:val="22"/>
                <w:szCs w:val="22"/>
              </w:rPr>
            </w:pPr>
            <w:r w:rsidRPr="00D61793">
              <w:rPr>
                <w:rFonts w:ascii="Calibri" w:hAnsi="Calibri"/>
                <w:b/>
                <w:bCs/>
                <w:color w:val="000000"/>
                <w:sz w:val="22"/>
                <w:szCs w:val="22"/>
              </w:rPr>
              <w:t>Nº orden</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4B479E" w:rsidRPr="00D61793" w:rsidRDefault="004B479E" w:rsidP="004B479E">
            <w:pPr>
              <w:keepNext/>
              <w:widowControl w:val="0"/>
              <w:suppressAutoHyphens w:val="0"/>
              <w:jc w:val="center"/>
              <w:rPr>
                <w:rFonts w:ascii="Calibri" w:hAnsi="Calibri"/>
                <w:b/>
                <w:bCs/>
                <w:color w:val="000000"/>
                <w:sz w:val="22"/>
                <w:szCs w:val="22"/>
              </w:rPr>
            </w:pPr>
            <w:r w:rsidRPr="00D61793">
              <w:rPr>
                <w:rFonts w:ascii="Calibri" w:hAnsi="Calibri"/>
                <w:b/>
                <w:bCs/>
                <w:color w:val="000000"/>
                <w:sz w:val="22"/>
                <w:szCs w:val="22"/>
              </w:rPr>
              <w:t>Importe</w:t>
            </w:r>
          </w:p>
        </w:tc>
      </w:tr>
      <w:tr w:rsidR="004B479E" w:rsidRPr="00D61793" w:rsidTr="00B05D01">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B479E" w:rsidRPr="00D61793" w:rsidRDefault="004B479E" w:rsidP="004B479E">
            <w:pPr>
              <w:keepNext/>
              <w:widowControl w:val="0"/>
              <w:suppressAutoHyphens w:val="0"/>
              <w:jc w:val="center"/>
              <w:rPr>
                <w:rFonts w:ascii="Calibri" w:hAnsi="Calibri"/>
                <w:color w:val="000000"/>
                <w:sz w:val="22"/>
                <w:szCs w:val="22"/>
              </w:rPr>
            </w:pPr>
            <w:r w:rsidRPr="00D61793">
              <w:rPr>
                <w:rFonts w:ascii="Calibri" w:hAnsi="Calibri"/>
                <w:color w:val="000000"/>
                <w:sz w:val="22"/>
                <w:szCs w:val="22"/>
              </w:rPr>
              <w:t>11-4-14</w:t>
            </w:r>
          </w:p>
        </w:tc>
        <w:tc>
          <w:tcPr>
            <w:tcW w:w="1200" w:type="dxa"/>
            <w:tcBorders>
              <w:top w:val="nil"/>
              <w:left w:val="nil"/>
              <w:bottom w:val="single" w:sz="4" w:space="0" w:color="auto"/>
              <w:right w:val="single" w:sz="4" w:space="0" w:color="auto"/>
            </w:tcBorders>
            <w:shd w:val="clear" w:color="auto" w:fill="auto"/>
            <w:noWrap/>
            <w:vAlign w:val="bottom"/>
            <w:hideMark/>
          </w:tcPr>
          <w:p w:rsidR="004B479E" w:rsidRPr="00D61793" w:rsidRDefault="004B479E" w:rsidP="004B479E">
            <w:pPr>
              <w:keepNext/>
              <w:widowControl w:val="0"/>
              <w:suppressAutoHyphens w:val="0"/>
              <w:jc w:val="center"/>
              <w:rPr>
                <w:rFonts w:ascii="Calibri" w:hAnsi="Calibri"/>
                <w:color w:val="000000"/>
                <w:sz w:val="22"/>
                <w:szCs w:val="22"/>
              </w:rPr>
            </w:pPr>
            <w:r w:rsidRPr="00D61793">
              <w:rPr>
                <w:rFonts w:ascii="Calibri" w:hAnsi="Calibri"/>
                <w:color w:val="000000"/>
                <w:sz w:val="22"/>
                <w:szCs w:val="22"/>
              </w:rPr>
              <w:t>55</w:t>
            </w:r>
          </w:p>
        </w:tc>
        <w:tc>
          <w:tcPr>
            <w:tcW w:w="1640" w:type="dxa"/>
            <w:tcBorders>
              <w:top w:val="nil"/>
              <w:left w:val="nil"/>
              <w:bottom w:val="single" w:sz="4" w:space="0" w:color="auto"/>
              <w:right w:val="single" w:sz="4" w:space="0" w:color="auto"/>
            </w:tcBorders>
            <w:shd w:val="clear" w:color="auto" w:fill="auto"/>
            <w:noWrap/>
            <w:vAlign w:val="bottom"/>
            <w:hideMark/>
          </w:tcPr>
          <w:p w:rsidR="004B479E" w:rsidRPr="00D61793" w:rsidRDefault="004B479E" w:rsidP="004B479E">
            <w:pPr>
              <w:keepNext/>
              <w:widowControl w:val="0"/>
              <w:suppressAutoHyphens w:val="0"/>
              <w:jc w:val="center"/>
              <w:rPr>
                <w:rFonts w:ascii="Calibri" w:hAnsi="Calibri"/>
                <w:color w:val="000000"/>
                <w:sz w:val="22"/>
                <w:szCs w:val="22"/>
              </w:rPr>
            </w:pPr>
            <w:r w:rsidRPr="00D61793">
              <w:rPr>
                <w:rFonts w:ascii="Calibri" w:hAnsi="Calibri"/>
                <w:color w:val="000000"/>
                <w:sz w:val="22"/>
                <w:szCs w:val="22"/>
              </w:rPr>
              <w:t>8.000</w:t>
            </w:r>
          </w:p>
        </w:tc>
      </w:tr>
      <w:tr w:rsidR="004B479E" w:rsidRPr="00D61793" w:rsidTr="00B05D01">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B479E" w:rsidRPr="00D61793" w:rsidRDefault="004B479E" w:rsidP="004B479E">
            <w:pPr>
              <w:keepNext/>
              <w:widowControl w:val="0"/>
              <w:suppressAutoHyphens w:val="0"/>
              <w:jc w:val="center"/>
              <w:rPr>
                <w:rFonts w:ascii="Calibri" w:hAnsi="Calibri"/>
                <w:color w:val="000000"/>
                <w:sz w:val="22"/>
                <w:szCs w:val="22"/>
              </w:rPr>
            </w:pPr>
            <w:r w:rsidRPr="00D61793">
              <w:rPr>
                <w:rFonts w:ascii="Calibri" w:hAnsi="Calibri"/>
                <w:color w:val="000000"/>
                <w:sz w:val="22"/>
                <w:szCs w:val="22"/>
              </w:rPr>
              <w:t>5-5-14</w:t>
            </w:r>
          </w:p>
        </w:tc>
        <w:tc>
          <w:tcPr>
            <w:tcW w:w="1200" w:type="dxa"/>
            <w:tcBorders>
              <w:top w:val="nil"/>
              <w:left w:val="nil"/>
              <w:bottom w:val="single" w:sz="4" w:space="0" w:color="auto"/>
              <w:right w:val="single" w:sz="4" w:space="0" w:color="auto"/>
            </w:tcBorders>
            <w:shd w:val="clear" w:color="auto" w:fill="auto"/>
            <w:noWrap/>
            <w:vAlign w:val="bottom"/>
            <w:hideMark/>
          </w:tcPr>
          <w:p w:rsidR="004B479E" w:rsidRPr="00D61793" w:rsidRDefault="004B479E" w:rsidP="004B479E">
            <w:pPr>
              <w:keepNext/>
              <w:widowControl w:val="0"/>
              <w:suppressAutoHyphens w:val="0"/>
              <w:jc w:val="center"/>
              <w:rPr>
                <w:rFonts w:ascii="Calibri" w:hAnsi="Calibri"/>
                <w:color w:val="000000"/>
                <w:sz w:val="22"/>
                <w:szCs w:val="22"/>
              </w:rPr>
            </w:pPr>
            <w:r w:rsidRPr="00D61793">
              <w:rPr>
                <w:rFonts w:ascii="Calibri" w:hAnsi="Calibri"/>
                <w:color w:val="000000"/>
                <w:sz w:val="22"/>
                <w:szCs w:val="22"/>
              </w:rPr>
              <w:t>22</w:t>
            </w:r>
          </w:p>
        </w:tc>
        <w:tc>
          <w:tcPr>
            <w:tcW w:w="1640" w:type="dxa"/>
            <w:tcBorders>
              <w:top w:val="nil"/>
              <w:left w:val="nil"/>
              <w:bottom w:val="single" w:sz="4" w:space="0" w:color="auto"/>
              <w:right w:val="single" w:sz="4" w:space="0" w:color="auto"/>
            </w:tcBorders>
            <w:shd w:val="clear" w:color="auto" w:fill="auto"/>
            <w:noWrap/>
            <w:vAlign w:val="bottom"/>
            <w:hideMark/>
          </w:tcPr>
          <w:p w:rsidR="004B479E" w:rsidRPr="00D61793" w:rsidRDefault="004B479E" w:rsidP="004B479E">
            <w:pPr>
              <w:keepNext/>
              <w:widowControl w:val="0"/>
              <w:suppressAutoHyphens w:val="0"/>
              <w:jc w:val="center"/>
              <w:rPr>
                <w:rFonts w:ascii="Calibri" w:hAnsi="Calibri"/>
                <w:color w:val="000000"/>
                <w:sz w:val="22"/>
                <w:szCs w:val="22"/>
              </w:rPr>
            </w:pPr>
            <w:r w:rsidRPr="00D61793">
              <w:rPr>
                <w:rFonts w:ascii="Calibri" w:hAnsi="Calibri"/>
                <w:color w:val="000000"/>
                <w:sz w:val="22"/>
                <w:szCs w:val="22"/>
              </w:rPr>
              <w:t>25.739</w:t>
            </w:r>
          </w:p>
        </w:tc>
      </w:tr>
      <w:tr w:rsidR="004B479E" w:rsidRPr="00D61793" w:rsidTr="00B05D01">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B479E" w:rsidRPr="00D61793" w:rsidRDefault="004B479E" w:rsidP="004B479E">
            <w:pPr>
              <w:keepNext/>
              <w:widowControl w:val="0"/>
              <w:suppressAutoHyphens w:val="0"/>
              <w:jc w:val="center"/>
              <w:rPr>
                <w:rFonts w:ascii="Calibri" w:hAnsi="Calibri"/>
                <w:color w:val="000000"/>
                <w:sz w:val="22"/>
                <w:szCs w:val="22"/>
              </w:rPr>
            </w:pPr>
            <w:r w:rsidRPr="00D61793">
              <w:rPr>
                <w:rFonts w:ascii="Calibri" w:hAnsi="Calibri"/>
                <w:color w:val="000000"/>
                <w:sz w:val="22"/>
                <w:szCs w:val="22"/>
              </w:rPr>
              <w:t>7-5-14</w:t>
            </w:r>
          </w:p>
        </w:tc>
        <w:tc>
          <w:tcPr>
            <w:tcW w:w="1200" w:type="dxa"/>
            <w:tcBorders>
              <w:top w:val="nil"/>
              <w:left w:val="nil"/>
              <w:bottom w:val="single" w:sz="4" w:space="0" w:color="auto"/>
              <w:right w:val="single" w:sz="4" w:space="0" w:color="auto"/>
            </w:tcBorders>
            <w:shd w:val="clear" w:color="auto" w:fill="auto"/>
            <w:noWrap/>
            <w:vAlign w:val="bottom"/>
            <w:hideMark/>
          </w:tcPr>
          <w:p w:rsidR="004B479E" w:rsidRPr="00D61793" w:rsidRDefault="004B479E" w:rsidP="004B479E">
            <w:pPr>
              <w:keepNext/>
              <w:widowControl w:val="0"/>
              <w:suppressAutoHyphens w:val="0"/>
              <w:jc w:val="center"/>
              <w:rPr>
                <w:rFonts w:ascii="Calibri" w:hAnsi="Calibri"/>
                <w:color w:val="000000"/>
                <w:sz w:val="22"/>
                <w:szCs w:val="22"/>
              </w:rPr>
            </w:pPr>
            <w:r w:rsidRPr="00D61793">
              <w:rPr>
                <w:rFonts w:ascii="Calibri" w:hAnsi="Calibri"/>
                <w:color w:val="000000"/>
                <w:sz w:val="22"/>
                <w:szCs w:val="22"/>
              </w:rPr>
              <w:t>14</w:t>
            </w:r>
          </w:p>
        </w:tc>
        <w:tc>
          <w:tcPr>
            <w:tcW w:w="1640" w:type="dxa"/>
            <w:tcBorders>
              <w:top w:val="nil"/>
              <w:left w:val="nil"/>
              <w:bottom w:val="single" w:sz="4" w:space="0" w:color="auto"/>
              <w:right w:val="single" w:sz="4" w:space="0" w:color="auto"/>
            </w:tcBorders>
            <w:shd w:val="clear" w:color="auto" w:fill="auto"/>
            <w:noWrap/>
            <w:vAlign w:val="bottom"/>
            <w:hideMark/>
          </w:tcPr>
          <w:p w:rsidR="004B479E" w:rsidRPr="00D61793" w:rsidRDefault="004B479E" w:rsidP="004B479E">
            <w:pPr>
              <w:keepNext/>
              <w:widowControl w:val="0"/>
              <w:suppressAutoHyphens w:val="0"/>
              <w:jc w:val="center"/>
              <w:rPr>
                <w:rFonts w:ascii="Calibri" w:hAnsi="Calibri"/>
                <w:color w:val="000000"/>
                <w:sz w:val="22"/>
                <w:szCs w:val="22"/>
              </w:rPr>
            </w:pPr>
            <w:r w:rsidRPr="00D61793">
              <w:rPr>
                <w:rFonts w:ascii="Calibri" w:hAnsi="Calibri"/>
                <w:color w:val="000000"/>
                <w:sz w:val="22"/>
                <w:szCs w:val="22"/>
              </w:rPr>
              <w:t>9.500</w:t>
            </w:r>
          </w:p>
        </w:tc>
      </w:tr>
      <w:tr w:rsidR="004B479E" w:rsidRPr="00D61793" w:rsidTr="00B05D01">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B479E" w:rsidRPr="00D61793" w:rsidRDefault="004B479E" w:rsidP="004B479E">
            <w:pPr>
              <w:keepNext/>
              <w:widowControl w:val="0"/>
              <w:suppressAutoHyphens w:val="0"/>
              <w:jc w:val="center"/>
              <w:rPr>
                <w:rFonts w:ascii="Calibri" w:hAnsi="Calibri"/>
                <w:color w:val="000000"/>
                <w:sz w:val="22"/>
                <w:szCs w:val="22"/>
              </w:rPr>
            </w:pPr>
            <w:r w:rsidRPr="00D61793">
              <w:rPr>
                <w:rFonts w:ascii="Calibri" w:hAnsi="Calibri"/>
                <w:color w:val="000000"/>
                <w:sz w:val="22"/>
                <w:szCs w:val="22"/>
              </w:rPr>
              <w:t>7-5-14</w:t>
            </w:r>
          </w:p>
        </w:tc>
        <w:tc>
          <w:tcPr>
            <w:tcW w:w="1200" w:type="dxa"/>
            <w:tcBorders>
              <w:top w:val="nil"/>
              <w:left w:val="nil"/>
              <w:bottom w:val="single" w:sz="4" w:space="0" w:color="auto"/>
              <w:right w:val="single" w:sz="4" w:space="0" w:color="auto"/>
            </w:tcBorders>
            <w:shd w:val="clear" w:color="auto" w:fill="auto"/>
            <w:noWrap/>
            <w:vAlign w:val="bottom"/>
            <w:hideMark/>
          </w:tcPr>
          <w:p w:rsidR="004B479E" w:rsidRPr="00D61793" w:rsidRDefault="004B479E" w:rsidP="004B479E">
            <w:pPr>
              <w:keepNext/>
              <w:widowControl w:val="0"/>
              <w:suppressAutoHyphens w:val="0"/>
              <w:jc w:val="center"/>
              <w:rPr>
                <w:rFonts w:ascii="Calibri" w:hAnsi="Calibri"/>
                <w:color w:val="000000"/>
                <w:sz w:val="22"/>
                <w:szCs w:val="22"/>
              </w:rPr>
            </w:pPr>
            <w:r w:rsidRPr="00D61793">
              <w:rPr>
                <w:rFonts w:ascii="Calibri" w:hAnsi="Calibri"/>
                <w:color w:val="000000"/>
                <w:sz w:val="22"/>
                <w:szCs w:val="22"/>
              </w:rPr>
              <w:t>16</w:t>
            </w:r>
          </w:p>
        </w:tc>
        <w:tc>
          <w:tcPr>
            <w:tcW w:w="1640" w:type="dxa"/>
            <w:tcBorders>
              <w:top w:val="nil"/>
              <w:left w:val="nil"/>
              <w:bottom w:val="single" w:sz="4" w:space="0" w:color="auto"/>
              <w:right w:val="single" w:sz="4" w:space="0" w:color="auto"/>
            </w:tcBorders>
            <w:shd w:val="clear" w:color="auto" w:fill="auto"/>
            <w:noWrap/>
            <w:vAlign w:val="bottom"/>
            <w:hideMark/>
          </w:tcPr>
          <w:p w:rsidR="004B479E" w:rsidRPr="00D61793" w:rsidRDefault="004B479E" w:rsidP="004B479E">
            <w:pPr>
              <w:keepNext/>
              <w:widowControl w:val="0"/>
              <w:suppressAutoHyphens w:val="0"/>
              <w:jc w:val="center"/>
              <w:rPr>
                <w:rFonts w:ascii="Calibri" w:hAnsi="Calibri"/>
                <w:color w:val="000000"/>
                <w:sz w:val="22"/>
                <w:szCs w:val="22"/>
              </w:rPr>
            </w:pPr>
            <w:r w:rsidRPr="00D61793">
              <w:rPr>
                <w:rFonts w:ascii="Calibri" w:hAnsi="Calibri"/>
                <w:color w:val="000000"/>
                <w:sz w:val="22"/>
                <w:szCs w:val="22"/>
              </w:rPr>
              <w:t>7.261</w:t>
            </w:r>
          </w:p>
        </w:tc>
      </w:tr>
      <w:tr w:rsidR="004B479E" w:rsidRPr="00D61793" w:rsidTr="00B05D01">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B479E" w:rsidRPr="00D61793" w:rsidRDefault="004B479E" w:rsidP="004B479E">
            <w:pPr>
              <w:keepNext/>
              <w:widowControl w:val="0"/>
              <w:suppressAutoHyphens w:val="0"/>
              <w:jc w:val="center"/>
              <w:rPr>
                <w:rFonts w:ascii="Calibri" w:hAnsi="Calibri"/>
                <w:color w:val="000000"/>
                <w:sz w:val="22"/>
                <w:szCs w:val="22"/>
              </w:rPr>
            </w:pPr>
            <w:r w:rsidRPr="00D61793">
              <w:rPr>
                <w:rFonts w:ascii="Calibri" w:hAnsi="Calibri"/>
                <w:color w:val="000000"/>
                <w:sz w:val="22"/>
                <w:szCs w:val="22"/>
              </w:rPr>
              <w:t>7-5-14</w:t>
            </w:r>
          </w:p>
        </w:tc>
        <w:tc>
          <w:tcPr>
            <w:tcW w:w="1200" w:type="dxa"/>
            <w:tcBorders>
              <w:top w:val="nil"/>
              <w:left w:val="nil"/>
              <w:bottom w:val="single" w:sz="4" w:space="0" w:color="auto"/>
              <w:right w:val="single" w:sz="4" w:space="0" w:color="auto"/>
            </w:tcBorders>
            <w:shd w:val="clear" w:color="auto" w:fill="auto"/>
            <w:noWrap/>
            <w:vAlign w:val="bottom"/>
            <w:hideMark/>
          </w:tcPr>
          <w:p w:rsidR="004B479E" w:rsidRPr="00D61793" w:rsidRDefault="004B479E" w:rsidP="004B479E">
            <w:pPr>
              <w:keepNext/>
              <w:widowControl w:val="0"/>
              <w:suppressAutoHyphens w:val="0"/>
              <w:jc w:val="center"/>
              <w:rPr>
                <w:rFonts w:ascii="Calibri" w:hAnsi="Calibri"/>
                <w:color w:val="000000"/>
                <w:sz w:val="22"/>
                <w:szCs w:val="22"/>
              </w:rPr>
            </w:pPr>
            <w:r w:rsidRPr="00D61793">
              <w:rPr>
                <w:rFonts w:ascii="Calibri" w:hAnsi="Calibri"/>
                <w:color w:val="000000"/>
                <w:sz w:val="22"/>
                <w:szCs w:val="22"/>
              </w:rPr>
              <w:t>20</w:t>
            </w:r>
          </w:p>
        </w:tc>
        <w:tc>
          <w:tcPr>
            <w:tcW w:w="1640" w:type="dxa"/>
            <w:tcBorders>
              <w:top w:val="nil"/>
              <w:left w:val="nil"/>
              <w:bottom w:val="single" w:sz="4" w:space="0" w:color="auto"/>
              <w:right w:val="single" w:sz="4" w:space="0" w:color="auto"/>
            </w:tcBorders>
            <w:shd w:val="clear" w:color="auto" w:fill="auto"/>
            <w:noWrap/>
            <w:vAlign w:val="bottom"/>
            <w:hideMark/>
          </w:tcPr>
          <w:p w:rsidR="004B479E" w:rsidRPr="00D61793" w:rsidRDefault="004B479E" w:rsidP="004B479E">
            <w:pPr>
              <w:keepNext/>
              <w:widowControl w:val="0"/>
              <w:suppressAutoHyphens w:val="0"/>
              <w:jc w:val="center"/>
              <w:rPr>
                <w:rFonts w:ascii="Calibri" w:hAnsi="Calibri"/>
                <w:color w:val="000000"/>
                <w:sz w:val="22"/>
                <w:szCs w:val="22"/>
              </w:rPr>
            </w:pPr>
            <w:r w:rsidRPr="00D61793">
              <w:rPr>
                <w:rFonts w:ascii="Calibri" w:hAnsi="Calibri"/>
                <w:color w:val="000000"/>
                <w:sz w:val="22"/>
                <w:szCs w:val="22"/>
              </w:rPr>
              <w:t>7.500</w:t>
            </w:r>
          </w:p>
        </w:tc>
      </w:tr>
      <w:tr w:rsidR="004B479E" w:rsidRPr="00D61793" w:rsidTr="00B05D01">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B479E" w:rsidRPr="00D61793" w:rsidRDefault="004B479E" w:rsidP="004B479E">
            <w:pPr>
              <w:keepNext/>
              <w:widowControl w:val="0"/>
              <w:suppressAutoHyphens w:val="0"/>
              <w:jc w:val="center"/>
              <w:rPr>
                <w:rFonts w:ascii="Calibri" w:hAnsi="Calibri"/>
                <w:color w:val="000000"/>
                <w:sz w:val="22"/>
                <w:szCs w:val="22"/>
              </w:rPr>
            </w:pPr>
            <w:r w:rsidRPr="00D61793">
              <w:rPr>
                <w:rFonts w:ascii="Calibri" w:hAnsi="Calibri"/>
                <w:color w:val="000000"/>
                <w:sz w:val="22"/>
                <w:szCs w:val="22"/>
              </w:rPr>
              <w:t>23-5-14</w:t>
            </w:r>
          </w:p>
        </w:tc>
        <w:tc>
          <w:tcPr>
            <w:tcW w:w="1200" w:type="dxa"/>
            <w:tcBorders>
              <w:top w:val="nil"/>
              <w:left w:val="nil"/>
              <w:bottom w:val="single" w:sz="4" w:space="0" w:color="auto"/>
              <w:right w:val="single" w:sz="4" w:space="0" w:color="auto"/>
            </w:tcBorders>
            <w:shd w:val="clear" w:color="auto" w:fill="auto"/>
            <w:noWrap/>
            <w:vAlign w:val="bottom"/>
            <w:hideMark/>
          </w:tcPr>
          <w:p w:rsidR="004B479E" w:rsidRPr="00D61793" w:rsidRDefault="004B479E" w:rsidP="004B479E">
            <w:pPr>
              <w:keepNext/>
              <w:widowControl w:val="0"/>
              <w:suppressAutoHyphens w:val="0"/>
              <w:jc w:val="center"/>
              <w:rPr>
                <w:rFonts w:ascii="Calibri" w:hAnsi="Calibri"/>
                <w:color w:val="000000"/>
                <w:sz w:val="22"/>
                <w:szCs w:val="22"/>
              </w:rPr>
            </w:pPr>
            <w:r w:rsidRPr="00D61793">
              <w:rPr>
                <w:rFonts w:ascii="Calibri" w:hAnsi="Calibri"/>
                <w:color w:val="000000"/>
                <w:sz w:val="22"/>
                <w:szCs w:val="22"/>
              </w:rPr>
              <w:t>83</w:t>
            </w:r>
          </w:p>
        </w:tc>
        <w:tc>
          <w:tcPr>
            <w:tcW w:w="1640" w:type="dxa"/>
            <w:tcBorders>
              <w:top w:val="nil"/>
              <w:left w:val="nil"/>
              <w:bottom w:val="single" w:sz="4" w:space="0" w:color="auto"/>
              <w:right w:val="single" w:sz="4" w:space="0" w:color="auto"/>
            </w:tcBorders>
            <w:shd w:val="clear" w:color="auto" w:fill="auto"/>
            <w:noWrap/>
            <w:vAlign w:val="bottom"/>
            <w:hideMark/>
          </w:tcPr>
          <w:p w:rsidR="004B479E" w:rsidRPr="00D61793" w:rsidRDefault="004B479E" w:rsidP="004B479E">
            <w:pPr>
              <w:keepNext/>
              <w:widowControl w:val="0"/>
              <w:suppressAutoHyphens w:val="0"/>
              <w:jc w:val="center"/>
              <w:rPr>
                <w:rFonts w:ascii="Calibri" w:hAnsi="Calibri"/>
                <w:color w:val="000000"/>
                <w:sz w:val="22"/>
                <w:szCs w:val="22"/>
              </w:rPr>
            </w:pPr>
            <w:r w:rsidRPr="00D61793">
              <w:rPr>
                <w:rFonts w:ascii="Calibri" w:hAnsi="Calibri"/>
                <w:color w:val="000000"/>
                <w:sz w:val="22"/>
                <w:szCs w:val="22"/>
              </w:rPr>
              <w:t>10.392</w:t>
            </w:r>
          </w:p>
        </w:tc>
      </w:tr>
      <w:tr w:rsidR="004B479E" w:rsidRPr="00D61793" w:rsidTr="00B05D01">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B479E" w:rsidRPr="00D61793" w:rsidRDefault="004B479E" w:rsidP="004B479E">
            <w:pPr>
              <w:keepNext/>
              <w:widowControl w:val="0"/>
              <w:suppressAutoHyphens w:val="0"/>
              <w:jc w:val="center"/>
              <w:rPr>
                <w:rFonts w:ascii="Calibri" w:hAnsi="Calibri"/>
                <w:color w:val="000000"/>
                <w:sz w:val="22"/>
                <w:szCs w:val="22"/>
              </w:rPr>
            </w:pPr>
            <w:r w:rsidRPr="00D61793">
              <w:rPr>
                <w:rFonts w:ascii="Calibri" w:hAnsi="Calibri"/>
                <w:color w:val="000000"/>
                <w:sz w:val="22"/>
                <w:szCs w:val="22"/>
              </w:rPr>
              <w:t>27-5-14</w:t>
            </w:r>
          </w:p>
        </w:tc>
        <w:tc>
          <w:tcPr>
            <w:tcW w:w="1200" w:type="dxa"/>
            <w:tcBorders>
              <w:top w:val="nil"/>
              <w:left w:val="nil"/>
              <w:bottom w:val="single" w:sz="4" w:space="0" w:color="auto"/>
              <w:right w:val="single" w:sz="4" w:space="0" w:color="auto"/>
            </w:tcBorders>
            <w:shd w:val="clear" w:color="auto" w:fill="auto"/>
            <w:noWrap/>
            <w:vAlign w:val="bottom"/>
            <w:hideMark/>
          </w:tcPr>
          <w:p w:rsidR="004B479E" w:rsidRPr="00D61793" w:rsidRDefault="004B479E" w:rsidP="004B479E">
            <w:pPr>
              <w:keepNext/>
              <w:widowControl w:val="0"/>
              <w:suppressAutoHyphens w:val="0"/>
              <w:jc w:val="center"/>
              <w:rPr>
                <w:rFonts w:ascii="Calibri" w:hAnsi="Calibri"/>
                <w:color w:val="000000"/>
                <w:sz w:val="22"/>
                <w:szCs w:val="22"/>
              </w:rPr>
            </w:pPr>
            <w:r w:rsidRPr="00D61793">
              <w:rPr>
                <w:rFonts w:ascii="Calibri" w:hAnsi="Calibri"/>
                <w:color w:val="000000"/>
                <w:sz w:val="22"/>
                <w:szCs w:val="22"/>
              </w:rPr>
              <w:t>93</w:t>
            </w:r>
          </w:p>
        </w:tc>
        <w:tc>
          <w:tcPr>
            <w:tcW w:w="1640" w:type="dxa"/>
            <w:tcBorders>
              <w:top w:val="nil"/>
              <w:left w:val="nil"/>
              <w:bottom w:val="single" w:sz="4" w:space="0" w:color="auto"/>
              <w:right w:val="single" w:sz="4" w:space="0" w:color="auto"/>
            </w:tcBorders>
            <w:shd w:val="clear" w:color="auto" w:fill="auto"/>
            <w:noWrap/>
            <w:vAlign w:val="bottom"/>
            <w:hideMark/>
          </w:tcPr>
          <w:p w:rsidR="004B479E" w:rsidRPr="00D61793" w:rsidRDefault="004B479E" w:rsidP="004B479E">
            <w:pPr>
              <w:keepNext/>
              <w:widowControl w:val="0"/>
              <w:suppressAutoHyphens w:val="0"/>
              <w:jc w:val="center"/>
              <w:rPr>
                <w:rFonts w:ascii="Calibri" w:hAnsi="Calibri"/>
                <w:color w:val="000000"/>
                <w:sz w:val="22"/>
                <w:szCs w:val="22"/>
              </w:rPr>
            </w:pPr>
            <w:r w:rsidRPr="00D61793">
              <w:rPr>
                <w:rFonts w:ascii="Calibri" w:hAnsi="Calibri"/>
                <w:color w:val="000000"/>
                <w:sz w:val="22"/>
                <w:szCs w:val="22"/>
              </w:rPr>
              <w:t>8.240</w:t>
            </w:r>
          </w:p>
        </w:tc>
      </w:tr>
      <w:tr w:rsidR="004B479E" w:rsidRPr="00D61793" w:rsidTr="00B05D01">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B479E" w:rsidRPr="00D61793" w:rsidRDefault="004B479E" w:rsidP="004B479E">
            <w:pPr>
              <w:keepNext/>
              <w:widowControl w:val="0"/>
              <w:suppressAutoHyphens w:val="0"/>
              <w:jc w:val="center"/>
              <w:rPr>
                <w:rFonts w:ascii="Calibri" w:hAnsi="Calibri"/>
                <w:color w:val="000000"/>
                <w:sz w:val="22"/>
                <w:szCs w:val="22"/>
              </w:rPr>
            </w:pPr>
            <w:r w:rsidRPr="00D61793">
              <w:rPr>
                <w:rFonts w:ascii="Calibri" w:hAnsi="Calibri"/>
                <w:color w:val="000000"/>
                <w:sz w:val="22"/>
                <w:szCs w:val="22"/>
              </w:rPr>
              <w:t>30-5-14</w:t>
            </w:r>
          </w:p>
        </w:tc>
        <w:tc>
          <w:tcPr>
            <w:tcW w:w="1200" w:type="dxa"/>
            <w:tcBorders>
              <w:top w:val="nil"/>
              <w:left w:val="nil"/>
              <w:bottom w:val="single" w:sz="4" w:space="0" w:color="auto"/>
              <w:right w:val="single" w:sz="4" w:space="0" w:color="auto"/>
            </w:tcBorders>
            <w:shd w:val="clear" w:color="auto" w:fill="auto"/>
            <w:noWrap/>
            <w:vAlign w:val="bottom"/>
            <w:hideMark/>
          </w:tcPr>
          <w:p w:rsidR="004B479E" w:rsidRPr="00D61793" w:rsidRDefault="004B479E" w:rsidP="004B479E">
            <w:pPr>
              <w:keepNext/>
              <w:widowControl w:val="0"/>
              <w:suppressAutoHyphens w:val="0"/>
              <w:jc w:val="center"/>
              <w:rPr>
                <w:rFonts w:ascii="Calibri" w:hAnsi="Calibri"/>
                <w:color w:val="000000"/>
                <w:sz w:val="22"/>
                <w:szCs w:val="22"/>
              </w:rPr>
            </w:pPr>
            <w:r w:rsidRPr="00D61793">
              <w:rPr>
                <w:rFonts w:ascii="Calibri" w:hAnsi="Calibri"/>
                <w:color w:val="000000"/>
                <w:sz w:val="22"/>
                <w:szCs w:val="22"/>
              </w:rPr>
              <w:t>105</w:t>
            </w:r>
          </w:p>
        </w:tc>
        <w:tc>
          <w:tcPr>
            <w:tcW w:w="1640" w:type="dxa"/>
            <w:tcBorders>
              <w:top w:val="nil"/>
              <w:left w:val="nil"/>
              <w:bottom w:val="single" w:sz="4" w:space="0" w:color="auto"/>
              <w:right w:val="single" w:sz="4" w:space="0" w:color="auto"/>
            </w:tcBorders>
            <w:shd w:val="clear" w:color="auto" w:fill="auto"/>
            <w:noWrap/>
            <w:vAlign w:val="bottom"/>
            <w:hideMark/>
          </w:tcPr>
          <w:p w:rsidR="004B479E" w:rsidRPr="00D61793" w:rsidRDefault="004B479E" w:rsidP="004B479E">
            <w:pPr>
              <w:keepNext/>
              <w:widowControl w:val="0"/>
              <w:suppressAutoHyphens w:val="0"/>
              <w:jc w:val="center"/>
              <w:rPr>
                <w:rFonts w:ascii="Calibri" w:hAnsi="Calibri"/>
                <w:color w:val="000000"/>
                <w:sz w:val="22"/>
                <w:szCs w:val="22"/>
              </w:rPr>
            </w:pPr>
            <w:r w:rsidRPr="00D61793">
              <w:rPr>
                <w:rFonts w:ascii="Calibri" w:hAnsi="Calibri"/>
                <w:color w:val="000000"/>
                <w:sz w:val="22"/>
                <w:szCs w:val="22"/>
              </w:rPr>
              <w:t>7.350</w:t>
            </w:r>
          </w:p>
        </w:tc>
      </w:tr>
      <w:tr w:rsidR="004B479E" w:rsidRPr="00D61793" w:rsidTr="00B05D01">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B479E" w:rsidRPr="00D61793" w:rsidRDefault="004B479E" w:rsidP="004B479E">
            <w:pPr>
              <w:keepNext/>
              <w:widowControl w:val="0"/>
              <w:suppressAutoHyphens w:val="0"/>
              <w:jc w:val="center"/>
              <w:rPr>
                <w:rFonts w:ascii="Calibri" w:hAnsi="Calibri"/>
                <w:color w:val="000000"/>
                <w:sz w:val="22"/>
                <w:szCs w:val="22"/>
              </w:rPr>
            </w:pPr>
            <w:r w:rsidRPr="00D61793">
              <w:rPr>
                <w:rFonts w:ascii="Calibri" w:hAnsi="Calibri"/>
                <w:color w:val="000000"/>
                <w:sz w:val="22"/>
                <w:szCs w:val="22"/>
              </w:rPr>
              <w:t>13-8-14</w:t>
            </w:r>
          </w:p>
        </w:tc>
        <w:tc>
          <w:tcPr>
            <w:tcW w:w="1200" w:type="dxa"/>
            <w:tcBorders>
              <w:top w:val="nil"/>
              <w:left w:val="nil"/>
              <w:bottom w:val="single" w:sz="4" w:space="0" w:color="auto"/>
              <w:right w:val="single" w:sz="4" w:space="0" w:color="auto"/>
            </w:tcBorders>
            <w:shd w:val="clear" w:color="auto" w:fill="auto"/>
            <w:noWrap/>
            <w:vAlign w:val="bottom"/>
            <w:hideMark/>
          </w:tcPr>
          <w:p w:rsidR="004B479E" w:rsidRPr="00D61793" w:rsidRDefault="004B479E" w:rsidP="004B479E">
            <w:pPr>
              <w:keepNext/>
              <w:widowControl w:val="0"/>
              <w:suppressAutoHyphens w:val="0"/>
              <w:jc w:val="center"/>
              <w:rPr>
                <w:rFonts w:ascii="Calibri" w:hAnsi="Calibri"/>
                <w:color w:val="000000"/>
                <w:sz w:val="22"/>
                <w:szCs w:val="22"/>
              </w:rPr>
            </w:pPr>
            <w:r w:rsidRPr="00D61793">
              <w:rPr>
                <w:rFonts w:ascii="Calibri" w:hAnsi="Calibri"/>
                <w:color w:val="000000"/>
                <w:sz w:val="22"/>
                <w:szCs w:val="22"/>
              </w:rPr>
              <w:t>47</w:t>
            </w:r>
          </w:p>
        </w:tc>
        <w:tc>
          <w:tcPr>
            <w:tcW w:w="1640" w:type="dxa"/>
            <w:tcBorders>
              <w:top w:val="nil"/>
              <w:left w:val="nil"/>
              <w:bottom w:val="single" w:sz="4" w:space="0" w:color="auto"/>
              <w:right w:val="single" w:sz="4" w:space="0" w:color="auto"/>
            </w:tcBorders>
            <w:shd w:val="clear" w:color="auto" w:fill="auto"/>
            <w:noWrap/>
            <w:vAlign w:val="bottom"/>
            <w:hideMark/>
          </w:tcPr>
          <w:p w:rsidR="004B479E" w:rsidRPr="00D61793" w:rsidRDefault="004B479E" w:rsidP="004B479E">
            <w:pPr>
              <w:keepNext/>
              <w:widowControl w:val="0"/>
              <w:suppressAutoHyphens w:val="0"/>
              <w:jc w:val="center"/>
              <w:rPr>
                <w:rFonts w:ascii="Calibri" w:hAnsi="Calibri"/>
                <w:color w:val="000000"/>
                <w:sz w:val="22"/>
                <w:szCs w:val="22"/>
              </w:rPr>
            </w:pPr>
            <w:r w:rsidRPr="00D61793">
              <w:rPr>
                <w:rFonts w:ascii="Calibri" w:hAnsi="Calibri"/>
                <w:color w:val="000000"/>
                <w:sz w:val="22"/>
                <w:szCs w:val="22"/>
              </w:rPr>
              <w:t>14.420</w:t>
            </w:r>
          </w:p>
        </w:tc>
      </w:tr>
      <w:tr w:rsidR="004B479E" w:rsidRPr="00D61793" w:rsidTr="00B05D01">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B479E" w:rsidRPr="00D61793" w:rsidRDefault="004B479E" w:rsidP="004B479E">
            <w:pPr>
              <w:keepNext/>
              <w:widowControl w:val="0"/>
              <w:suppressAutoHyphens w:val="0"/>
              <w:jc w:val="center"/>
              <w:rPr>
                <w:rFonts w:ascii="Calibri" w:hAnsi="Calibri"/>
                <w:color w:val="000000"/>
                <w:sz w:val="22"/>
                <w:szCs w:val="22"/>
              </w:rPr>
            </w:pPr>
            <w:r w:rsidRPr="00D61793">
              <w:rPr>
                <w:rFonts w:ascii="Calibri" w:hAnsi="Calibri"/>
                <w:color w:val="000000"/>
                <w:sz w:val="22"/>
                <w:szCs w:val="22"/>
              </w:rPr>
              <w:t>19-8-14</w:t>
            </w:r>
          </w:p>
        </w:tc>
        <w:tc>
          <w:tcPr>
            <w:tcW w:w="1200" w:type="dxa"/>
            <w:tcBorders>
              <w:top w:val="nil"/>
              <w:left w:val="nil"/>
              <w:bottom w:val="single" w:sz="4" w:space="0" w:color="auto"/>
              <w:right w:val="single" w:sz="4" w:space="0" w:color="auto"/>
            </w:tcBorders>
            <w:shd w:val="clear" w:color="auto" w:fill="auto"/>
            <w:noWrap/>
            <w:vAlign w:val="bottom"/>
            <w:hideMark/>
          </w:tcPr>
          <w:p w:rsidR="004B479E" w:rsidRPr="00D61793" w:rsidRDefault="004B479E" w:rsidP="004B479E">
            <w:pPr>
              <w:keepNext/>
              <w:widowControl w:val="0"/>
              <w:suppressAutoHyphens w:val="0"/>
              <w:jc w:val="center"/>
              <w:rPr>
                <w:rFonts w:ascii="Calibri" w:hAnsi="Calibri"/>
                <w:color w:val="000000"/>
                <w:sz w:val="22"/>
                <w:szCs w:val="22"/>
              </w:rPr>
            </w:pPr>
            <w:r w:rsidRPr="00D61793">
              <w:rPr>
                <w:rFonts w:ascii="Calibri" w:hAnsi="Calibri"/>
                <w:color w:val="000000"/>
                <w:sz w:val="22"/>
                <w:szCs w:val="22"/>
              </w:rPr>
              <w:t>54</w:t>
            </w:r>
          </w:p>
        </w:tc>
        <w:tc>
          <w:tcPr>
            <w:tcW w:w="1640" w:type="dxa"/>
            <w:tcBorders>
              <w:top w:val="nil"/>
              <w:left w:val="nil"/>
              <w:bottom w:val="single" w:sz="4" w:space="0" w:color="auto"/>
              <w:right w:val="single" w:sz="4" w:space="0" w:color="auto"/>
            </w:tcBorders>
            <w:shd w:val="clear" w:color="auto" w:fill="auto"/>
            <w:noWrap/>
            <w:vAlign w:val="bottom"/>
            <w:hideMark/>
          </w:tcPr>
          <w:p w:rsidR="004B479E" w:rsidRPr="00D61793" w:rsidRDefault="004B479E" w:rsidP="004B479E">
            <w:pPr>
              <w:keepNext/>
              <w:widowControl w:val="0"/>
              <w:suppressAutoHyphens w:val="0"/>
              <w:jc w:val="center"/>
              <w:rPr>
                <w:rFonts w:ascii="Calibri" w:hAnsi="Calibri"/>
                <w:color w:val="000000"/>
                <w:sz w:val="22"/>
                <w:szCs w:val="22"/>
              </w:rPr>
            </w:pPr>
            <w:r w:rsidRPr="00D61793">
              <w:rPr>
                <w:rFonts w:ascii="Calibri" w:hAnsi="Calibri"/>
                <w:color w:val="000000"/>
                <w:sz w:val="22"/>
                <w:szCs w:val="22"/>
              </w:rPr>
              <w:t>28.220</w:t>
            </w:r>
          </w:p>
        </w:tc>
      </w:tr>
      <w:tr w:rsidR="004B479E" w:rsidRPr="00D61793" w:rsidTr="00B05D01">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B479E" w:rsidRPr="00D61793" w:rsidRDefault="004B479E" w:rsidP="004B479E">
            <w:pPr>
              <w:keepNext/>
              <w:widowControl w:val="0"/>
              <w:suppressAutoHyphens w:val="0"/>
              <w:jc w:val="center"/>
              <w:rPr>
                <w:rFonts w:ascii="Calibri" w:hAnsi="Calibri"/>
                <w:color w:val="000000"/>
                <w:sz w:val="22"/>
                <w:szCs w:val="22"/>
              </w:rPr>
            </w:pPr>
            <w:r w:rsidRPr="00D61793">
              <w:rPr>
                <w:rFonts w:ascii="Calibri" w:hAnsi="Calibri"/>
                <w:color w:val="000000"/>
                <w:sz w:val="22"/>
                <w:szCs w:val="22"/>
              </w:rPr>
              <w:t>21-8-14</w:t>
            </w:r>
          </w:p>
        </w:tc>
        <w:tc>
          <w:tcPr>
            <w:tcW w:w="1200" w:type="dxa"/>
            <w:tcBorders>
              <w:top w:val="nil"/>
              <w:left w:val="nil"/>
              <w:bottom w:val="single" w:sz="4" w:space="0" w:color="auto"/>
              <w:right w:val="single" w:sz="4" w:space="0" w:color="auto"/>
            </w:tcBorders>
            <w:shd w:val="clear" w:color="auto" w:fill="auto"/>
            <w:noWrap/>
            <w:vAlign w:val="bottom"/>
            <w:hideMark/>
          </w:tcPr>
          <w:p w:rsidR="004B479E" w:rsidRPr="00D61793" w:rsidRDefault="004B479E" w:rsidP="004B479E">
            <w:pPr>
              <w:keepNext/>
              <w:widowControl w:val="0"/>
              <w:suppressAutoHyphens w:val="0"/>
              <w:jc w:val="center"/>
              <w:rPr>
                <w:rFonts w:ascii="Calibri" w:hAnsi="Calibri"/>
                <w:color w:val="000000"/>
                <w:sz w:val="22"/>
                <w:szCs w:val="22"/>
              </w:rPr>
            </w:pPr>
            <w:r w:rsidRPr="00D61793">
              <w:rPr>
                <w:rFonts w:ascii="Calibri" w:hAnsi="Calibri"/>
                <w:color w:val="000000"/>
                <w:sz w:val="22"/>
                <w:szCs w:val="22"/>
              </w:rPr>
              <w:t>68</w:t>
            </w:r>
          </w:p>
        </w:tc>
        <w:tc>
          <w:tcPr>
            <w:tcW w:w="1640" w:type="dxa"/>
            <w:tcBorders>
              <w:top w:val="nil"/>
              <w:left w:val="nil"/>
              <w:bottom w:val="single" w:sz="4" w:space="0" w:color="auto"/>
              <w:right w:val="single" w:sz="4" w:space="0" w:color="auto"/>
            </w:tcBorders>
            <w:shd w:val="clear" w:color="auto" w:fill="auto"/>
            <w:noWrap/>
            <w:vAlign w:val="bottom"/>
            <w:hideMark/>
          </w:tcPr>
          <w:p w:rsidR="004B479E" w:rsidRPr="00D61793" w:rsidRDefault="004B479E" w:rsidP="004B479E">
            <w:pPr>
              <w:keepNext/>
              <w:widowControl w:val="0"/>
              <w:suppressAutoHyphens w:val="0"/>
              <w:jc w:val="center"/>
              <w:rPr>
                <w:rFonts w:ascii="Calibri" w:hAnsi="Calibri"/>
                <w:color w:val="000000"/>
                <w:sz w:val="22"/>
                <w:szCs w:val="22"/>
              </w:rPr>
            </w:pPr>
            <w:r w:rsidRPr="00D61793">
              <w:rPr>
                <w:rFonts w:ascii="Calibri" w:hAnsi="Calibri"/>
                <w:color w:val="000000"/>
                <w:sz w:val="22"/>
                <w:szCs w:val="22"/>
              </w:rPr>
              <w:t>121.318</w:t>
            </w:r>
          </w:p>
        </w:tc>
      </w:tr>
    </w:tbl>
    <w:p w:rsidR="004B479E" w:rsidRPr="00D61793" w:rsidRDefault="004B479E" w:rsidP="004B479E">
      <w:pPr>
        <w:keepNext/>
        <w:widowControl w:val="0"/>
        <w:suppressAutoHyphens w:val="0"/>
        <w:spacing w:line="360" w:lineRule="auto"/>
        <w:jc w:val="both"/>
        <w:rPr>
          <w:b/>
        </w:rPr>
      </w:pPr>
    </w:p>
    <w:p w:rsidR="004B479E" w:rsidRDefault="004B479E" w:rsidP="004B479E">
      <w:pPr>
        <w:keepNext/>
        <w:widowControl w:val="0"/>
        <w:suppressAutoHyphens w:val="0"/>
        <w:autoSpaceDE w:val="0"/>
        <w:autoSpaceDN w:val="0"/>
        <w:adjustRightInd w:val="0"/>
        <w:spacing w:line="360" w:lineRule="auto"/>
        <w:jc w:val="both"/>
        <w:rPr>
          <w:b/>
          <w:color w:val="000000"/>
        </w:rPr>
      </w:pPr>
    </w:p>
    <w:p w:rsidR="004B479E" w:rsidRDefault="004B479E" w:rsidP="004B479E">
      <w:pPr>
        <w:keepNext/>
        <w:widowControl w:val="0"/>
        <w:suppressAutoHyphens w:val="0"/>
        <w:autoSpaceDE w:val="0"/>
        <w:autoSpaceDN w:val="0"/>
        <w:adjustRightInd w:val="0"/>
        <w:spacing w:line="360" w:lineRule="auto"/>
        <w:jc w:val="both"/>
        <w:rPr>
          <w:b/>
          <w:color w:val="000000"/>
        </w:rPr>
      </w:pPr>
    </w:p>
    <w:p w:rsidR="004B479E" w:rsidRPr="00D61793" w:rsidRDefault="004B479E" w:rsidP="004B479E">
      <w:pPr>
        <w:keepNext/>
        <w:widowControl w:val="0"/>
        <w:suppressAutoHyphens w:val="0"/>
        <w:autoSpaceDE w:val="0"/>
        <w:autoSpaceDN w:val="0"/>
        <w:adjustRightInd w:val="0"/>
        <w:spacing w:line="360" w:lineRule="auto"/>
        <w:jc w:val="both"/>
        <w:rPr>
          <w:b/>
          <w:color w:val="000000"/>
        </w:rPr>
      </w:pPr>
      <w:r w:rsidRPr="00D61793">
        <w:rPr>
          <w:b/>
          <w:color w:val="000000"/>
        </w:rPr>
        <w:t>4.2 Artículo 3 de la Ley N° 17.829</w:t>
      </w:r>
    </w:p>
    <w:p w:rsidR="004B479E" w:rsidRPr="00D61793" w:rsidRDefault="004B479E" w:rsidP="004B479E">
      <w:pPr>
        <w:keepNext/>
        <w:widowControl w:val="0"/>
        <w:suppressAutoHyphens w:val="0"/>
        <w:autoSpaceDE w:val="0"/>
        <w:autoSpaceDN w:val="0"/>
        <w:adjustRightInd w:val="0"/>
        <w:spacing w:line="360" w:lineRule="auto"/>
        <w:jc w:val="both"/>
        <w:rPr>
          <w:color w:val="000000"/>
        </w:rPr>
      </w:pPr>
      <w:r w:rsidRPr="00D61793">
        <w:rPr>
          <w:color w:val="000000"/>
        </w:rPr>
        <w:t>Se abonaron algunas retribuciones personales líquidas por un importe menor al 30% del monto nominal, deducido impuesto y contribuciones de seguridad social. A modo de ejemplo, en el mes de abril 2014, el Secretario General de la Junta debió cobrar $ 12.440, y percibió $ 5.2</w:t>
      </w:r>
      <w:r w:rsidR="00E94DFA">
        <w:rPr>
          <w:color w:val="000000"/>
        </w:rPr>
        <w:t>14, según el siguiente detalle:</w:t>
      </w:r>
    </w:p>
    <w:p w:rsidR="004B479E" w:rsidRPr="00D61793" w:rsidRDefault="004B479E" w:rsidP="004B479E">
      <w:pPr>
        <w:keepNext/>
        <w:widowControl w:val="0"/>
        <w:suppressAutoHyphens w:val="0"/>
        <w:autoSpaceDE w:val="0"/>
        <w:autoSpaceDN w:val="0"/>
        <w:adjustRightInd w:val="0"/>
        <w:spacing w:line="360" w:lineRule="auto"/>
        <w:jc w:val="both"/>
        <w:rPr>
          <w:color w:val="000000"/>
        </w:rPr>
      </w:pPr>
      <w:r w:rsidRPr="00D61793">
        <w:rPr>
          <w:color w:val="000000"/>
        </w:rPr>
        <w:t xml:space="preserve">                                                      Sueldo nominal                                  $ 62.999</w:t>
      </w:r>
    </w:p>
    <w:p w:rsidR="004B479E" w:rsidRPr="00D61793" w:rsidRDefault="004B479E" w:rsidP="004B479E">
      <w:pPr>
        <w:keepNext/>
        <w:widowControl w:val="0"/>
        <w:suppressAutoHyphens w:val="0"/>
        <w:autoSpaceDE w:val="0"/>
        <w:autoSpaceDN w:val="0"/>
        <w:adjustRightInd w:val="0"/>
        <w:spacing w:line="360" w:lineRule="auto"/>
        <w:jc w:val="both"/>
        <w:rPr>
          <w:color w:val="000000"/>
        </w:rPr>
      </w:pPr>
      <w:r w:rsidRPr="00D61793">
        <w:rPr>
          <w:color w:val="000000"/>
        </w:rPr>
        <w:t xml:space="preserve">                                                        Aporte jubilatorio                              $ </w:t>
      </w:r>
      <w:r>
        <w:rPr>
          <w:color w:val="000000"/>
        </w:rPr>
        <w:t xml:space="preserve">  </w:t>
      </w:r>
      <w:r w:rsidRPr="00D61793">
        <w:rPr>
          <w:color w:val="000000"/>
        </w:rPr>
        <w:t>9.353</w:t>
      </w:r>
    </w:p>
    <w:p w:rsidR="004B479E" w:rsidRPr="00D61793" w:rsidRDefault="004B479E" w:rsidP="004B479E">
      <w:pPr>
        <w:keepNext/>
        <w:widowControl w:val="0"/>
        <w:suppressAutoHyphens w:val="0"/>
        <w:autoSpaceDE w:val="0"/>
        <w:autoSpaceDN w:val="0"/>
        <w:adjustRightInd w:val="0"/>
        <w:spacing w:line="360" w:lineRule="auto"/>
        <w:jc w:val="both"/>
        <w:rPr>
          <w:color w:val="000000"/>
        </w:rPr>
      </w:pPr>
      <w:r w:rsidRPr="00D61793">
        <w:rPr>
          <w:color w:val="000000"/>
        </w:rPr>
        <w:t xml:space="preserve">                                                        IRPF                                                 $ 12.178</w:t>
      </w:r>
    </w:p>
    <w:p w:rsidR="004B479E" w:rsidRPr="00D61793" w:rsidRDefault="004B479E" w:rsidP="004B479E">
      <w:pPr>
        <w:keepNext/>
        <w:widowControl w:val="0"/>
        <w:suppressAutoHyphens w:val="0"/>
        <w:autoSpaceDE w:val="0"/>
        <w:autoSpaceDN w:val="0"/>
        <w:adjustRightInd w:val="0"/>
        <w:spacing w:line="360" w:lineRule="auto"/>
        <w:jc w:val="both"/>
        <w:rPr>
          <w:color w:val="000000"/>
        </w:rPr>
      </w:pPr>
      <w:r w:rsidRPr="00D61793">
        <w:rPr>
          <w:color w:val="000000"/>
        </w:rPr>
        <w:t xml:space="preserve">                                                        Liquido antes de otros descuentos  $ 41.468</w:t>
      </w:r>
    </w:p>
    <w:p w:rsidR="004B479E" w:rsidRPr="00D61793" w:rsidRDefault="004B479E" w:rsidP="004B479E">
      <w:pPr>
        <w:keepNext/>
        <w:widowControl w:val="0"/>
        <w:suppressAutoHyphens w:val="0"/>
        <w:autoSpaceDE w:val="0"/>
        <w:autoSpaceDN w:val="0"/>
        <w:adjustRightInd w:val="0"/>
        <w:spacing w:line="360" w:lineRule="auto"/>
        <w:jc w:val="both"/>
        <w:rPr>
          <w:b/>
          <w:color w:val="000000"/>
        </w:rPr>
      </w:pPr>
      <w:r w:rsidRPr="00D61793">
        <w:rPr>
          <w:b/>
          <w:color w:val="000000"/>
        </w:rPr>
        <w:t xml:space="preserve">                                                        30%                                                  $ 12.440</w:t>
      </w:r>
    </w:p>
    <w:p w:rsidR="004B479E" w:rsidRPr="00D61793" w:rsidRDefault="004B479E" w:rsidP="004B479E">
      <w:pPr>
        <w:keepNext/>
        <w:widowControl w:val="0"/>
        <w:suppressAutoHyphens w:val="0"/>
        <w:spacing w:line="360" w:lineRule="auto"/>
        <w:jc w:val="both"/>
        <w:rPr>
          <w:b/>
        </w:rPr>
      </w:pPr>
    </w:p>
    <w:p w:rsidR="004B479E" w:rsidRPr="00D61793" w:rsidRDefault="004B479E" w:rsidP="004B479E">
      <w:pPr>
        <w:keepNext/>
        <w:widowControl w:val="0"/>
        <w:suppressAutoHyphens w:val="0"/>
        <w:spacing w:line="360" w:lineRule="auto"/>
        <w:jc w:val="both"/>
        <w:outlineLvl w:val="1"/>
        <w:rPr>
          <w:b/>
          <w:kern w:val="18"/>
        </w:rPr>
      </w:pPr>
      <w:r w:rsidRPr="00D61793">
        <w:rPr>
          <w:b/>
          <w:kern w:val="18"/>
        </w:rPr>
        <w:t>4.3  Artículo 11.1 del Presupuesto Quinquenal - Compensación Especial</w:t>
      </w:r>
    </w:p>
    <w:p w:rsidR="004B479E" w:rsidRPr="00D61793" w:rsidRDefault="004B479E" w:rsidP="004B479E">
      <w:pPr>
        <w:keepNext/>
        <w:widowControl w:val="0"/>
        <w:suppressAutoHyphens w:val="0"/>
        <w:spacing w:line="360" w:lineRule="auto"/>
        <w:jc w:val="both"/>
      </w:pPr>
      <w:r>
        <w:t>Este A</w:t>
      </w:r>
      <w:r w:rsidRPr="00D61793">
        <w:t>rtículo prevé “una compensación especial” de atención de comisiones para todos los funcionarios de la Junta que sean designados para la atención de comisiones per</w:t>
      </w:r>
      <w:r>
        <w:t>manentes o especiales del Cuerpo</w:t>
      </w:r>
      <w:r w:rsidRPr="00D61793">
        <w:t>, o cumplan funciones extraordinarias encomendadas por la Mesa o la Junta. No se liquidará esta partida cuando la comisión sesione dentro del horario habitual del funcion</w:t>
      </w:r>
      <w:r w:rsidR="00E94DFA">
        <w:t>ario designado para atenderla.”</w:t>
      </w:r>
    </w:p>
    <w:p w:rsidR="004B479E" w:rsidRPr="00D61793" w:rsidRDefault="004B479E" w:rsidP="004B479E">
      <w:pPr>
        <w:keepNext/>
        <w:widowControl w:val="0"/>
        <w:suppressAutoHyphens w:val="0"/>
        <w:spacing w:line="360" w:lineRule="auto"/>
        <w:jc w:val="both"/>
      </w:pPr>
      <w:r>
        <w:t>Al amparo de este A</w:t>
      </w:r>
      <w:r w:rsidRPr="00D61793">
        <w:t>rtículo, se constató un pago a los funcionarios de la Junta de $ 954.584 por concepto de compensaciones que no se ajusta en su totalidad a lo establecido en la citada norma debido a que dicha partida se otorgó a la totalidad de los funcionarios. Además, se constató que no se aplicaron los controles adecuados respecto al horario en el cual dichas comisiones sesionan. Todos los meses se abona el importe de 8 comisiones por idéntico valor.</w:t>
      </w:r>
    </w:p>
    <w:p w:rsidR="004B479E" w:rsidRPr="00D61793" w:rsidRDefault="004B479E" w:rsidP="004B479E">
      <w:pPr>
        <w:keepNext/>
        <w:widowControl w:val="0"/>
        <w:suppressAutoHyphens w:val="0"/>
        <w:spacing w:line="360" w:lineRule="auto"/>
        <w:jc w:val="both"/>
      </w:pPr>
      <w:r w:rsidRPr="00D61793">
        <w:t>Asimismo, se verificó también la existencia de adelantos de sueldos q</w:t>
      </w:r>
      <w:r>
        <w:t>ue fueran descontados en un 100</w:t>
      </w:r>
      <w:r w:rsidRPr="00D61793">
        <w:t>% de la mencionada partida, lo cual no está contemplado en la norma presupuestal referida.</w:t>
      </w:r>
    </w:p>
    <w:p w:rsidR="004B479E" w:rsidRPr="00D61793" w:rsidRDefault="004B479E" w:rsidP="004B479E">
      <w:pPr>
        <w:keepNext/>
        <w:widowControl w:val="0"/>
        <w:suppressAutoHyphens w:val="0"/>
        <w:spacing w:line="360" w:lineRule="auto"/>
        <w:jc w:val="both"/>
        <w:rPr>
          <w:b/>
        </w:rPr>
      </w:pPr>
      <w:r w:rsidRPr="00D61793">
        <w:rPr>
          <w:b/>
          <w:bCs/>
        </w:rPr>
        <w:t>4.4 Artículo 23 del TOCAF</w:t>
      </w:r>
    </w:p>
    <w:p w:rsidR="004B479E" w:rsidRPr="00D61793" w:rsidRDefault="004B479E" w:rsidP="004B479E">
      <w:pPr>
        <w:keepNext/>
        <w:widowControl w:val="0"/>
        <w:suppressAutoHyphens w:val="0"/>
        <w:autoSpaceDE w:val="0"/>
        <w:autoSpaceDN w:val="0"/>
        <w:adjustRightInd w:val="0"/>
        <w:spacing w:line="360" w:lineRule="auto"/>
        <w:jc w:val="both"/>
        <w:rPr>
          <w:color w:val="000000"/>
        </w:rPr>
      </w:pPr>
      <w:r w:rsidRPr="00D61793">
        <w:rPr>
          <w:color w:val="000000"/>
        </w:rPr>
        <w:t>Se ejecutaron y se pagaron gastos sin haber sido autorizados por el Ordenador   competente. A continuación se adjunta cuadro con algunas de las órdenes referidas:</w:t>
      </w:r>
    </w:p>
    <w:tbl>
      <w:tblPr>
        <w:tblW w:w="4040" w:type="dxa"/>
        <w:tblInd w:w="55" w:type="dxa"/>
        <w:tblCellMar>
          <w:left w:w="70" w:type="dxa"/>
          <w:right w:w="70" w:type="dxa"/>
        </w:tblCellMar>
        <w:tblLook w:val="04A0" w:firstRow="1" w:lastRow="0" w:firstColumn="1" w:lastColumn="0" w:noHBand="0" w:noVBand="1"/>
      </w:tblPr>
      <w:tblGrid>
        <w:gridCol w:w="1200"/>
        <w:gridCol w:w="1200"/>
        <w:gridCol w:w="1640"/>
      </w:tblGrid>
      <w:tr w:rsidR="004B479E" w:rsidRPr="00D61793" w:rsidTr="00B05D01">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479E" w:rsidRPr="00D61793" w:rsidRDefault="004B479E" w:rsidP="004B479E">
            <w:pPr>
              <w:keepNext/>
              <w:widowControl w:val="0"/>
              <w:suppressAutoHyphens w:val="0"/>
              <w:jc w:val="center"/>
              <w:rPr>
                <w:rFonts w:ascii="Calibri" w:hAnsi="Calibri"/>
                <w:b/>
                <w:bCs/>
                <w:color w:val="000000"/>
                <w:sz w:val="22"/>
                <w:szCs w:val="22"/>
              </w:rPr>
            </w:pPr>
            <w:r w:rsidRPr="00D61793">
              <w:rPr>
                <w:rFonts w:ascii="Calibri" w:hAnsi="Calibri"/>
                <w:b/>
                <w:bCs/>
                <w:color w:val="000000"/>
                <w:sz w:val="22"/>
                <w:szCs w:val="22"/>
              </w:rPr>
              <w:t>Fecha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4B479E" w:rsidRPr="00D61793" w:rsidRDefault="004B479E" w:rsidP="004B479E">
            <w:pPr>
              <w:keepNext/>
              <w:widowControl w:val="0"/>
              <w:suppressAutoHyphens w:val="0"/>
              <w:jc w:val="center"/>
              <w:rPr>
                <w:rFonts w:ascii="Calibri" w:hAnsi="Calibri"/>
                <w:b/>
                <w:bCs/>
                <w:color w:val="000000"/>
                <w:sz w:val="22"/>
                <w:szCs w:val="22"/>
              </w:rPr>
            </w:pPr>
            <w:r w:rsidRPr="00D61793">
              <w:rPr>
                <w:rFonts w:ascii="Calibri" w:hAnsi="Calibri"/>
                <w:b/>
                <w:bCs/>
                <w:color w:val="000000"/>
                <w:sz w:val="22"/>
                <w:szCs w:val="22"/>
              </w:rPr>
              <w:t>Nº orden</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4B479E" w:rsidRPr="00D61793" w:rsidRDefault="004B479E" w:rsidP="004B479E">
            <w:pPr>
              <w:keepNext/>
              <w:widowControl w:val="0"/>
              <w:suppressAutoHyphens w:val="0"/>
              <w:jc w:val="center"/>
              <w:rPr>
                <w:rFonts w:ascii="Calibri" w:hAnsi="Calibri"/>
                <w:b/>
                <w:bCs/>
                <w:color w:val="000000"/>
                <w:sz w:val="22"/>
                <w:szCs w:val="22"/>
              </w:rPr>
            </w:pPr>
            <w:r w:rsidRPr="00D61793">
              <w:rPr>
                <w:rFonts w:ascii="Calibri" w:hAnsi="Calibri"/>
                <w:b/>
                <w:bCs/>
                <w:color w:val="000000"/>
                <w:sz w:val="22"/>
                <w:szCs w:val="22"/>
              </w:rPr>
              <w:t>Importe</w:t>
            </w:r>
          </w:p>
        </w:tc>
      </w:tr>
      <w:tr w:rsidR="004B479E" w:rsidRPr="00D61793" w:rsidTr="00B05D01">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B479E" w:rsidRPr="00D61793" w:rsidRDefault="004B479E" w:rsidP="004B479E">
            <w:pPr>
              <w:keepNext/>
              <w:widowControl w:val="0"/>
              <w:suppressAutoHyphens w:val="0"/>
              <w:jc w:val="center"/>
              <w:rPr>
                <w:rFonts w:ascii="Calibri" w:hAnsi="Calibri"/>
                <w:color w:val="000000"/>
                <w:sz w:val="22"/>
                <w:szCs w:val="22"/>
              </w:rPr>
            </w:pPr>
            <w:r w:rsidRPr="00D61793">
              <w:rPr>
                <w:rFonts w:ascii="Calibri" w:hAnsi="Calibri"/>
                <w:color w:val="000000"/>
                <w:sz w:val="22"/>
                <w:szCs w:val="22"/>
              </w:rPr>
              <w:t>13-8-14</w:t>
            </w:r>
          </w:p>
        </w:tc>
        <w:tc>
          <w:tcPr>
            <w:tcW w:w="1200" w:type="dxa"/>
            <w:tcBorders>
              <w:top w:val="nil"/>
              <w:left w:val="nil"/>
              <w:bottom w:val="single" w:sz="4" w:space="0" w:color="auto"/>
              <w:right w:val="single" w:sz="4" w:space="0" w:color="auto"/>
            </w:tcBorders>
            <w:shd w:val="clear" w:color="auto" w:fill="auto"/>
            <w:noWrap/>
            <w:vAlign w:val="bottom"/>
            <w:hideMark/>
          </w:tcPr>
          <w:p w:rsidR="004B479E" w:rsidRPr="00D61793" w:rsidRDefault="004B479E" w:rsidP="004B479E">
            <w:pPr>
              <w:keepNext/>
              <w:widowControl w:val="0"/>
              <w:suppressAutoHyphens w:val="0"/>
              <w:jc w:val="center"/>
              <w:rPr>
                <w:rFonts w:ascii="Calibri" w:hAnsi="Calibri"/>
                <w:color w:val="000000"/>
                <w:sz w:val="22"/>
                <w:szCs w:val="22"/>
              </w:rPr>
            </w:pPr>
            <w:r w:rsidRPr="00D61793">
              <w:rPr>
                <w:rFonts w:ascii="Calibri" w:hAnsi="Calibri"/>
                <w:color w:val="000000"/>
                <w:sz w:val="22"/>
                <w:szCs w:val="22"/>
              </w:rPr>
              <w:t>32</w:t>
            </w:r>
          </w:p>
        </w:tc>
        <w:tc>
          <w:tcPr>
            <w:tcW w:w="1640" w:type="dxa"/>
            <w:tcBorders>
              <w:top w:val="nil"/>
              <w:left w:val="nil"/>
              <w:bottom w:val="single" w:sz="4" w:space="0" w:color="auto"/>
              <w:right w:val="single" w:sz="4" w:space="0" w:color="auto"/>
            </w:tcBorders>
            <w:shd w:val="clear" w:color="auto" w:fill="auto"/>
            <w:noWrap/>
            <w:vAlign w:val="bottom"/>
            <w:hideMark/>
          </w:tcPr>
          <w:p w:rsidR="004B479E" w:rsidRPr="00D61793" w:rsidRDefault="004B479E" w:rsidP="004B479E">
            <w:pPr>
              <w:keepNext/>
              <w:widowControl w:val="0"/>
              <w:suppressAutoHyphens w:val="0"/>
              <w:jc w:val="center"/>
              <w:rPr>
                <w:rFonts w:ascii="Calibri" w:hAnsi="Calibri"/>
                <w:color w:val="000000"/>
                <w:sz w:val="22"/>
                <w:szCs w:val="22"/>
              </w:rPr>
            </w:pPr>
            <w:r w:rsidRPr="00D61793">
              <w:rPr>
                <w:rFonts w:ascii="Calibri" w:hAnsi="Calibri"/>
                <w:color w:val="000000"/>
                <w:sz w:val="22"/>
                <w:szCs w:val="22"/>
              </w:rPr>
              <w:t>5.000</w:t>
            </w:r>
          </w:p>
        </w:tc>
      </w:tr>
      <w:tr w:rsidR="004B479E" w:rsidRPr="00D61793" w:rsidTr="00B05D01">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B479E" w:rsidRPr="00D61793" w:rsidRDefault="004B479E" w:rsidP="004B479E">
            <w:pPr>
              <w:keepNext/>
              <w:widowControl w:val="0"/>
              <w:suppressAutoHyphens w:val="0"/>
              <w:jc w:val="center"/>
              <w:rPr>
                <w:rFonts w:ascii="Calibri" w:hAnsi="Calibri"/>
                <w:color w:val="000000"/>
                <w:sz w:val="22"/>
                <w:szCs w:val="22"/>
              </w:rPr>
            </w:pPr>
            <w:r w:rsidRPr="00D61793">
              <w:rPr>
                <w:rFonts w:ascii="Calibri" w:hAnsi="Calibri"/>
                <w:color w:val="000000"/>
                <w:sz w:val="22"/>
                <w:szCs w:val="22"/>
              </w:rPr>
              <w:t>13-8-14</w:t>
            </w:r>
          </w:p>
        </w:tc>
        <w:tc>
          <w:tcPr>
            <w:tcW w:w="1200" w:type="dxa"/>
            <w:tcBorders>
              <w:top w:val="nil"/>
              <w:left w:val="nil"/>
              <w:bottom w:val="single" w:sz="4" w:space="0" w:color="auto"/>
              <w:right w:val="single" w:sz="4" w:space="0" w:color="auto"/>
            </w:tcBorders>
            <w:shd w:val="clear" w:color="auto" w:fill="auto"/>
            <w:noWrap/>
            <w:vAlign w:val="bottom"/>
            <w:hideMark/>
          </w:tcPr>
          <w:p w:rsidR="004B479E" w:rsidRPr="00D61793" w:rsidRDefault="004B479E" w:rsidP="004B479E">
            <w:pPr>
              <w:keepNext/>
              <w:widowControl w:val="0"/>
              <w:suppressAutoHyphens w:val="0"/>
              <w:jc w:val="center"/>
              <w:rPr>
                <w:rFonts w:ascii="Calibri" w:hAnsi="Calibri"/>
                <w:color w:val="000000"/>
                <w:sz w:val="22"/>
                <w:szCs w:val="22"/>
              </w:rPr>
            </w:pPr>
            <w:r w:rsidRPr="00D61793">
              <w:rPr>
                <w:rFonts w:ascii="Calibri" w:hAnsi="Calibri"/>
                <w:color w:val="000000"/>
                <w:sz w:val="22"/>
                <w:szCs w:val="22"/>
              </w:rPr>
              <w:t>31</w:t>
            </w:r>
          </w:p>
        </w:tc>
        <w:tc>
          <w:tcPr>
            <w:tcW w:w="1640" w:type="dxa"/>
            <w:tcBorders>
              <w:top w:val="nil"/>
              <w:left w:val="nil"/>
              <w:bottom w:val="single" w:sz="4" w:space="0" w:color="auto"/>
              <w:right w:val="single" w:sz="4" w:space="0" w:color="auto"/>
            </w:tcBorders>
            <w:shd w:val="clear" w:color="auto" w:fill="auto"/>
            <w:noWrap/>
            <w:vAlign w:val="bottom"/>
            <w:hideMark/>
          </w:tcPr>
          <w:p w:rsidR="004B479E" w:rsidRPr="00D61793" w:rsidRDefault="004B479E" w:rsidP="004B479E">
            <w:pPr>
              <w:keepNext/>
              <w:widowControl w:val="0"/>
              <w:suppressAutoHyphens w:val="0"/>
              <w:jc w:val="center"/>
              <w:rPr>
                <w:rFonts w:ascii="Calibri" w:hAnsi="Calibri"/>
                <w:color w:val="000000"/>
                <w:sz w:val="22"/>
                <w:szCs w:val="22"/>
              </w:rPr>
            </w:pPr>
            <w:r w:rsidRPr="00D61793">
              <w:rPr>
                <w:rFonts w:ascii="Calibri" w:hAnsi="Calibri"/>
                <w:color w:val="000000"/>
                <w:sz w:val="22"/>
                <w:szCs w:val="22"/>
              </w:rPr>
              <w:t>17.717</w:t>
            </w:r>
          </w:p>
        </w:tc>
      </w:tr>
      <w:tr w:rsidR="004B479E" w:rsidRPr="00D61793" w:rsidTr="00B05D01">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B479E" w:rsidRPr="00D61793" w:rsidRDefault="004B479E" w:rsidP="004B479E">
            <w:pPr>
              <w:keepNext/>
              <w:widowControl w:val="0"/>
              <w:suppressAutoHyphens w:val="0"/>
              <w:jc w:val="center"/>
              <w:rPr>
                <w:rFonts w:ascii="Calibri" w:hAnsi="Calibri"/>
                <w:color w:val="000000"/>
                <w:sz w:val="22"/>
                <w:szCs w:val="22"/>
              </w:rPr>
            </w:pPr>
            <w:r w:rsidRPr="00D61793">
              <w:rPr>
                <w:rFonts w:ascii="Calibri" w:hAnsi="Calibri"/>
                <w:color w:val="000000"/>
                <w:sz w:val="22"/>
                <w:szCs w:val="22"/>
              </w:rPr>
              <w:t>18-8-14</w:t>
            </w:r>
          </w:p>
        </w:tc>
        <w:tc>
          <w:tcPr>
            <w:tcW w:w="1200" w:type="dxa"/>
            <w:tcBorders>
              <w:top w:val="nil"/>
              <w:left w:val="nil"/>
              <w:bottom w:val="single" w:sz="4" w:space="0" w:color="auto"/>
              <w:right w:val="single" w:sz="4" w:space="0" w:color="auto"/>
            </w:tcBorders>
            <w:shd w:val="clear" w:color="auto" w:fill="auto"/>
            <w:noWrap/>
            <w:vAlign w:val="bottom"/>
            <w:hideMark/>
          </w:tcPr>
          <w:p w:rsidR="004B479E" w:rsidRPr="00D61793" w:rsidRDefault="004B479E" w:rsidP="004B479E">
            <w:pPr>
              <w:keepNext/>
              <w:widowControl w:val="0"/>
              <w:suppressAutoHyphens w:val="0"/>
              <w:jc w:val="center"/>
              <w:rPr>
                <w:rFonts w:ascii="Calibri" w:hAnsi="Calibri"/>
                <w:color w:val="000000"/>
                <w:sz w:val="22"/>
                <w:szCs w:val="22"/>
              </w:rPr>
            </w:pPr>
            <w:r w:rsidRPr="00D61793">
              <w:rPr>
                <w:rFonts w:ascii="Calibri" w:hAnsi="Calibri"/>
                <w:color w:val="000000"/>
                <w:sz w:val="22"/>
                <w:szCs w:val="22"/>
              </w:rPr>
              <w:t>44</w:t>
            </w:r>
          </w:p>
        </w:tc>
        <w:tc>
          <w:tcPr>
            <w:tcW w:w="1640" w:type="dxa"/>
            <w:tcBorders>
              <w:top w:val="nil"/>
              <w:left w:val="nil"/>
              <w:bottom w:val="single" w:sz="4" w:space="0" w:color="auto"/>
              <w:right w:val="single" w:sz="4" w:space="0" w:color="auto"/>
            </w:tcBorders>
            <w:shd w:val="clear" w:color="auto" w:fill="auto"/>
            <w:noWrap/>
            <w:vAlign w:val="bottom"/>
            <w:hideMark/>
          </w:tcPr>
          <w:p w:rsidR="004B479E" w:rsidRPr="00D61793" w:rsidRDefault="004B479E" w:rsidP="004B479E">
            <w:pPr>
              <w:keepNext/>
              <w:widowControl w:val="0"/>
              <w:suppressAutoHyphens w:val="0"/>
              <w:jc w:val="center"/>
              <w:rPr>
                <w:rFonts w:ascii="Calibri" w:hAnsi="Calibri"/>
                <w:color w:val="000000"/>
                <w:sz w:val="22"/>
                <w:szCs w:val="22"/>
              </w:rPr>
            </w:pPr>
            <w:r w:rsidRPr="00D61793">
              <w:rPr>
                <w:rFonts w:ascii="Calibri" w:hAnsi="Calibri"/>
                <w:color w:val="000000"/>
                <w:sz w:val="22"/>
                <w:szCs w:val="22"/>
              </w:rPr>
              <w:t>3.000</w:t>
            </w:r>
          </w:p>
        </w:tc>
      </w:tr>
      <w:tr w:rsidR="004B479E" w:rsidRPr="00D61793" w:rsidTr="00B05D01">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B479E" w:rsidRPr="00D61793" w:rsidRDefault="004B479E" w:rsidP="004B479E">
            <w:pPr>
              <w:keepNext/>
              <w:widowControl w:val="0"/>
              <w:suppressAutoHyphens w:val="0"/>
              <w:jc w:val="center"/>
              <w:rPr>
                <w:rFonts w:ascii="Calibri" w:hAnsi="Calibri"/>
                <w:color w:val="000000"/>
                <w:sz w:val="22"/>
                <w:szCs w:val="22"/>
              </w:rPr>
            </w:pPr>
            <w:r w:rsidRPr="00D61793">
              <w:rPr>
                <w:rFonts w:ascii="Calibri" w:hAnsi="Calibri"/>
                <w:color w:val="000000"/>
                <w:sz w:val="22"/>
                <w:szCs w:val="22"/>
              </w:rPr>
              <w:t>15-8-14</w:t>
            </w:r>
          </w:p>
        </w:tc>
        <w:tc>
          <w:tcPr>
            <w:tcW w:w="1200" w:type="dxa"/>
            <w:tcBorders>
              <w:top w:val="nil"/>
              <w:left w:val="nil"/>
              <w:bottom w:val="single" w:sz="4" w:space="0" w:color="auto"/>
              <w:right w:val="single" w:sz="4" w:space="0" w:color="auto"/>
            </w:tcBorders>
            <w:shd w:val="clear" w:color="auto" w:fill="auto"/>
            <w:noWrap/>
            <w:vAlign w:val="bottom"/>
            <w:hideMark/>
          </w:tcPr>
          <w:p w:rsidR="004B479E" w:rsidRPr="00D61793" w:rsidRDefault="004B479E" w:rsidP="004B479E">
            <w:pPr>
              <w:keepNext/>
              <w:widowControl w:val="0"/>
              <w:suppressAutoHyphens w:val="0"/>
              <w:jc w:val="center"/>
              <w:rPr>
                <w:rFonts w:ascii="Calibri" w:hAnsi="Calibri"/>
                <w:color w:val="000000"/>
                <w:sz w:val="22"/>
                <w:szCs w:val="22"/>
              </w:rPr>
            </w:pPr>
            <w:r w:rsidRPr="00D61793">
              <w:rPr>
                <w:rFonts w:ascii="Calibri" w:hAnsi="Calibri"/>
                <w:color w:val="000000"/>
                <w:sz w:val="22"/>
                <w:szCs w:val="22"/>
              </w:rPr>
              <w:t>45</w:t>
            </w:r>
          </w:p>
        </w:tc>
        <w:tc>
          <w:tcPr>
            <w:tcW w:w="1640" w:type="dxa"/>
            <w:tcBorders>
              <w:top w:val="nil"/>
              <w:left w:val="nil"/>
              <w:bottom w:val="single" w:sz="4" w:space="0" w:color="auto"/>
              <w:right w:val="single" w:sz="4" w:space="0" w:color="auto"/>
            </w:tcBorders>
            <w:shd w:val="clear" w:color="auto" w:fill="auto"/>
            <w:noWrap/>
            <w:vAlign w:val="bottom"/>
            <w:hideMark/>
          </w:tcPr>
          <w:p w:rsidR="004B479E" w:rsidRPr="00D61793" w:rsidRDefault="004B479E" w:rsidP="004B479E">
            <w:pPr>
              <w:keepNext/>
              <w:widowControl w:val="0"/>
              <w:suppressAutoHyphens w:val="0"/>
              <w:jc w:val="center"/>
              <w:rPr>
                <w:rFonts w:ascii="Calibri" w:hAnsi="Calibri"/>
                <w:color w:val="000000"/>
                <w:sz w:val="22"/>
                <w:szCs w:val="22"/>
              </w:rPr>
            </w:pPr>
            <w:r w:rsidRPr="00D61793">
              <w:rPr>
                <w:rFonts w:ascii="Calibri" w:hAnsi="Calibri"/>
                <w:color w:val="000000"/>
                <w:sz w:val="22"/>
                <w:szCs w:val="22"/>
              </w:rPr>
              <w:t>9.240</w:t>
            </w:r>
          </w:p>
        </w:tc>
      </w:tr>
      <w:tr w:rsidR="004B479E" w:rsidRPr="00D61793" w:rsidTr="00B05D01">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B479E" w:rsidRPr="00D61793" w:rsidRDefault="004B479E" w:rsidP="004B479E">
            <w:pPr>
              <w:keepNext/>
              <w:widowControl w:val="0"/>
              <w:suppressAutoHyphens w:val="0"/>
              <w:jc w:val="center"/>
              <w:rPr>
                <w:rFonts w:ascii="Calibri" w:hAnsi="Calibri"/>
                <w:color w:val="000000"/>
                <w:sz w:val="22"/>
                <w:szCs w:val="22"/>
              </w:rPr>
            </w:pPr>
            <w:r w:rsidRPr="00D61793">
              <w:rPr>
                <w:rFonts w:ascii="Calibri" w:hAnsi="Calibri"/>
                <w:color w:val="000000"/>
                <w:sz w:val="22"/>
                <w:szCs w:val="22"/>
              </w:rPr>
              <w:t>25-7-14</w:t>
            </w:r>
          </w:p>
        </w:tc>
        <w:tc>
          <w:tcPr>
            <w:tcW w:w="1200" w:type="dxa"/>
            <w:tcBorders>
              <w:top w:val="nil"/>
              <w:left w:val="nil"/>
              <w:bottom w:val="single" w:sz="4" w:space="0" w:color="auto"/>
              <w:right w:val="single" w:sz="4" w:space="0" w:color="auto"/>
            </w:tcBorders>
            <w:shd w:val="clear" w:color="auto" w:fill="auto"/>
            <w:noWrap/>
            <w:vAlign w:val="bottom"/>
            <w:hideMark/>
          </w:tcPr>
          <w:p w:rsidR="004B479E" w:rsidRPr="00D61793" w:rsidRDefault="004B479E" w:rsidP="004B479E">
            <w:pPr>
              <w:keepNext/>
              <w:widowControl w:val="0"/>
              <w:suppressAutoHyphens w:val="0"/>
              <w:jc w:val="center"/>
              <w:rPr>
                <w:rFonts w:ascii="Calibri" w:hAnsi="Calibri"/>
                <w:color w:val="000000"/>
                <w:sz w:val="22"/>
                <w:szCs w:val="22"/>
              </w:rPr>
            </w:pPr>
            <w:r w:rsidRPr="00D61793">
              <w:rPr>
                <w:rFonts w:ascii="Calibri" w:hAnsi="Calibri"/>
                <w:color w:val="000000"/>
                <w:sz w:val="22"/>
                <w:szCs w:val="22"/>
              </w:rPr>
              <w:t>72</w:t>
            </w:r>
          </w:p>
        </w:tc>
        <w:tc>
          <w:tcPr>
            <w:tcW w:w="1640" w:type="dxa"/>
            <w:tcBorders>
              <w:top w:val="nil"/>
              <w:left w:val="nil"/>
              <w:bottom w:val="single" w:sz="4" w:space="0" w:color="auto"/>
              <w:right w:val="single" w:sz="4" w:space="0" w:color="auto"/>
            </w:tcBorders>
            <w:shd w:val="clear" w:color="auto" w:fill="auto"/>
            <w:noWrap/>
            <w:vAlign w:val="bottom"/>
            <w:hideMark/>
          </w:tcPr>
          <w:p w:rsidR="004B479E" w:rsidRPr="00D61793" w:rsidRDefault="004B479E" w:rsidP="004B479E">
            <w:pPr>
              <w:keepNext/>
              <w:widowControl w:val="0"/>
              <w:suppressAutoHyphens w:val="0"/>
              <w:jc w:val="center"/>
              <w:rPr>
                <w:rFonts w:ascii="Calibri" w:hAnsi="Calibri"/>
                <w:color w:val="000000"/>
                <w:sz w:val="22"/>
                <w:szCs w:val="22"/>
              </w:rPr>
            </w:pPr>
            <w:r w:rsidRPr="00D61793">
              <w:rPr>
                <w:rFonts w:ascii="Calibri" w:hAnsi="Calibri"/>
                <w:color w:val="000000"/>
                <w:sz w:val="22"/>
                <w:szCs w:val="22"/>
              </w:rPr>
              <w:t>5.000</w:t>
            </w:r>
          </w:p>
        </w:tc>
      </w:tr>
      <w:tr w:rsidR="004B479E" w:rsidRPr="00D61793" w:rsidTr="00B05D01">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B479E" w:rsidRPr="00D61793" w:rsidRDefault="004B479E" w:rsidP="004B479E">
            <w:pPr>
              <w:keepNext/>
              <w:widowControl w:val="0"/>
              <w:suppressAutoHyphens w:val="0"/>
              <w:jc w:val="center"/>
              <w:rPr>
                <w:rFonts w:ascii="Calibri" w:hAnsi="Calibri"/>
                <w:color w:val="000000"/>
                <w:sz w:val="22"/>
                <w:szCs w:val="22"/>
              </w:rPr>
            </w:pPr>
            <w:r w:rsidRPr="00D61793">
              <w:rPr>
                <w:rFonts w:ascii="Calibri" w:hAnsi="Calibri"/>
                <w:color w:val="000000"/>
                <w:sz w:val="22"/>
                <w:szCs w:val="22"/>
              </w:rPr>
              <w:t>25-6-14</w:t>
            </w:r>
          </w:p>
        </w:tc>
        <w:tc>
          <w:tcPr>
            <w:tcW w:w="1200" w:type="dxa"/>
            <w:tcBorders>
              <w:top w:val="nil"/>
              <w:left w:val="nil"/>
              <w:bottom w:val="single" w:sz="4" w:space="0" w:color="auto"/>
              <w:right w:val="single" w:sz="4" w:space="0" w:color="auto"/>
            </w:tcBorders>
            <w:shd w:val="clear" w:color="auto" w:fill="auto"/>
            <w:noWrap/>
            <w:vAlign w:val="bottom"/>
            <w:hideMark/>
          </w:tcPr>
          <w:p w:rsidR="004B479E" w:rsidRPr="00D61793" w:rsidRDefault="004B479E" w:rsidP="004B479E">
            <w:pPr>
              <w:keepNext/>
              <w:widowControl w:val="0"/>
              <w:suppressAutoHyphens w:val="0"/>
              <w:jc w:val="center"/>
              <w:rPr>
                <w:rFonts w:ascii="Calibri" w:hAnsi="Calibri"/>
                <w:color w:val="000000"/>
                <w:sz w:val="22"/>
                <w:szCs w:val="22"/>
              </w:rPr>
            </w:pPr>
            <w:r w:rsidRPr="00D61793">
              <w:rPr>
                <w:rFonts w:ascii="Calibri" w:hAnsi="Calibri"/>
                <w:color w:val="000000"/>
                <w:sz w:val="22"/>
                <w:szCs w:val="22"/>
              </w:rPr>
              <w:t>76</w:t>
            </w:r>
          </w:p>
        </w:tc>
        <w:tc>
          <w:tcPr>
            <w:tcW w:w="1640" w:type="dxa"/>
            <w:tcBorders>
              <w:top w:val="nil"/>
              <w:left w:val="nil"/>
              <w:bottom w:val="single" w:sz="4" w:space="0" w:color="auto"/>
              <w:right w:val="single" w:sz="4" w:space="0" w:color="auto"/>
            </w:tcBorders>
            <w:shd w:val="clear" w:color="auto" w:fill="auto"/>
            <w:noWrap/>
            <w:vAlign w:val="bottom"/>
            <w:hideMark/>
          </w:tcPr>
          <w:p w:rsidR="004B479E" w:rsidRPr="00D61793" w:rsidRDefault="004B479E" w:rsidP="004B479E">
            <w:pPr>
              <w:keepNext/>
              <w:widowControl w:val="0"/>
              <w:suppressAutoHyphens w:val="0"/>
              <w:jc w:val="center"/>
              <w:rPr>
                <w:rFonts w:ascii="Calibri" w:hAnsi="Calibri"/>
                <w:color w:val="000000"/>
                <w:sz w:val="22"/>
                <w:szCs w:val="22"/>
              </w:rPr>
            </w:pPr>
            <w:r w:rsidRPr="00D61793">
              <w:rPr>
                <w:rFonts w:ascii="Calibri" w:hAnsi="Calibri"/>
                <w:color w:val="000000"/>
                <w:sz w:val="22"/>
                <w:szCs w:val="22"/>
              </w:rPr>
              <w:t>8.000</w:t>
            </w:r>
          </w:p>
        </w:tc>
      </w:tr>
      <w:tr w:rsidR="004B479E" w:rsidRPr="00D61793" w:rsidTr="00B05D01">
        <w:trPr>
          <w:trHeight w:val="300"/>
        </w:trPr>
        <w:tc>
          <w:tcPr>
            <w:tcW w:w="1200" w:type="dxa"/>
            <w:tcBorders>
              <w:top w:val="nil"/>
              <w:left w:val="single" w:sz="4" w:space="0" w:color="auto"/>
              <w:bottom w:val="single" w:sz="4" w:space="0" w:color="auto"/>
              <w:right w:val="single" w:sz="4" w:space="0" w:color="auto"/>
            </w:tcBorders>
            <w:shd w:val="clear" w:color="000000" w:fill="D8D8D8"/>
            <w:noWrap/>
            <w:vAlign w:val="bottom"/>
            <w:hideMark/>
          </w:tcPr>
          <w:p w:rsidR="004B479E" w:rsidRPr="00D61793" w:rsidRDefault="004B479E" w:rsidP="004B479E">
            <w:pPr>
              <w:keepNext/>
              <w:widowControl w:val="0"/>
              <w:suppressAutoHyphens w:val="0"/>
              <w:jc w:val="center"/>
              <w:rPr>
                <w:rFonts w:ascii="Calibri" w:hAnsi="Calibri"/>
                <w:b/>
                <w:bCs/>
                <w:color w:val="000000"/>
                <w:sz w:val="22"/>
                <w:szCs w:val="22"/>
              </w:rPr>
            </w:pPr>
            <w:r w:rsidRPr="00D61793">
              <w:rPr>
                <w:rFonts w:ascii="Calibri" w:hAnsi="Calibri"/>
                <w:b/>
                <w:bCs/>
                <w:color w:val="000000"/>
                <w:sz w:val="22"/>
                <w:szCs w:val="22"/>
              </w:rPr>
              <w:t>Total</w:t>
            </w:r>
          </w:p>
        </w:tc>
        <w:tc>
          <w:tcPr>
            <w:tcW w:w="1200" w:type="dxa"/>
            <w:tcBorders>
              <w:top w:val="nil"/>
              <w:left w:val="nil"/>
              <w:bottom w:val="single" w:sz="4" w:space="0" w:color="auto"/>
              <w:right w:val="single" w:sz="4" w:space="0" w:color="auto"/>
            </w:tcBorders>
            <w:shd w:val="clear" w:color="000000" w:fill="D8D8D8"/>
            <w:noWrap/>
            <w:vAlign w:val="bottom"/>
            <w:hideMark/>
          </w:tcPr>
          <w:p w:rsidR="004B479E" w:rsidRPr="00D61793" w:rsidRDefault="004B479E" w:rsidP="004B479E">
            <w:pPr>
              <w:keepNext/>
              <w:widowControl w:val="0"/>
              <w:suppressAutoHyphens w:val="0"/>
              <w:jc w:val="center"/>
              <w:rPr>
                <w:rFonts w:ascii="Calibri" w:hAnsi="Calibri"/>
                <w:b/>
                <w:bCs/>
                <w:color w:val="000000"/>
                <w:sz w:val="22"/>
                <w:szCs w:val="22"/>
              </w:rPr>
            </w:pPr>
            <w:r w:rsidRPr="00D61793">
              <w:rPr>
                <w:rFonts w:ascii="Calibri" w:hAnsi="Calibri"/>
                <w:b/>
                <w:bCs/>
                <w:color w:val="000000"/>
                <w:sz w:val="22"/>
                <w:szCs w:val="22"/>
              </w:rPr>
              <w:t> </w:t>
            </w:r>
          </w:p>
        </w:tc>
        <w:tc>
          <w:tcPr>
            <w:tcW w:w="1640" w:type="dxa"/>
            <w:tcBorders>
              <w:top w:val="nil"/>
              <w:left w:val="nil"/>
              <w:bottom w:val="single" w:sz="4" w:space="0" w:color="auto"/>
              <w:right w:val="single" w:sz="4" w:space="0" w:color="auto"/>
            </w:tcBorders>
            <w:shd w:val="clear" w:color="000000" w:fill="D8D8D8"/>
            <w:noWrap/>
            <w:vAlign w:val="bottom"/>
            <w:hideMark/>
          </w:tcPr>
          <w:p w:rsidR="004B479E" w:rsidRPr="00D61793" w:rsidRDefault="004B479E" w:rsidP="004B479E">
            <w:pPr>
              <w:keepNext/>
              <w:widowControl w:val="0"/>
              <w:suppressAutoHyphens w:val="0"/>
              <w:jc w:val="center"/>
              <w:rPr>
                <w:rFonts w:ascii="Calibri" w:hAnsi="Calibri"/>
                <w:b/>
                <w:bCs/>
                <w:color w:val="000000"/>
                <w:sz w:val="22"/>
                <w:szCs w:val="22"/>
              </w:rPr>
            </w:pPr>
            <w:r w:rsidRPr="00D61793">
              <w:rPr>
                <w:rFonts w:ascii="Calibri" w:hAnsi="Calibri"/>
                <w:b/>
                <w:bCs/>
                <w:color w:val="000000"/>
                <w:sz w:val="22"/>
                <w:szCs w:val="22"/>
              </w:rPr>
              <w:t>47.957</w:t>
            </w:r>
          </w:p>
        </w:tc>
      </w:tr>
    </w:tbl>
    <w:p w:rsidR="004B479E" w:rsidRPr="00D61793" w:rsidRDefault="004B479E" w:rsidP="004B479E">
      <w:pPr>
        <w:keepNext/>
        <w:widowControl w:val="0"/>
        <w:suppressAutoHyphens w:val="0"/>
        <w:autoSpaceDE w:val="0"/>
        <w:autoSpaceDN w:val="0"/>
        <w:adjustRightInd w:val="0"/>
        <w:spacing w:line="360" w:lineRule="auto"/>
        <w:jc w:val="both"/>
        <w:rPr>
          <w:color w:val="000000"/>
        </w:rPr>
      </w:pPr>
    </w:p>
    <w:p w:rsidR="004B479E" w:rsidRPr="00D61793" w:rsidRDefault="004B479E" w:rsidP="004B479E">
      <w:pPr>
        <w:keepNext/>
        <w:widowControl w:val="0"/>
        <w:suppressAutoHyphens w:val="0"/>
        <w:autoSpaceDE w:val="0"/>
        <w:autoSpaceDN w:val="0"/>
        <w:adjustRightInd w:val="0"/>
        <w:spacing w:line="360" w:lineRule="auto"/>
        <w:jc w:val="both"/>
        <w:rPr>
          <w:b/>
        </w:rPr>
      </w:pPr>
      <w:r w:rsidRPr="00D61793">
        <w:rPr>
          <w:b/>
          <w:color w:val="000000"/>
        </w:rPr>
        <w:t>4.5</w:t>
      </w:r>
      <w:r w:rsidRPr="00D61793">
        <w:rPr>
          <w:color w:val="000000"/>
        </w:rPr>
        <w:t xml:space="preserve"> </w:t>
      </w:r>
      <w:r w:rsidRPr="00D61793">
        <w:rPr>
          <w:b/>
        </w:rPr>
        <w:t>Artículos 33 del TOCAF</w:t>
      </w:r>
    </w:p>
    <w:p w:rsidR="004B479E" w:rsidRPr="00D61793" w:rsidRDefault="004B479E" w:rsidP="004B479E">
      <w:pPr>
        <w:keepNext/>
        <w:widowControl w:val="0"/>
        <w:suppressAutoHyphens w:val="0"/>
        <w:autoSpaceDE w:val="0"/>
        <w:autoSpaceDN w:val="0"/>
        <w:adjustRightInd w:val="0"/>
        <w:spacing w:line="360" w:lineRule="auto"/>
        <w:jc w:val="both"/>
        <w:rPr>
          <w:color w:val="000000"/>
        </w:rPr>
      </w:pPr>
      <w:r w:rsidRPr="00D61793">
        <w:rPr>
          <w:color w:val="000000"/>
        </w:rPr>
        <w:t>En algunos casos la Junta Departamental realizó contrataciones en forma directa sin haber realizado los procedimientos previstos en la referida norma.</w:t>
      </w:r>
    </w:p>
    <w:p w:rsidR="004B479E" w:rsidRPr="00D61793" w:rsidRDefault="004B479E" w:rsidP="004B479E">
      <w:pPr>
        <w:keepNext/>
        <w:widowControl w:val="0"/>
        <w:suppressAutoHyphens w:val="0"/>
        <w:spacing w:line="360" w:lineRule="auto"/>
        <w:jc w:val="both"/>
      </w:pPr>
      <w:r w:rsidRPr="00D61793">
        <w:t>No se efectuaron los procedimientos de compra que hub</w:t>
      </w:r>
      <w:r>
        <w:t>ieran correspondido de acuerdo con el</w:t>
      </w:r>
      <w:r w:rsidRPr="00D61793">
        <w:t xml:space="preserve"> monto de las adquisiciones. Se señala la carencia en las previsiones respectivas cuando esto se ha señalado tamb</w:t>
      </w:r>
      <w:r w:rsidR="00E94DFA">
        <w:t>ién en distintas oportunidades.</w:t>
      </w:r>
    </w:p>
    <w:p w:rsidR="004B479E" w:rsidRPr="00D61793" w:rsidRDefault="004B479E" w:rsidP="004B479E">
      <w:pPr>
        <w:keepNext/>
        <w:widowControl w:val="0"/>
        <w:suppressAutoHyphens w:val="0"/>
        <w:spacing w:line="360" w:lineRule="auto"/>
        <w:jc w:val="both"/>
        <w:rPr>
          <w:b/>
        </w:rPr>
      </w:pPr>
    </w:p>
    <w:p w:rsidR="004B479E" w:rsidRPr="00D61793" w:rsidRDefault="004B479E" w:rsidP="004B479E">
      <w:pPr>
        <w:keepNext/>
        <w:widowControl w:val="0"/>
        <w:suppressAutoHyphens w:val="0"/>
        <w:spacing w:line="360" w:lineRule="auto"/>
        <w:jc w:val="both"/>
        <w:rPr>
          <w:b/>
        </w:rPr>
      </w:pPr>
      <w:r w:rsidRPr="00D61793">
        <w:rPr>
          <w:b/>
        </w:rPr>
        <w:t>4.6 Artículo 59 del Decreto Nº 26/1986 de la Junta Departamental de Treinta y Tres (Estatuto</w:t>
      </w:r>
      <w:r w:rsidR="00E94DFA">
        <w:rPr>
          <w:b/>
        </w:rPr>
        <w:t xml:space="preserve"> Funcionario de la Intendencia)</w:t>
      </w:r>
    </w:p>
    <w:p w:rsidR="004B479E" w:rsidRPr="00D61793" w:rsidRDefault="004B479E" w:rsidP="004B479E">
      <w:pPr>
        <w:keepNext/>
        <w:widowControl w:val="0"/>
        <w:suppressAutoHyphens w:val="0"/>
        <w:spacing w:line="360" w:lineRule="auto"/>
        <w:jc w:val="both"/>
        <w:rPr>
          <w:bCs/>
          <w:lang w:val="es-ES_tradnl" w:eastAsia="x-none"/>
        </w:rPr>
      </w:pPr>
      <w:r>
        <w:rPr>
          <w:lang w:val="es-ES_tradnl"/>
        </w:rPr>
        <w:t>Al igual que en el E</w:t>
      </w:r>
      <w:r w:rsidRPr="00D61793">
        <w:rPr>
          <w:lang w:val="es-ES_tradnl"/>
        </w:rPr>
        <w:t>jercicio anterior s</w:t>
      </w:r>
      <w:r w:rsidRPr="00D61793">
        <w:rPr>
          <w:bCs/>
          <w:lang w:val="es-ES_tradnl" w:eastAsia="x-none"/>
        </w:rPr>
        <w:t>e constató que se abonaron licencias generadas y no gozadas. Además, se canceló con dicha licencia adelantos de sueldos otorgados en meses anteriores.</w:t>
      </w:r>
    </w:p>
    <w:p w:rsidR="004B479E" w:rsidRPr="00D61793" w:rsidRDefault="004B479E" w:rsidP="004B479E">
      <w:pPr>
        <w:keepNext/>
        <w:widowControl w:val="0"/>
        <w:suppressAutoHyphens w:val="0"/>
        <w:spacing w:line="360" w:lineRule="auto"/>
        <w:jc w:val="both"/>
      </w:pPr>
      <w:r w:rsidRPr="00D61793">
        <w:t xml:space="preserve">El Artículo 59 del Estatuto del funcionario municipal establece que “excepcionalmente podrá negarse a los funcionarios el uso de su licencia anual, cuando medien razones de servicio imposibles de subsanar, las que en todo caso deberán expresarse en la denegatoria adoptada por el Sr. Intendente Municipal. En tales casos los funcionarios harán uso de licencia anual en la primera oportunidad posible, no bien hayan desaparecido las razones que fundamentaron la denegatoria. Las licencias denegadas  por </w:t>
      </w:r>
      <w:r>
        <w:t>los motivos expresados en este A</w:t>
      </w:r>
      <w:r w:rsidRPr="00D61793">
        <w:t>rtículo se acumularán con la correspondiente al período siguiente. En ningún caso podrán denegarse licencias en forma tal, que se acumulen más de dos períodos anuales. Si por causas excepcionales esto ocurriera el funcionario nunca perderá el derecho a las licencias generadas”.</w:t>
      </w:r>
    </w:p>
    <w:p w:rsidR="004B479E" w:rsidRPr="00D61793" w:rsidRDefault="004B479E" w:rsidP="004B479E">
      <w:pPr>
        <w:keepNext/>
        <w:widowControl w:val="0"/>
        <w:suppressAutoHyphens w:val="0"/>
        <w:spacing w:line="360" w:lineRule="auto"/>
        <w:jc w:val="both"/>
        <w:outlineLvl w:val="1"/>
        <w:rPr>
          <w:b/>
          <w:kern w:val="18"/>
        </w:rPr>
      </w:pPr>
      <w:bookmarkStart w:id="26" w:name="_Toc278970151"/>
      <w:bookmarkStart w:id="27" w:name="_Toc331077641"/>
      <w:bookmarkStart w:id="28" w:name="_Toc411241482"/>
    </w:p>
    <w:p w:rsidR="004B479E" w:rsidRPr="00D61793" w:rsidRDefault="004B479E" w:rsidP="004B479E">
      <w:pPr>
        <w:keepNext/>
        <w:widowControl w:val="0"/>
        <w:suppressAutoHyphens w:val="0"/>
        <w:spacing w:line="360" w:lineRule="auto"/>
        <w:jc w:val="both"/>
        <w:outlineLvl w:val="1"/>
        <w:rPr>
          <w:b/>
          <w:kern w:val="18"/>
        </w:rPr>
      </w:pPr>
      <w:r w:rsidRPr="00D61793">
        <w:rPr>
          <w:b/>
          <w:kern w:val="18"/>
        </w:rPr>
        <w:t>5 Control Interno</w:t>
      </w:r>
      <w:bookmarkEnd w:id="26"/>
      <w:bookmarkEnd w:id="27"/>
      <w:bookmarkEnd w:id="28"/>
    </w:p>
    <w:p w:rsidR="004B479E" w:rsidRPr="00D61793" w:rsidRDefault="004B479E" w:rsidP="004B479E">
      <w:pPr>
        <w:keepNext/>
        <w:widowControl w:val="0"/>
        <w:suppressAutoHyphens w:val="0"/>
        <w:spacing w:line="360" w:lineRule="auto"/>
        <w:jc w:val="both"/>
        <w:rPr>
          <w:bCs/>
        </w:rPr>
      </w:pPr>
      <w:r w:rsidRPr="00D61793">
        <w:rPr>
          <w:b/>
          <w:bCs/>
        </w:rPr>
        <w:t>5.1.</w:t>
      </w:r>
      <w:r w:rsidRPr="00D61793">
        <w:rPr>
          <w:bCs/>
        </w:rPr>
        <w:t xml:space="preserve"> Se verificó que no se aplican los controles adecuados respecto al cumplimiento del Artículo 6 del Decreto N° 08/1987, de la Junta Departamental por el cual se autoriza a determinados funcionarios así como a los Sres. Ediles, la utilización del vehículo de la Junta Departamental para determinadas situaciones allí especificadas. Además en ningún caso queda constancia de la  asistencia médica o la “urgente necesidad” a la cual hace referencia la citada norma. Asimismo, se constató la contratación de otros vehículos a particulares no contemplados en el mencionado Decreto.</w:t>
      </w:r>
    </w:p>
    <w:p w:rsidR="004B479E" w:rsidRPr="00D61793" w:rsidRDefault="004B479E" w:rsidP="004B479E">
      <w:pPr>
        <w:keepNext/>
        <w:widowControl w:val="0"/>
        <w:suppressAutoHyphens w:val="0"/>
        <w:spacing w:line="360" w:lineRule="auto"/>
        <w:jc w:val="both"/>
        <w:rPr>
          <w:bCs/>
        </w:rPr>
      </w:pPr>
      <w:r w:rsidRPr="00D61793">
        <w:rPr>
          <w:b/>
          <w:bCs/>
        </w:rPr>
        <w:t>5.2</w:t>
      </w:r>
      <w:r w:rsidRPr="00D61793">
        <w:rPr>
          <w:bCs/>
        </w:rPr>
        <w:t xml:space="preserve"> Se constató la contratación de Sociedades Anónimas así como otras empresas para reparaciones varias en el inmueble donde se encuentra la Junta Departamental (sanitaria, electricidad, construcción, etc.) no aplicándose los procedimientos de licitación que hubiera correspondido y no se verificó la existencia de técnicos supervisando dichos gastos. Asimismo, se constató también gastos en mantenimiento de redes y material informático para los cuales no se aplicó la solicitud de tres precios para su cotización, contratándose, en genera</w:t>
      </w:r>
      <w:r w:rsidR="00E94DFA">
        <w:rPr>
          <w:bCs/>
        </w:rPr>
        <w:t>l, con los mismos proveedores.</w:t>
      </w:r>
    </w:p>
    <w:p w:rsidR="004B479E" w:rsidRPr="00D61793" w:rsidRDefault="004B479E" w:rsidP="004B479E">
      <w:pPr>
        <w:keepNext/>
        <w:widowControl w:val="0"/>
        <w:suppressAutoHyphens w:val="0"/>
        <w:spacing w:line="360" w:lineRule="auto"/>
        <w:jc w:val="both"/>
        <w:rPr>
          <w:bCs/>
        </w:rPr>
      </w:pPr>
      <w:r w:rsidRPr="00D61793">
        <w:rPr>
          <w:b/>
          <w:bCs/>
        </w:rPr>
        <w:t xml:space="preserve">5.3 </w:t>
      </w:r>
      <w:r w:rsidRPr="00D61793">
        <w:t>No todas las reposiciones de fondo permanente se realizan adjuntando la documentación de respaldo</w:t>
      </w:r>
      <w:r>
        <w:rPr>
          <w:bCs/>
        </w:rPr>
        <w:t>. Además, las A</w:t>
      </w:r>
      <w:r w:rsidRPr="00D61793">
        <w:rPr>
          <w:bCs/>
        </w:rPr>
        <w:t>ctas de arqueo de caja chica no se presentan cumpliendo las formalidades mínimas.</w:t>
      </w:r>
    </w:p>
    <w:p w:rsidR="004B479E" w:rsidRPr="00D61793" w:rsidRDefault="004B479E" w:rsidP="004B479E">
      <w:pPr>
        <w:keepNext/>
        <w:widowControl w:val="0"/>
        <w:suppressAutoHyphens w:val="0"/>
        <w:spacing w:line="360" w:lineRule="auto"/>
        <w:jc w:val="both"/>
      </w:pPr>
      <w:r w:rsidRPr="00D61793">
        <w:rPr>
          <w:b/>
        </w:rPr>
        <w:t xml:space="preserve">5.4 </w:t>
      </w:r>
      <w:r w:rsidRPr="00D61793">
        <w:t>No se exigen declaraciones juradas como forma de verificar que los funcionarios no perciban otro ingreso de origen público.</w:t>
      </w:r>
    </w:p>
    <w:p w:rsidR="004B479E" w:rsidRPr="00D61793" w:rsidRDefault="004B479E" w:rsidP="004B479E">
      <w:pPr>
        <w:keepNext/>
        <w:widowControl w:val="0"/>
        <w:suppressAutoHyphens w:val="0"/>
        <w:spacing w:line="360" w:lineRule="auto"/>
        <w:jc w:val="both"/>
      </w:pPr>
      <w:bookmarkStart w:id="29" w:name="_Toc278970152"/>
      <w:bookmarkStart w:id="30" w:name="_Toc331077642"/>
      <w:bookmarkStart w:id="31" w:name="_Toc411241483"/>
    </w:p>
    <w:p w:rsidR="004B479E" w:rsidRPr="00D61793" w:rsidRDefault="004B479E" w:rsidP="004B479E">
      <w:pPr>
        <w:keepNext/>
        <w:widowControl w:val="0"/>
        <w:suppressAutoHyphens w:val="0"/>
        <w:spacing w:line="360" w:lineRule="auto"/>
        <w:jc w:val="both"/>
        <w:outlineLvl w:val="1"/>
        <w:rPr>
          <w:b/>
          <w:kern w:val="18"/>
        </w:rPr>
      </w:pPr>
      <w:r w:rsidRPr="00D61793">
        <w:rPr>
          <w:b/>
          <w:kern w:val="18"/>
        </w:rPr>
        <w:t>6 Recomendaciones</w:t>
      </w:r>
      <w:bookmarkEnd w:id="29"/>
      <w:bookmarkEnd w:id="30"/>
      <w:bookmarkEnd w:id="31"/>
    </w:p>
    <w:p w:rsidR="004B479E" w:rsidRPr="00D61793" w:rsidRDefault="004B479E" w:rsidP="004B479E">
      <w:pPr>
        <w:keepNext/>
        <w:widowControl w:val="0"/>
        <w:suppressAutoHyphens w:val="0"/>
        <w:spacing w:line="360" w:lineRule="auto"/>
        <w:jc w:val="both"/>
        <w:outlineLvl w:val="1"/>
        <w:rPr>
          <w:b/>
          <w:kern w:val="18"/>
        </w:rPr>
      </w:pPr>
      <w:bookmarkStart w:id="32" w:name="_Toc411241484"/>
      <w:r w:rsidRPr="00D61793">
        <w:rPr>
          <w:b/>
          <w:kern w:val="18"/>
        </w:rPr>
        <w:t xml:space="preserve">6.1 Recomendaciones del </w:t>
      </w:r>
      <w:r>
        <w:rPr>
          <w:b/>
          <w:kern w:val="18"/>
        </w:rPr>
        <w:t>E</w:t>
      </w:r>
      <w:r w:rsidRPr="00D61793">
        <w:rPr>
          <w:b/>
          <w:kern w:val="18"/>
        </w:rPr>
        <w:t>jercicio anterior cumplidas</w:t>
      </w:r>
      <w:bookmarkEnd w:id="32"/>
    </w:p>
    <w:p w:rsidR="004B479E" w:rsidRPr="00D61793" w:rsidRDefault="004B479E" w:rsidP="004B479E">
      <w:pPr>
        <w:keepNext/>
        <w:widowControl w:val="0"/>
        <w:suppressAutoHyphens w:val="0"/>
        <w:spacing w:line="360" w:lineRule="auto"/>
        <w:jc w:val="both"/>
      </w:pPr>
      <w:r w:rsidRPr="00D61793">
        <w:t>Se cumplió con la presentación del certificado bancario verificándose la documentación de respaldo respecto del depósito a plazo fijo en el B.R.O.U. por un valo</w:t>
      </w:r>
      <w:r w:rsidR="0072403D">
        <w:t>r de 62.076 Unidades Indexadas.</w:t>
      </w:r>
    </w:p>
    <w:p w:rsidR="004B479E" w:rsidRPr="00D61793" w:rsidRDefault="004B479E" w:rsidP="004B479E">
      <w:pPr>
        <w:keepNext/>
        <w:widowControl w:val="0"/>
        <w:suppressAutoHyphens w:val="0"/>
        <w:spacing w:line="360" w:lineRule="auto"/>
        <w:jc w:val="both"/>
      </w:pPr>
    </w:p>
    <w:p w:rsidR="004B479E" w:rsidRPr="00D61793" w:rsidRDefault="004B479E" w:rsidP="004B479E">
      <w:pPr>
        <w:keepNext/>
        <w:widowControl w:val="0"/>
        <w:suppressAutoHyphens w:val="0"/>
        <w:spacing w:line="360" w:lineRule="auto"/>
        <w:jc w:val="both"/>
        <w:outlineLvl w:val="1"/>
        <w:rPr>
          <w:b/>
          <w:kern w:val="18"/>
        </w:rPr>
      </w:pPr>
      <w:bookmarkStart w:id="33" w:name="_Toc141598545"/>
      <w:bookmarkStart w:id="34" w:name="_Toc202002150"/>
      <w:bookmarkStart w:id="35" w:name="_Toc278970158"/>
      <w:bookmarkStart w:id="36" w:name="_Toc331077644"/>
      <w:bookmarkStart w:id="37" w:name="_Toc411241486"/>
      <w:r w:rsidRPr="00D61793">
        <w:rPr>
          <w:b/>
          <w:kern w:val="18"/>
        </w:rPr>
        <w:t xml:space="preserve">6.2 Recomendaciones del </w:t>
      </w:r>
      <w:r>
        <w:rPr>
          <w:b/>
          <w:kern w:val="18"/>
        </w:rPr>
        <w:t>E</w:t>
      </w:r>
      <w:r w:rsidRPr="00D61793">
        <w:rPr>
          <w:b/>
          <w:kern w:val="18"/>
        </w:rPr>
        <w:t>jercicio anterior no cumplidas</w:t>
      </w:r>
      <w:bookmarkEnd w:id="33"/>
      <w:bookmarkEnd w:id="34"/>
      <w:bookmarkEnd w:id="35"/>
      <w:bookmarkEnd w:id="36"/>
      <w:bookmarkEnd w:id="37"/>
    </w:p>
    <w:p w:rsidR="004B479E" w:rsidRPr="00D61793" w:rsidRDefault="004B479E" w:rsidP="004B479E">
      <w:pPr>
        <w:keepNext/>
        <w:widowControl w:val="0"/>
        <w:suppressAutoHyphens w:val="0"/>
        <w:spacing w:line="360" w:lineRule="auto"/>
        <w:jc w:val="both"/>
        <w:outlineLvl w:val="1"/>
        <w:rPr>
          <w:b/>
          <w:kern w:val="18"/>
        </w:rPr>
      </w:pPr>
      <w:bookmarkStart w:id="38" w:name="_Toc278970160"/>
      <w:bookmarkStart w:id="39" w:name="_Toc331077646"/>
      <w:bookmarkStart w:id="40" w:name="_Toc411241488"/>
      <w:bookmarkStart w:id="41" w:name="_Toc411241487"/>
      <w:r w:rsidRPr="00D61793">
        <w:rPr>
          <w:b/>
          <w:kern w:val="18"/>
        </w:rPr>
        <w:t xml:space="preserve">6.2.1 </w:t>
      </w:r>
      <w:bookmarkEnd w:id="38"/>
      <w:bookmarkEnd w:id="39"/>
      <w:r w:rsidRPr="00D61793">
        <w:rPr>
          <w:b/>
          <w:kern w:val="18"/>
        </w:rPr>
        <w:t>Artículo 3 de la Ley N° 17.829</w:t>
      </w:r>
      <w:bookmarkEnd w:id="40"/>
    </w:p>
    <w:p w:rsidR="004B479E" w:rsidRPr="00D61793" w:rsidRDefault="004B479E" w:rsidP="004B479E">
      <w:pPr>
        <w:keepNext/>
        <w:widowControl w:val="0"/>
        <w:suppressAutoHyphens w:val="0"/>
        <w:spacing w:line="360" w:lineRule="auto"/>
        <w:jc w:val="both"/>
      </w:pPr>
      <w:r w:rsidRPr="00D61793">
        <w:t>Debe darse cumplimiento con lo establecido en el Artículo 3 de la referida Ley, en tanto establece que “ninguna persona física podrá percibir por concepto de retribución salarial o pasividad una cantidad en efectivo inferior al 30% del monto nominal deducidos el impuesto si correspondiere y contribuciones de seguridad social”.</w:t>
      </w:r>
    </w:p>
    <w:p w:rsidR="004B479E" w:rsidRPr="00D61793" w:rsidRDefault="004B479E" w:rsidP="004B479E">
      <w:pPr>
        <w:keepNext/>
        <w:widowControl w:val="0"/>
        <w:suppressAutoHyphens w:val="0"/>
        <w:spacing w:line="360" w:lineRule="auto"/>
        <w:jc w:val="both"/>
        <w:rPr>
          <w:b/>
        </w:rPr>
      </w:pPr>
    </w:p>
    <w:p w:rsidR="004B479E" w:rsidRPr="00D61793" w:rsidRDefault="004B479E" w:rsidP="004B479E">
      <w:pPr>
        <w:keepNext/>
        <w:widowControl w:val="0"/>
        <w:suppressAutoHyphens w:val="0"/>
        <w:spacing w:line="360" w:lineRule="auto"/>
        <w:jc w:val="both"/>
        <w:rPr>
          <w:b/>
        </w:rPr>
      </w:pPr>
      <w:r w:rsidRPr="00D61793">
        <w:rPr>
          <w:b/>
        </w:rPr>
        <w:t xml:space="preserve">6.2.2 </w:t>
      </w:r>
      <w:r w:rsidR="0072403D">
        <w:rPr>
          <w:b/>
        </w:rPr>
        <w:t>Artículo 32 de la Ley Nº 11.923</w:t>
      </w:r>
    </w:p>
    <w:p w:rsidR="004B479E" w:rsidRPr="00D61793" w:rsidRDefault="004B479E" w:rsidP="004B479E">
      <w:pPr>
        <w:keepNext/>
        <w:widowControl w:val="0"/>
        <w:suppressAutoHyphens w:val="0"/>
        <w:spacing w:line="360" w:lineRule="auto"/>
        <w:jc w:val="both"/>
      </w:pPr>
      <w:r w:rsidRPr="00D61793">
        <w:t>Se deberán exigir declaraciones juradas como forma de verificar que los funcionarios no perciban otro ingreso de origen público.</w:t>
      </w:r>
    </w:p>
    <w:p w:rsidR="004B479E" w:rsidRPr="00D61793" w:rsidRDefault="004B479E" w:rsidP="004B479E">
      <w:pPr>
        <w:keepNext/>
        <w:widowControl w:val="0"/>
        <w:suppressAutoHyphens w:val="0"/>
        <w:spacing w:line="360" w:lineRule="auto"/>
        <w:jc w:val="both"/>
        <w:outlineLvl w:val="1"/>
        <w:rPr>
          <w:b/>
          <w:kern w:val="18"/>
        </w:rPr>
      </w:pPr>
    </w:p>
    <w:p w:rsidR="004B479E" w:rsidRPr="00D61793" w:rsidRDefault="004B479E" w:rsidP="004B479E">
      <w:pPr>
        <w:keepNext/>
        <w:widowControl w:val="0"/>
        <w:suppressAutoHyphens w:val="0"/>
        <w:spacing w:line="360" w:lineRule="auto"/>
        <w:jc w:val="both"/>
        <w:outlineLvl w:val="1"/>
        <w:rPr>
          <w:b/>
          <w:kern w:val="18"/>
        </w:rPr>
      </w:pPr>
      <w:r w:rsidRPr="00D61793">
        <w:rPr>
          <w:b/>
          <w:kern w:val="18"/>
        </w:rPr>
        <w:t>6.2.3 Artículo 20 del TOCAF - Adelanto de sueldos</w:t>
      </w:r>
      <w:bookmarkEnd w:id="41"/>
    </w:p>
    <w:p w:rsidR="004B479E" w:rsidRPr="00D61793" w:rsidRDefault="004B479E" w:rsidP="004B479E">
      <w:pPr>
        <w:keepNext/>
        <w:widowControl w:val="0"/>
        <w:suppressAutoHyphens w:val="0"/>
        <w:spacing w:line="360" w:lineRule="auto"/>
        <w:jc w:val="both"/>
      </w:pPr>
      <w:r w:rsidRPr="00D61793">
        <w:t>Sólo podrán otorgarse adelantos de sueldos por el monto de lo generado por servicios ya prestados, a efectos de dar cumplimiento a</w:t>
      </w:r>
      <w:r>
        <w:t xml:space="preserve"> citado A</w:t>
      </w:r>
      <w:r w:rsidRPr="00D61793">
        <w:t>rtículo.</w:t>
      </w:r>
    </w:p>
    <w:p w:rsidR="004B479E" w:rsidRPr="00D61793" w:rsidRDefault="004B479E" w:rsidP="004B479E">
      <w:pPr>
        <w:keepNext/>
        <w:widowControl w:val="0"/>
        <w:suppressAutoHyphens w:val="0"/>
        <w:spacing w:line="360" w:lineRule="auto"/>
        <w:jc w:val="both"/>
        <w:outlineLvl w:val="1"/>
        <w:rPr>
          <w:b/>
          <w:kern w:val="18"/>
        </w:rPr>
      </w:pPr>
      <w:bookmarkStart w:id="42" w:name="_Toc278970164"/>
      <w:bookmarkStart w:id="43" w:name="_Toc331077649"/>
      <w:bookmarkStart w:id="44" w:name="_Toc411241490"/>
    </w:p>
    <w:p w:rsidR="004B479E" w:rsidRPr="00D61793" w:rsidRDefault="004B479E" w:rsidP="004B479E">
      <w:pPr>
        <w:keepNext/>
        <w:widowControl w:val="0"/>
        <w:suppressAutoHyphens w:val="0"/>
        <w:spacing w:line="360" w:lineRule="auto"/>
        <w:jc w:val="both"/>
        <w:outlineLvl w:val="1"/>
        <w:rPr>
          <w:b/>
          <w:kern w:val="18"/>
        </w:rPr>
      </w:pPr>
      <w:r w:rsidRPr="00D61793">
        <w:rPr>
          <w:b/>
          <w:kern w:val="18"/>
        </w:rPr>
        <w:t xml:space="preserve">6.2.4 </w:t>
      </w:r>
      <w:bookmarkEnd w:id="42"/>
      <w:bookmarkEnd w:id="43"/>
      <w:r w:rsidRPr="00D61793">
        <w:rPr>
          <w:b/>
          <w:kern w:val="18"/>
        </w:rPr>
        <w:t>Artículo 20 del TOCAF Principio de lo Devengado</w:t>
      </w:r>
      <w:bookmarkEnd w:id="44"/>
    </w:p>
    <w:p w:rsidR="004B479E" w:rsidRPr="00D61793" w:rsidRDefault="004B479E" w:rsidP="004B479E">
      <w:pPr>
        <w:keepNext/>
        <w:widowControl w:val="0"/>
        <w:suppressAutoHyphens w:val="0"/>
        <w:spacing w:line="360" w:lineRule="auto"/>
        <w:jc w:val="both"/>
      </w:pPr>
      <w:r w:rsidRPr="00D61793">
        <w:t>Se debe aplicar el criterio de lo devengado en la imputación de todos</w:t>
      </w:r>
      <w:r>
        <w:t xml:space="preserve"> sus gastos e incluirlos en el E</w:t>
      </w:r>
      <w:r w:rsidRPr="00D61793">
        <w:t>jercicio en que efectivamente se ejecutaron.</w:t>
      </w:r>
    </w:p>
    <w:p w:rsidR="004B479E" w:rsidRPr="00D61793" w:rsidRDefault="004B479E" w:rsidP="004B479E">
      <w:pPr>
        <w:keepNext/>
        <w:widowControl w:val="0"/>
        <w:suppressAutoHyphens w:val="0"/>
        <w:spacing w:line="360" w:lineRule="auto"/>
        <w:jc w:val="both"/>
        <w:outlineLvl w:val="1"/>
        <w:rPr>
          <w:b/>
          <w:kern w:val="18"/>
        </w:rPr>
      </w:pPr>
      <w:bookmarkStart w:id="45" w:name="_Toc411241493"/>
      <w:r w:rsidRPr="00D61793">
        <w:rPr>
          <w:b/>
          <w:kern w:val="18"/>
        </w:rPr>
        <w:t>6.2.5 Articulo 23 del TOCAF</w:t>
      </w:r>
      <w:bookmarkEnd w:id="45"/>
    </w:p>
    <w:p w:rsidR="004B479E" w:rsidRPr="00D61793" w:rsidRDefault="004B479E" w:rsidP="004B479E">
      <w:pPr>
        <w:keepNext/>
        <w:widowControl w:val="0"/>
        <w:suppressAutoHyphens w:val="0"/>
        <w:spacing w:line="360" w:lineRule="auto"/>
        <w:jc w:val="both"/>
        <w:outlineLvl w:val="1"/>
        <w:rPr>
          <w:b/>
          <w:kern w:val="18"/>
        </w:rPr>
      </w:pPr>
      <w:r w:rsidRPr="00D61793">
        <w:rPr>
          <w:kern w:val="18"/>
        </w:rPr>
        <w:t>La Junta Departamental deberá ajustar los procedimientos a los efectos de que no se efectúen pagos cuya documentación no haya sido autorizada por el Ordenador competente.</w:t>
      </w:r>
    </w:p>
    <w:p w:rsidR="004B479E" w:rsidRPr="00D61793" w:rsidRDefault="004B479E" w:rsidP="004B479E">
      <w:pPr>
        <w:keepNext/>
        <w:widowControl w:val="0"/>
        <w:suppressAutoHyphens w:val="0"/>
        <w:spacing w:line="360" w:lineRule="auto"/>
        <w:jc w:val="both"/>
      </w:pPr>
      <w:bookmarkStart w:id="46" w:name="_Toc411241494"/>
    </w:p>
    <w:p w:rsidR="004B479E" w:rsidRPr="00D61793" w:rsidRDefault="004B479E" w:rsidP="004B479E">
      <w:pPr>
        <w:keepNext/>
        <w:widowControl w:val="0"/>
        <w:suppressAutoHyphens w:val="0"/>
        <w:spacing w:line="360" w:lineRule="auto"/>
        <w:jc w:val="both"/>
        <w:outlineLvl w:val="1"/>
        <w:rPr>
          <w:b/>
          <w:kern w:val="18"/>
        </w:rPr>
      </w:pPr>
      <w:r w:rsidRPr="00D61793">
        <w:rPr>
          <w:b/>
          <w:kern w:val="18"/>
        </w:rPr>
        <w:t>6.2.6 Artículos 33 y 43 del TOCAF</w:t>
      </w:r>
      <w:bookmarkEnd w:id="46"/>
    </w:p>
    <w:p w:rsidR="004B479E" w:rsidRPr="00D61793" w:rsidRDefault="004B479E" w:rsidP="004B479E">
      <w:pPr>
        <w:keepNext/>
        <w:widowControl w:val="0"/>
        <w:suppressAutoHyphens w:val="0"/>
        <w:spacing w:line="360" w:lineRule="auto"/>
        <w:jc w:val="both"/>
      </w:pPr>
      <w:r w:rsidRPr="00D61793">
        <w:t>Se deberá cumplir con los procedimientos establecidos en el TOCAF al momento de efectuar las compras.</w:t>
      </w:r>
    </w:p>
    <w:p w:rsidR="004B479E" w:rsidRPr="00D61793" w:rsidRDefault="004B479E" w:rsidP="004B479E">
      <w:pPr>
        <w:keepNext/>
        <w:widowControl w:val="0"/>
        <w:suppressAutoHyphens w:val="0"/>
        <w:spacing w:line="360" w:lineRule="auto"/>
        <w:jc w:val="both"/>
        <w:outlineLvl w:val="1"/>
        <w:rPr>
          <w:b/>
          <w:kern w:val="18"/>
        </w:rPr>
      </w:pPr>
      <w:bookmarkStart w:id="47" w:name="_Toc411241491"/>
      <w:bookmarkStart w:id="48" w:name="_Toc278970166"/>
      <w:bookmarkStart w:id="49" w:name="_Toc331077650"/>
    </w:p>
    <w:p w:rsidR="004B479E" w:rsidRPr="00D61793" w:rsidRDefault="004B479E" w:rsidP="004B479E">
      <w:pPr>
        <w:keepNext/>
        <w:widowControl w:val="0"/>
        <w:suppressAutoHyphens w:val="0"/>
        <w:spacing w:line="360" w:lineRule="auto"/>
        <w:jc w:val="both"/>
        <w:outlineLvl w:val="1"/>
        <w:rPr>
          <w:b/>
          <w:kern w:val="18"/>
        </w:rPr>
      </w:pPr>
      <w:r w:rsidRPr="00D61793">
        <w:rPr>
          <w:b/>
          <w:kern w:val="18"/>
        </w:rPr>
        <w:t>6.2.7 Artículos 89 y 90 del TOCAF</w:t>
      </w:r>
      <w:bookmarkEnd w:id="47"/>
    </w:p>
    <w:p w:rsidR="004B479E" w:rsidRPr="00D61793" w:rsidRDefault="004B479E" w:rsidP="004B479E">
      <w:pPr>
        <w:keepNext/>
        <w:widowControl w:val="0"/>
        <w:suppressAutoHyphens w:val="0"/>
        <w:spacing w:line="360" w:lineRule="auto"/>
        <w:jc w:val="both"/>
      </w:pPr>
      <w:r w:rsidRPr="00D61793">
        <w:t>No se deben utilizar las partidas de fondo permanente para abonar gastos correspondientes a conceptos que no se consideran en su base de cálculo tales como retribuciones personales, cargas sociales y suministros.</w:t>
      </w:r>
    </w:p>
    <w:p w:rsidR="004B479E" w:rsidRPr="00D61793" w:rsidRDefault="004B479E" w:rsidP="004B479E">
      <w:pPr>
        <w:keepNext/>
        <w:widowControl w:val="0"/>
        <w:suppressAutoHyphens w:val="0"/>
        <w:spacing w:line="360" w:lineRule="auto"/>
        <w:jc w:val="both"/>
        <w:outlineLvl w:val="1"/>
        <w:rPr>
          <w:b/>
          <w:kern w:val="18"/>
        </w:rPr>
      </w:pPr>
      <w:bookmarkStart w:id="50" w:name="_Toc278970161"/>
      <w:bookmarkStart w:id="51" w:name="_Toc331077647"/>
      <w:bookmarkStart w:id="52" w:name="_Toc411241489"/>
      <w:bookmarkEnd w:id="48"/>
      <w:bookmarkEnd w:id="49"/>
    </w:p>
    <w:p w:rsidR="004B479E" w:rsidRPr="00D61793" w:rsidRDefault="004B479E" w:rsidP="004B479E">
      <w:pPr>
        <w:keepNext/>
        <w:widowControl w:val="0"/>
        <w:suppressAutoHyphens w:val="0"/>
        <w:spacing w:line="360" w:lineRule="auto"/>
        <w:jc w:val="both"/>
        <w:outlineLvl w:val="1"/>
        <w:rPr>
          <w:b/>
          <w:kern w:val="18"/>
        </w:rPr>
      </w:pPr>
      <w:r w:rsidRPr="00D61793">
        <w:rPr>
          <w:b/>
          <w:kern w:val="18"/>
        </w:rPr>
        <w:t xml:space="preserve">6.2.8 </w:t>
      </w:r>
      <w:bookmarkEnd w:id="50"/>
      <w:bookmarkEnd w:id="51"/>
      <w:r w:rsidRPr="00D61793">
        <w:rPr>
          <w:b/>
          <w:kern w:val="18"/>
        </w:rPr>
        <w:t>Artículo 94 del TOCAF y Ordenanza 81 del Tribunal de Cuentas</w:t>
      </w:r>
      <w:bookmarkEnd w:id="52"/>
    </w:p>
    <w:p w:rsidR="004B479E" w:rsidRPr="00D61793" w:rsidRDefault="004B479E" w:rsidP="004B479E">
      <w:pPr>
        <w:keepNext/>
        <w:widowControl w:val="0"/>
        <w:suppressAutoHyphens w:val="0"/>
        <w:spacing w:line="360" w:lineRule="auto"/>
        <w:jc w:val="both"/>
      </w:pPr>
      <w:r w:rsidRPr="00D61793">
        <w:t>De acuerdo con lo establecido por las normas mencionadas, la Junta Departamental deberá mantener registros patrimoniales y presentar los Estados Contables correspondientes.</w:t>
      </w:r>
    </w:p>
    <w:p w:rsidR="004B479E" w:rsidRPr="00D61793" w:rsidRDefault="004B479E" w:rsidP="004B479E">
      <w:pPr>
        <w:keepNext/>
        <w:widowControl w:val="0"/>
        <w:suppressAutoHyphens w:val="0"/>
        <w:spacing w:line="360" w:lineRule="auto"/>
        <w:jc w:val="both"/>
        <w:outlineLvl w:val="1"/>
        <w:rPr>
          <w:b/>
          <w:kern w:val="18"/>
        </w:rPr>
      </w:pPr>
      <w:bookmarkStart w:id="53" w:name="_Toc411241492"/>
      <w:bookmarkStart w:id="54" w:name="_Toc202948931"/>
      <w:bookmarkStart w:id="55" w:name="_Toc278970172"/>
      <w:bookmarkStart w:id="56" w:name="_Toc331077651"/>
    </w:p>
    <w:p w:rsidR="004B479E" w:rsidRPr="00D61793" w:rsidRDefault="004B479E" w:rsidP="004B479E">
      <w:pPr>
        <w:keepNext/>
        <w:widowControl w:val="0"/>
        <w:suppressAutoHyphens w:val="0"/>
        <w:spacing w:line="360" w:lineRule="auto"/>
        <w:jc w:val="both"/>
        <w:outlineLvl w:val="1"/>
        <w:rPr>
          <w:b/>
          <w:kern w:val="18"/>
        </w:rPr>
      </w:pPr>
      <w:r w:rsidRPr="00D61793">
        <w:rPr>
          <w:b/>
          <w:kern w:val="18"/>
        </w:rPr>
        <w:t>6.2.9 Artículo 132 del TOCAF - Antigüedad de comprobantes pendientes de descargo</w:t>
      </w:r>
      <w:bookmarkEnd w:id="53"/>
    </w:p>
    <w:p w:rsidR="004B479E" w:rsidRPr="00D61793" w:rsidRDefault="004B479E" w:rsidP="004B479E">
      <w:pPr>
        <w:keepNext/>
        <w:widowControl w:val="0"/>
        <w:suppressAutoHyphens w:val="0"/>
        <w:spacing w:line="360" w:lineRule="auto"/>
        <w:jc w:val="both"/>
      </w:pPr>
      <w:r w:rsidRPr="00D61793">
        <w:t>La Junta Departamental deberá exigir el cumplimiento de los plazos establecidos en la citada norma, respecto a los adelantos de fondos otorgados.</w:t>
      </w:r>
    </w:p>
    <w:p w:rsidR="004B479E" w:rsidRPr="00D61793" w:rsidRDefault="004B479E" w:rsidP="004B479E">
      <w:pPr>
        <w:keepNext/>
        <w:widowControl w:val="0"/>
        <w:suppressAutoHyphens w:val="0"/>
        <w:spacing w:line="360" w:lineRule="auto"/>
        <w:jc w:val="both"/>
        <w:outlineLvl w:val="1"/>
        <w:rPr>
          <w:b/>
          <w:kern w:val="18"/>
        </w:rPr>
      </w:pPr>
      <w:bookmarkStart w:id="57" w:name="_Toc411241495"/>
      <w:bookmarkStart w:id="58" w:name="_Toc331077652"/>
      <w:bookmarkEnd w:id="54"/>
      <w:bookmarkEnd w:id="55"/>
      <w:bookmarkEnd w:id="56"/>
      <w:r w:rsidRPr="00D61793">
        <w:rPr>
          <w:b/>
          <w:kern w:val="18"/>
        </w:rPr>
        <w:t>6.2.10 Articulo 9 Decreto Reglamentario Nº 199/07 del Poder Ejecutivo y Decreto Nº 306/07</w:t>
      </w:r>
      <w:bookmarkEnd w:id="57"/>
    </w:p>
    <w:p w:rsidR="004B479E" w:rsidRPr="00D61793" w:rsidRDefault="004B479E" w:rsidP="004B479E">
      <w:pPr>
        <w:keepNext/>
        <w:widowControl w:val="0"/>
        <w:suppressAutoHyphens w:val="0"/>
        <w:spacing w:line="360" w:lineRule="auto"/>
        <w:jc w:val="both"/>
      </w:pPr>
      <w:r w:rsidRPr="00D61793">
        <w:t xml:space="preserve">La Junta Departamental no debe realizar adquisiciones a contribuyentes comprendidos dentro del régimen de </w:t>
      </w:r>
      <w:proofErr w:type="spellStart"/>
      <w:r w:rsidRPr="00D61793">
        <w:t>Monotributo</w:t>
      </w:r>
      <w:proofErr w:type="spellEnd"/>
      <w:r w:rsidRPr="00D61793">
        <w:t xml:space="preserve"> según lo establecido por las citadas normas.</w:t>
      </w:r>
    </w:p>
    <w:p w:rsidR="004B479E" w:rsidRPr="00D61793" w:rsidRDefault="004B479E" w:rsidP="004B479E">
      <w:pPr>
        <w:keepNext/>
        <w:widowControl w:val="0"/>
        <w:suppressAutoHyphens w:val="0"/>
        <w:spacing w:line="360" w:lineRule="auto"/>
        <w:jc w:val="both"/>
      </w:pPr>
      <w:r w:rsidRPr="00D61793">
        <w:rPr>
          <w:b/>
        </w:rPr>
        <w:t>6.2.11 Fondos Indisponibles</w:t>
      </w:r>
    </w:p>
    <w:p w:rsidR="004B479E" w:rsidRPr="00D61793" w:rsidRDefault="004B479E" w:rsidP="004B479E">
      <w:pPr>
        <w:keepNext/>
        <w:widowControl w:val="0"/>
        <w:suppressAutoHyphens w:val="0"/>
        <w:spacing w:line="360" w:lineRule="auto"/>
        <w:jc w:val="both"/>
      </w:pPr>
      <w:r w:rsidRPr="00D61793">
        <w:t>La Junta deberá realizar los ajustes que corresp</w:t>
      </w:r>
      <w:r w:rsidR="0072403D">
        <w:t>ondan.</w:t>
      </w:r>
    </w:p>
    <w:p w:rsidR="004B479E" w:rsidRPr="00D61793" w:rsidRDefault="004B479E" w:rsidP="004B479E">
      <w:pPr>
        <w:keepNext/>
        <w:widowControl w:val="0"/>
        <w:suppressAutoHyphens w:val="0"/>
        <w:spacing w:line="360" w:lineRule="auto"/>
        <w:ind w:left="142" w:hanging="1474"/>
        <w:jc w:val="both"/>
        <w:rPr>
          <w:b/>
        </w:rPr>
      </w:pPr>
      <w:bookmarkStart w:id="59" w:name="_Toc278970169"/>
      <w:bookmarkStart w:id="60" w:name="_Toc331077654"/>
      <w:bookmarkStart w:id="61" w:name="_Toc411241496"/>
      <w:bookmarkEnd w:id="58"/>
      <w:r w:rsidRPr="00D61793">
        <w:rPr>
          <w:b/>
        </w:rPr>
        <w:t xml:space="preserve">                      </w:t>
      </w:r>
    </w:p>
    <w:p w:rsidR="004B479E" w:rsidRPr="00D61793" w:rsidRDefault="004B479E" w:rsidP="004B479E">
      <w:pPr>
        <w:keepNext/>
        <w:widowControl w:val="0"/>
        <w:suppressAutoHyphens w:val="0"/>
        <w:spacing w:line="360" w:lineRule="auto"/>
        <w:jc w:val="both"/>
        <w:rPr>
          <w:b/>
        </w:rPr>
      </w:pPr>
      <w:r w:rsidRPr="00D61793">
        <w:rPr>
          <w:b/>
        </w:rPr>
        <w:t>6.2.12 Articulo 59 del Decreto N° 26/1986 de la Junta Departamental de Treinta y Tres (Estatuto Funcionario de la Intendencia)</w:t>
      </w:r>
    </w:p>
    <w:p w:rsidR="004B479E" w:rsidRPr="00D61793" w:rsidRDefault="004B479E" w:rsidP="004B479E">
      <w:pPr>
        <w:keepNext/>
        <w:widowControl w:val="0"/>
        <w:suppressAutoHyphens w:val="0"/>
        <w:spacing w:line="360" w:lineRule="auto"/>
        <w:jc w:val="both"/>
      </w:pPr>
      <w:r w:rsidRPr="00D61793">
        <w:t>La Junta Departamental no deberá abonar  licencias generadas y no gozadas ni cancelar con éstos haberes adelantos de sueldos otorgados. Además, dichos adelantos de sueldos no pueden otorgarse por mayor importe que el generado por la prestación del servici</w:t>
      </w:r>
      <w:r w:rsidR="0072403D">
        <w:t>o ni acumularse en forma anual.</w:t>
      </w:r>
    </w:p>
    <w:p w:rsidR="004B479E" w:rsidRPr="00D61793" w:rsidRDefault="004B479E" w:rsidP="004B479E">
      <w:pPr>
        <w:keepNext/>
        <w:widowControl w:val="0"/>
        <w:suppressAutoHyphens w:val="0"/>
        <w:spacing w:line="360" w:lineRule="auto"/>
        <w:jc w:val="both"/>
        <w:outlineLvl w:val="1"/>
        <w:rPr>
          <w:b/>
          <w:kern w:val="18"/>
        </w:rPr>
      </w:pPr>
    </w:p>
    <w:p w:rsidR="004B479E" w:rsidRPr="00D61793" w:rsidRDefault="004B479E" w:rsidP="004B479E">
      <w:pPr>
        <w:keepNext/>
        <w:widowControl w:val="0"/>
        <w:suppressAutoHyphens w:val="0"/>
        <w:spacing w:line="360" w:lineRule="auto"/>
        <w:jc w:val="both"/>
        <w:outlineLvl w:val="1"/>
        <w:rPr>
          <w:b/>
          <w:kern w:val="18"/>
        </w:rPr>
      </w:pPr>
      <w:r w:rsidRPr="00D61793">
        <w:rPr>
          <w:b/>
          <w:kern w:val="18"/>
        </w:rPr>
        <w:t>6.2.13 Control Interno</w:t>
      </w:r>
      <w:bookmarkEnd w:id="59"/>
      <w:bookmarkEnd w:id="60"/>
      <w:bookmarkEnd w:id="61"/>
    </w:p>
    <w:p w:rsidR="004B479E" w:rsidRPr="00D61793" w:rsidRDefault="004B479E" w:rsidP="004B479E">
      <w:pPr>
        <w:keepNext/>
        <w:widowControl w:val="0"/>
        <w:suppressAutoHyphens w:val="0"/>
        <w:spacing w:line="360" w:lineRule="auto"/>
        <w:jc w:val="both"/>
      </w:pPr>
      <w:r w:rsidRPr="00D61793">
        <w:t>Se deberán instrumentar los mecanismos necesarios a fin de subsanar las debilidades de control interno señaladas en los numerales 3.4.1 al 3.4.4.</w:t>
      </w:r>
    </w:p>
    <w:p w:rsidR="004B479E" w:rsidRPr="00D61793" w:rsidRDefault="004B479E" w:rsidP="004B479E">
      <w:pPr>
        <w:keepNext/>
        <w:widowControl w:val="0"/>
        <w:suppressAutoHyphens w:val="0"/>
        <w:spacing w:line="360" w:lineRule="auto"/>
        <w:jc w:val="both"/>
      </w:pPr>
    </w:p>
    <w:p w:rsidR="004B479E" w:rsidRPr="00D61793" w:rsidRDefault="004B479E" w:rsidP="004B479E">
      <w:pPr>
        <w:keepNext/>
        <w:widowControl w:val="0"/>
        <w:suppressAutoHyphens w:val="0"/>
        <w:spacing w:line="360" w:lineRule="auto"/>
        <w:jc w:val="both"/>
        <w:rPr>
          <w:b/>
        </w:rPr>
      </w:pPr>
      <w:bookmarkStart w:id="62" w:name="_Toc331077655"/>
      <w:bookmarkStart w:id="63" w:name="_Toc55043942"/>
      <w:bookmarkStart w:id="64" w:name="_Toc278970170"/>
      <w:r w:rsidRPr="00D61793">
        <w:rPr>
          <w:b/>
        </w:rPr>
        <w:t xml:space="preserve">6.3 Recomendaciones del </w:t>
      </w:r>
      <w:r>
        <w:rPr>
          <w:b/>
        </w:rPr>
        <w:t>E</w:t>
      </w:r>
      <w:r w:rsidRPr="00D61793">
        <w:rPr>
          <w:b/>
        </w:rPr>
        <w:t>jercicio</w:t>
      </w:r>
      <w:bookmarkStart w:id="65" w:name="_Toc278970171"/>
      <w:bookmarkStart w:id="66" w:name="_Toc331077656"/>
      <w:bookmarkEnd w:id="62"/>
      <w:bookmarkEnd w:id="63"/>
      <w:bookmarkEnd w:id="64"/>
    </w:p>
    <w:p w:rsidR="004B479E" w:rsidRPr="00D61793" w:rsidRDefault="004B479E" w:rsidP="004B479E">
      <w:pPr>
        <w:keepNext/>
        <w:widowControl w:val="0"/>
        <w:suppressAutoHyphens w:val="0"/>
        <w:spacing w:line="360" w:lineRule="auto"/>
        <w:jc w:val="both"/>
        <w:rPr>
          <w:b/>
        </w:rPr>
      </w:pPr>
      <w:r w:rsidRPr="00D61793">
        <w:rPr>
          <w:b/>
        </w:rPr>
        <w:t>6.3.1</w:t>
      </w:r>
      <w:bookmarkEnd w:id="65"/>
      <w:bookmarkEnd w:id="66"/>
      <w:r w:rsidRPr="00D61793">
        <w:rPr>
          <w:b/>
        </w:rPr>
        <w:t xml:space="preserve"> Artículo 11.1 del Presupuesto Quinquenal 2011-2015 Compensaciones especiales</w:t>
      </w:r>
    </w:p>
    <w:p w:rsidR="004B479E" w:rsidRPr="00D61793" w:rsidRDefault="004B479E" w:rsidP="004B479E">
      <w:pPr>
        <w:keepNext/>
        <w:widowControl w:val="0"/>
        <w:suppressAutoHyphens w:val="0"/>
        <w:spacing w:line="360" w:lineRule="auto"/>
        <w:jc w:val="both"/>
      </w:pPr>
      <w:r w:rsidRPr="00D61793">
        <w:t>La Junta Departamental deberá aplicar los controles adecuados a efectos de dar cumplimiento al citado artículo.</w:t>
      </w:r>
    </w:p>
    <w:p w:rsidR="004B479E" w:rsidRDefault="004B479E" w:rsidP="004B479E">
      <w:pPr>
        <w:keepNext/>
        <w:widowControl w:val="0"/>
        <w:suppressAutoHyphens w:val="0"/>
        <w:spacing w:line="360" w:lineRule="auto"/>
        <w:jc w:val="both"/>
        <w:rPr>
          <w:b/>
        </w:rPr>
      </w:pPr>
    </w:p>
    <w:p w:rsidR="004B479E" w:rsidRPr="00D61793" w:rsidRDefault="004B479E" w:rsidP="004B479E">
      <w:pPr>
        <w:keepNext/>
        <w:widowControl w:val="0"/>
        <w:suppressAutoHyphens w:val="0"/>
        <w:spacing w:line="360" w:lineRule="auto"/>
        <w:jc w:val="both"/>
        <w:rPr>
          <w:b/>
        </w:rPr>
      </w:pPr>
      <w:r w:rsidRPr="00D61793">
        <w:rPr>
          <w:b/>
        </w:rPr>
        <w:t>6.3.2 Artículo 6 del Decreto N° 08/1987</w:t>
      </w:r>
    </w:p>
    <w:p w:rsidR="004B479E" w:rsidRPr="00D61793" w:rsidRDefault="004B479E" w:rsidP="004B479E">
      <w:pPr>
        <w:keepNext/>
        <w:widowControl w:val="0"/>
        <w:suppressAutoHyphens w:val="0"/>
        <w:spacing w:line="360" w:lineRule="auto"/>
        <w:jc w:val="both"/>
      </w:pPr>
      <w:r w:rsidRPr="00D61793">
        <w:t>Se deberán aplicar los controles adecuados respecto al cumplimiento de la citada norma en oportunidad de utilizar los vehículos de la Corporación o su contratación con particulares.</w:t>
      </w:r>
    </w:p>
    <w:p w:rsidR="004B479E" w:rsidRPr="00D61793" w:rsidRDefault="004B479E" w:rsidP="004B479E">
      <w:pPr>
        <w:keepNext/>
        <w:widowControl w:val="0"/>
        <w:suppressAutoHyphens w:val="0"/>
        <w:spacing w:line="360" w:lineRule="auto"/>
        <w:jc w:val="both"/>
      </w:pPr>
    </w:p>
    <w:p w:rsidR="004B479E" w:rsidRPr="00D61793" w:rsidRDefault="004B479E" w:rsidP="004B479E">
      <w:pPr>
        <w:keepNext/>
        <w:widowControl w:val="0"/>
        <w:suppressAutoHyphens w:val="0"/>
        <w:spacing w:line="360" w:lineRule="auto"/>
        <w:jc w:val="both"/>
      </w:pPr>
      <w:r w:rsidRPr="00D61793">
        <w:rPr>
          <w:b/>
        </w:rPr>
        <w:t>6.3.3 Disponibilidades</w:t>
      </w:r>
    </w:p>
    <w:p w:rsidR="004B479E" w:rsidRPr="00D61793" w:rsidRDefault="004B479E" w:rsidP="004B479E">
      <w:pPr>
        <w:keepNext/>
        <w:widowControl w:val="0"/>
        <w:suppressAutoHyphens w:val="0"/>
        <w:spacing w:line="360" w:lineRule="auto"/>
        <w:jc w:val="both"/>
      </w:pPr>
      <w:r w:rsidRPr="00D61793">
        <w:t>Se deberá ajustar el saldo de disponibilidades con las partidas conciliatorias que a la fecha  se encuentran pendientes de regularizar.</w:t>
      </w:r>
    </w:p>
    <w:p w:rsidR="004B479E" w:rsidRPr="00D61793" w:rsidRDefault="004B479E" w:rsidP="004B479E">
      <w:pPr>
        <w:keepNext/>
        <w:widowControl w:val="0"/>
        <w:suppressAutoHyphens w:val="0"/>
        <w:spacing w:line="360" w:lineRule="auto"/>
        <w:jc w:val="both"/>
      </w:pPr>
      <w:r w:rsidRPr="00D61793">
        <w:t>Además, se deberá documentar toda creación de cajas chicas a través de la resolución correspondiente y presentar en los estados contables todas las cuentas bancarias que presenten saldos al 31/12/2014.</w:t>
      </w:r>
    </w:p>
    <w:p w:rsidR="004B479E" w:rsidRPr="00D61793" w:rsidRDefault="004B479E" w:rsidP="004B479E">
      <w:pPr>
        <w:keepNext/>
        <w:widowControl w:val="0"/>
        <w:suppressAutoHyphens w:val="0"/>
        <w:spacing w:line="360" w:lineRule="auto"/>
        <w:jc w:val="both"/>
      </w:pPr>
      <w:r w:rsidRPr="00D61793">
        <w:t>Asimismo, todas las reposiciones de fondo permanente deberán confeccionarse adjuntando toda la documentación de respaldo.</w:t>
      </w:r>
    </w:p>
    <w:p w:rsidR="004B479E" w:rsidRDefault="004B479E" w:rsidP="004B479E">
      <w:pPr>
        <w:keepNext/>
        <w:widowControl w:val="0"/>
        <w:suppressAutoHyphens w:val="0"/>
        <w:spacing w:line="360" w:lineRule="auto"/>
        <w:jc w:val="right"/>
      </w:pPr>
      <w:r w:rsidRPr="00D61793">
        <w:t>M</w:t>
      </w:r>
      <w:r w:rsidR="0072403D">
        <w:t>ontevideo, 6 de julio de 2016</w:t>
      </w:r>
    </w:p>
    <w:p w:rsidR="004B479E" w:rsidRDefault="004B479E" w:rsidP="004B479E">
      <w:pPr>
        <w:keepNext/>
        <w:widowControl w:val="0"/>
        <w:suppressAutoHyphens w:val="0"/>
        <w:spacing w:line="360" w:lineRule="auto"/>
        <w:jc w:val="right"/>
      </w:pPr>
    </w:p>
    <w:p w:rsidR="004B479E" w:rsidRDefault="004B479E" w:rsidP="004B479E">
      <w:pPr>
        <w:keepNext/>
        <w:widowControl w:val="0"/>
        <w:suppressAutoHyphens w:val="0"/>
        <w:spacing w:line="360" w:lineRule="auto"/>
        <w:jc w:val="right"/>
      </w:pPr>
    </w:p>
    <w:p w:rsidR="004B479E" w:rsidRDefault="004B479E" w:rsidP="004B479E">
      <w:pPr>
        <w:keepNext/>
        <w:widowControl w:val="0"/>
        <w:suppressAutoHyphens w:val="0"/>
        <w:spacing w:line="360" w:lineRule="auto"/>
        <w:ind w:hanging="426"/>
      </w:pPr>
      <w:proofErr w:type="gramStart"/>
      <w:r>
        <w:t>dc</w:t>
      </w:r>
      <w:proofErr w:type="gramEnd"/>
    </w:p>
    <w:sectPr w:rsidR="004B479E" w:rsidSect="003F612C">
      <w:pgSz w:w="11906" w:h="16838" w:code="9"/>
      <w:pgMar w:top="3289" w:right="1701" w:bottom="1701" w:left="1701" w:header="720" w:footer="720" w:gutter="0"/>
      <w:paperSrc w:first="4" w:other="4"/>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11"/>
    <w:lvl w:ilvl="0">
      <w:start w:val="1"/>
      <w:numFmt w:val="decimal"/>
      <w:lvlText w:val="%1)"/>
      <w:lvlJc w:val="left"/>
      <w:pPr>
        <w:tabs>
          <w:tab w:val="num" w:pos="360"/>
        </w:tabs>
        <w:ind w:left="360" w:hanging="360"/>
      </w:pPr>
      <w:rPr>
        <w:b/>
      </w:rPr>
    </w:lvl>
  </w:abstractNum>
  <w:abstractNum w:abstractNumId="1">
    <w:nsid w:val="2F464076"/>
    <w:multiLevelType w:val="singleLevel"/>
    <w:tmpl w:val="62BAE0F0"/>
    <w:lvl w:ilvl="0">
      <w:start w:val="1"/>
      <w:numFmt w:val="decimal"/>
      <w:lvlText w:val="%1)"/>
      <w:lvlJc w:val="left"/>
      <w:pPr>
        <w:tabs>
          <w:tab w:val="num" w:pos="360"/>
        </w:tabs>
        <w:ind w:left="360" w:hanging="360"/>
      </w:pPr>
      <w:rPr>
        <w:rFonts w:hint="default"/>
        <w:b/>
      </w:rPr>
    </w:lvl>
  </w:abstractNum>
  <w:abstractNum w:abstractNumId="2">
    <w:nsid w:val="4579714D"/>
    <w:multiLevelType w:val="multilevel"/>
    <w:tmpl w:val="B21C71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E49"/>
    <w:rsid w:val="00020123"/>
    <w:rsid w:val="000A7E49"/>
    <w:rsid w:val="0012226A"/>
    <w:rsid w:val="001C7A44"/>
    <w:rsid w:val="00295A78"/>
    <w:rsid w:val="00341888"/>
    <w:rsid w:val="00364CC7"/>
    <w:rsid w:val="003F612C"/>
    <w:rsid w:val="004817BF"/>
    <w:rsid w:val="004A3723"/>
    <w:rsid w:val="004B479E"/>
    <w:rsid w:val="006038FD"/>
    <w:rsid w:val="006A7F0F"/>
    <w:rsid w:val="0072403D"/>
    <w:rsid w:val="0076377D"/>
    <w:rsid w:val="008D4BA6"/>
    <w:rsid w:val="008F4F93"/>
    <w:rsid w:val="009E24F2"/>
    <w:rsid w:val="009F3E75"/>
    <w:rsid w:val="00A42FEF"/>
    <w:rsid w:val="00B05D01"/>
    <w:rsid w:val="00B3445A"/>
    <w:rsid w:val="00BA63E5"/>
    <w:rsid w:val="00BB0696"/>
    <w:rsid w:val="00BE5FDF"/>
    <w:rsid w:val="00C545CB"/>
    <w:rsid w:val="00E57AC8"/>
    <w:rsid w:val="00E94DFA"/>
    <w:rsid w:val="00EC6E75"/>
    <w:rsid w:val="00EF726A"/>
    <w:rsid w:val="00FF1F2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E49"/>
    <w:pPr>
      <w:suppressAutoHyphens/>
      <w:spacing w:after="0" w:line="240" w:lineRule="auto"/>
    </w:pPr>
    <w:rPr>
      <w:rFonts w:ascii="Arial" w:eastAsia="Times New Roman" w:hAnsi="Arial" w:cs="Arial"/>
      <w:sz w:val="24"/>
      <w:szCs w:val="24"/>
      <w:lang w:val="es-ES" w:eastAsia="zh-CN"/>
    </w:rPr>
  </w:style>
  <w:style w:type="paragraph" w:styleId="Ttulo1">
    <w:name w:val="heading 1"/>
    <w:basedOn w:val="Normal"/>
    <w:next w:val="Normal"/>
    <w:link w:val="Ttulo1Car"/>
    <w:qFormat/>
    <w:rsid w:val="004B479E"/>
    <w:pPr>
      <w:keepNext/>
      <w:suppressAutoHyphens w:val="0"/>
      <w:spacing w:line="360" w:lineRule="auto"/>
      <w:jc w:val="center"/>
      <w:outlineLvl w:val="0"/>
    </w:pPr>
    <w:rPr>
      <w:rFonts w:cs="Times New Roman"/>
      <w:b/>
      <w:lang w:eastAsia="es-ES"/>
    </w:rPr>
  </w:style>
  <w:style w:type="paragraph" w:styleId="Ttulo2">
    <w:name w:val="heading 2"/>
    <w:basedOn w:val="Normal"/>
    <w:next w:val="Textoindependiente"/>
    <w:link w:val="Ttulo2Car"/>
    <w:qFormat/>
    <w:rsid w:val="004B479E"/>
    <w:pPr>
      <w:suppressAutoHyphens w:val="0"/>
      <w:spacing w:after="170" w:line="360" w:lineRule="auto"/>
      <w:outlineLvl w:val="1"/>
    </w:pPr>
    <w:rPr>
      <w:rFonts w:cs="Times New Roman"/>
      <w:b/>
      <w:kern w:val="1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A7E49"/>
    <w:pPr>
      <w:spacing w:after="240" w:line="240" w:lineRule="atLeast"/>
      <w:jc w:val="both"/>
    </w:pPr>
    <w:rPr>
      <w:kern w:val="1"/>
      <w:szCs w:val="20"/>
      <w:lang w:val="es-ES_tradnl"/>
    </w:rPr>
  </w:style>
  <w:style w:type="character" w:customStyle="1" w:styleId="TextoindependienteCar">
    <w:name w:val="Texto independiente Car"/>
    <w:basedOn w:val="Fuentedeprrafopredeter"/>
    <w:link w:val="Textoindependiente"/>
    <w:rsid w:val="000A7E49"/>
    <w:rPr>
      <w:rFonts w:ascii="Arial" w:eastAsia="Times New Roman" w:hAnsi="Arial" w:cs="Arial"/>
      <w:kern w:val="1"/>
      <w:sz w:val="24"/>
      <w:szCs w:val="20"/>
      <w:lang w:val="es-ES_tradnl" w:eastAsia="zh-CN"/>
    </w:rPr>
  </w:style>
  <w:style w:type="paragraph" w:styleId="Prrafodelista">
    <w:name w:val="List Paragraph"/>
    <w:basedOn w:val="Normal"/>
    <w:uiPriority w:val="34"/>
    <w:qFormat/>
    <w:rsid w:val="00C545CB"/>
    <w:pPr>
      <w:suppressAutoHyphens w:val="0"/>
      <w:ind w:left="720"/>
      <w:contextualSpacing/>
    </w:pPr>
    <w:rPr>
      <w:rFonts w:cs="Times New Roman"/>
      <w:lang w:eastAsia="es-ES"/>
    </w:rPr>
  </w:style>
  <w:style w:type="character" w:customStyle="1" w:styleId="Ttulo1Car">
    <w:name w:val="Título 1 Car"/>
    <w:basedOn w:val="Fuentedeprrafopredeter"/>
    <w:link w:val="Ttulo1"/>
    <w:rsid w:val="004B479E"/>
    <w:rPr>
      <w:rFonts w:ascii="Arial" w:eastAsia="Times New Roman" w:hAnsi="Arial" w:cs="Times New Roman"/>
      <w:b/>
      <w:sz w:val="24"/>
      <w:szCs w:val="24"/>
      <w:lang w:val="es-ES" w:eastAsia="es-ES"/>
    </w:rPr>
  </w:style>
  <w:style w:type="character" w:customStyle="1" w:styleId="Ttulo2Car">
    <w:name w:val="Título 2 Car"/>
    <w:basedOn w:val="Fuentedeprrafopredeter"/>
    <w:link w:val="Ttulo2"/>
    <w:rsid w:val="004B479E"/>
    <w:rPr>
      <w:rFonts w:ascii="Arial" w:eastAsia="Times New Roman" w:hAnsi="Arial" w:cs="Times New Roman"/>
      <w:b/>
      <w:kern w:val="18"/>
      <w:sz w:val="24"/>
      <w:szCs w:val="24"/>
      <w:lang w:val="es-ES" w:eastAsia="es-ES"/>
    </w:rPr>
  </w:style>
  <w:style w:type="paragraph" w:styleId="Subttulo">
    <w:name w:val="Subtitle"/>
    <w:basedOn w:val="Normal"/>
    <w:link w:val="SubttuloCar"/>
    <w:qFormat/>
    <w:rsid w:val="004B479E"/>
    <w:pPr>
      <w:suppressAutoHyphens w:val="0"/>
      <w:spacing w:line="360" w:lineRule="auto"/>
      <w:jc w:val="both"/>
    </w:pPr>
    <w:rPr>
      <w:rFonts w:ascii="Bookman Old Style" w:hAnsi="Bookman Old Style" w:cs="Times New Roman"/>
      <w:b/>
      <w:kern w:val="18"/>
      <w:lang w:eastAsia="es-ES"/>
    </w:rPr>
  </w:style>
  <w:style w:type="character" w:customStyle="1" w:styleId="SubttuloCar">
    <w:name w:val="Subtítulo Car"/>
    <w:basedOn w:val="Fuentedeprrafopredeter"/>
    <w:link w:val="Subttulo"/>
    <w:rsid w:val="004B479E"/>
    <w:rPr>
      <w:rFonts w:ascii="Bookman Old Style" w:eastAsia="Times New Roman" w:hAnsi="Bookman Old Style" w:cs="Times New Roman"/>
      <w:b/>
      <w:kern w:val="18"/>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E49"/>
    <w:pPr>
      <w:suppressAutoHyphens/>
      <w:spacing w:after="0" w:line="240" w:lineRule="auto"/>
    </w:pPr>
    <w:rPr>
      <w:rFonts w:ascii="Arial" w:eastAsia="Times New Roman" w:hAnsi="Arial" w:cs="Arial"/>
      <w:sz w:val="24"/>
      <w:szCs w:val="24"/>
      <w:lang w:val="es-ES" w:eastAsia="zh-CN"/>
    </w:rPr>
  </w:style>
  <w:style w:type="paragraph" w:styleId="Ttulo1">
    <w:name w:val="heading 1"/>
    <w:basedOn w:val="Normal"/>
    <w:next w:val="Normal"/>
    <w:link w:val="Ttulo1Car"/>
    <w:qFormat/>
    <w:rsid w:val="004B479E"/>
    <w:pPr>
      <w:keepNext/>
      <w:suppressAutoHyphens w:val="0"/>
      <w:spacing w:line="360" w:lineRule="auto"/>
      <w:jc w:val="center"/>
      <w:outlineLvl w:val="0"/>
    </w:pPr>
    <w:rPr>
      <w:rFonts w:cs="Times New Roman"/>
      <w:b/>
      <w:lang w:eastAsia="es-ES"/>
    </w:rPr>
  </w:style>
  <w:style w:type="paragraph" w:styleId="Ttulo2">
    <w:name w:val="heading 2"/>
    <w:basedOn w:val="Normal"/>
    <w:next w:val="Textoindependiente"/>
    <w:link w:val="Ttulo2Car"/>
    <w:qFormat/>
    <w:rsid w:val="004B479E"/>
    <w:pPr>
      <w:suppressAutoHyphens w:val="0"/>
      <w:spacing w:after="170" w:line="360" w:lineRule="auto"/>
      <w:outlineLvl w:val="1"/>
    </w:pPr>
    <w:rPr>
      <w:rFonts w:cs="Times New Roman"/>
      <w:b/>
      <w:kern w:val="1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A7E49"/>
    <w:pPr>
      <w:spacing w:after="240" w:line="240" w:lineRule="atLeast"/>
      <w:jc w:val="both"/>
    </w:pPr>
    <w:rPr>
      <w:kern w:val="1"/>
      <w:szCs w:val="20"/>
      <w:lang w:val="es-ES_tradnl"/>
    </w:rPr>
  </w:style>
  <w:style w:type="character" w:customStyle="1" w:styleId="TextoindependienteCar">
    <w:name w:val="Texto independiente Car"/>
    <w:basedOn w:val="Fuentedeprrafopredeter"/>
    <w:link w:val="Textoindependiente"/>
    <w:rsid w:val="000A7E49"/>
    <w:rPr>
      <w:rFonts w:ascii="Arial" w:eastAsia="Times New Roman" w:hAnsi="Arial" w:cs="Arial"/>
      <w:kern w:val="1"/>
      <w:sz w:val="24"/>
      <w:szCs w:val="20"/>
      <w:lang w:val="es-ES_tradnl" w:eastAsia="zh-CN"/>
    </w:rPr>
  </w:style>
  <w:style w:type="paragraph" w:styleId="Prrafodelista">
    <w:name w:val="List Paragraph"/>
    <w:basedOn w:val="Normal"/>
    <w:uiPriority w:val="34"/>
    <w:qFormat/>
    <w:rsid w:val="00C545CB"/>
    <w:pPr>
      <w:suppressAutoHyphens w:val="0"/>
      <w:ind w:left="720"/>
      <w:contextualSpacing/>
    </w:pPr>
    <w:rPr>
      <w:rFonts w:cs="Times New Roman"/>
      <w:lang w:eastAsia="es-ES"/>
    </w:rPr>
  </w:style>
  <w:style w:type="character" w:customStyle="1" w:styleId="Ttulo1Car">
    <w:name w:val="Título 1 Car"/>
    <w:basedOn w:val="Fuentedeprrafopredeter"/>
    <w:link w:val="Ttulo1"/>
    <w:rsid w:val="004B479E"/>
    <w:rPr>
      <w:rFonts w:ascii="Arial" w:eastAsia="Times New Roman" w:hAnsi="Arial" w:cs="Times New Roman"/>
      <w:b/>
      <w:sz w:val="24"/>
      <w:szCs w:val="24"/>
      <w:lang w:val="es-ES" w:eastAsia="es-ES"/>
    </w:rPr>
  </w:style>
  <w:style w:type="character" w:customStyle="1" w:styleId="Ttulo2Car">
    <w:name w:val="Título 2 Car"/>
    <w:basedOn w:val="Fuentedeprrafopredeter"/>
    <w:link w:val="Ttulo2"/>
    <w:rsid w:val="004B479E"/>
    <w:rPr>
      <w:rFonts w:ascii="Arial" w:eastAsia="Times New Roman" w:hAnsi="Arial" w:cs="Times New Roman"/>
      <w:b/>
      <w:kern w:val="18"/>
      <w:sz w:val="24"/>
      <w:szCs w:val="24"/>
      <w:lang w:val="es-ES" w:eastAsia="es-ES"/>
    </w:rPr>
  </w:style>
  <w:style w:type="paragraph" w:styleId="Subttulo">
    <w:name w:val="Subtitle"/>
    <w:basedOn w:val="Normal"/>
    <w:link w:val="SubttuloCar"/>
    <w:qFormat/>
    <w:rsid w:val="004B479E"/>
    <w:pPr>
      <w:suppressAutoHyphens w:val="0"/>
      <w:spacing w:line="360" w:lineRule="auto"/>
      <w:jc w:val="both"/>
    </w:pPr>
    <w:rPr>
      <w:rFonts w:ascii="Bookman Old Style" w:hAnsi="Bookman Old Style" w:cs="Times New Roman"/>
      <w:b/>
      <w:kern w:val="18"/>
      <w:lang w:eastAsia="es-ES"/>
    </w:rPr>
  </w:style>
  <w:style w:type="character" w:customStyle="1" w:styleId="SubttuloCar">
    <w:name w:val="Subtítulo Car"/>
    <w:basedOn w:val="Fuentedeprrafopredeter"/>
    <w:link w:val="Subttulo"/>
    <w:rsid w:val="004B479E"/>
    <w:rPr>
      <w:rFonts w:ascii="Bookman Old Style" w:eastAsia="Times New Roman" w:hAnsi="Bookman Old Style" w:cs="Times New Roman"/>
      <w:b/>
      <w:kern w:val="18"/>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16</Pages>
  <Words>3630</Words>
  <Characters>19965</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Hernandez</dc:creator>
  <cp:lastModifiedBy> </cp:lastModifiedBy>
  <cp:revision>5</cp:revision>
  <cp:lastPrinted>2016-07-22T11:59:00Z</cp:lastPrinted>
  <dcterms:created xsi:type="dcterms:W3CDTF">2016-07-22T12:03:00Z</dcterms:created>
  <dcterms:modified xsi:type="dcterms:W3CDTF">2016-11-04T17:03:00Z</dcterms:modified>
</cp:coreProperties>
</file>