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BC" w:rsidRPr="00786EEB" w:rsidRDefault="00A849BC" w:rsidP="00A849BC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3284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849BC" w:rsidRDefault="00A849B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849BC" w:rsidRPr="00A849BC" w:rsidRDefault="00A849BC" w:rsidP="00A849B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A849BC">
        <w:rPr>
          <w:rFonts w:ascii="Arial" w:hAnsi="Arial" w:cs="Arial"/>
          <w:b/>
          <w:lang w:val="es-ES_tradnl"/>
        </w:rPr>
        <w:t>RESOLUCION ADOPTADA POR EL</w:t>
      </w:r>
    </w:p>
    <w:p w:rsidR="00A849BC" w:rsidRPr="00A849BC" w:rsidRDefault="00A849BC" w:rsidP="00A849BC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849BC" w:rsidRPr="00A849BC" w:rsidRDefault="00A849BC" w:rsidP="00A849B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A849BC">
        <w:rPr>
          <w:rFonts w:ascii="Arial" w:hAnsi="Arial" w:cs="Arial"/>
          <w:b/>
          <w:lang w:val="es-ES_tradnl"/>
        </w:rPr>
        <w:t>TRIBUNAL DE CUENTAS</w:t>
      </w:r>
    </w:p>
    <w:p w:rsidR="00A849BC" w:rsidRPr="00A849BC" w:rsidRDefault="00A849BC" w:rsidP="00A849BC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849BC" w:rsidRPr="00A849BC" w:rsidRDefault="00A849BC" w:rsidP="00A849B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A849BC">
        <w:rPr>
          <w:rFonts w:ascii="Arial" w:hAnsi="Arial" w:cs="Arial"/>
          <w:b/>
          <w:lang w:val="es-ES_tradnl"/>
        </w:rPr>
        <w:t>EN SESION DE FECHA 21 DE SETIEMBRE DE 2016</w:t>
      </w:r>
    </w:p>
    <w:p w:rsidR="00A849BC" w:rsidRPr="00A849BC" w:rsidRDefault="00A849BC" w:rsidP="00A849B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849BC" w:rsidRPr="00A849BC" w:rsidRDefault="00A849BC" w:rsidP="00A849B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A849BC">
        <w:rPr>
          <w:rFonts w:ascii="Arial" w:hAnsi="Arial" w:cs="Arial"/>
          <w:b/>
          <w:lang w:val="en-US"/>
        </w:rPr>
        <w:t xml:space="preserve">(E. E. Nº </w:t>
      </w:r>
      <w:r w:rsidRPr="00A849BC">
        <w:rPr>
          <w:rFonts w:ascii="Arial" w:hAnsi="Arial" w:cs="Arial"/>
          <w:b/>
        </w:rPr>
        <w:t>2015-17-1-0008545</w:t>
      </w:r>
      <w:r w:rsidRPr="00A849BC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A849BC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A849BC">
        <w:rPr>
          <w:rFonts w:ascii="Arial" w:hAnsi="Arial" w:cs="Arial"/>
          <w:b/>
          <w:lang w:val="en-US"/>
        </w:rPr>
        <w:t xml:space="preserve">. N° </w:t>
      </w:r>
      <w:r w:rsidRPr="00A849BC">
        <w:rPr>
          <w:rFonts w:ascii="Arial" w:hAnsi="Arial" w:cs="Arial"/>
          <w:b/>
        </w:rPr>
        <w:t>4764/16</w:t>
      </w:r>
      <w:r w:rsidRPr="00A849BC">
        <w:rPr>
          <w:rFonts w:ascii="Arial" w:hAnsi="Arial" w:cs="Arial"/>
          <w:b/>
          <w:lang w:val="en-US"/>
        </w:rPr>
        <w:t>)</w:t>
      </w:r>
    </w:p>
    <w:p w:rsidR="00A849BC" w:rsidRPr="00A849BC" w:rsidRDefault="00A849BC" w:rsidP="00A849B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</w:p>
    <w:p w:rsidR="00A849BC" w:rsidRDefault="00A849BC" w:rsidP="00A849BC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383567" w:rsidRDefault="00383567" w:rsidP="00A849B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VISTO: </w:t>
      </w:r>
      <w:r>
        <w:rPr>
          <w:rFonts w:ascii="Arial" w:hAnsi="Arial"/>
        </w:rPr>
        <w:t xml:space="preserve">estos antecedentes remitidos por </w:t>
      </w:r>
      <w:r w:rsidR="001831C0">
        <w:rPr>
          <w:rFonts w:ascii="Arial" w:hAnsi="Arial"/>
        </w:rPr>
        <w:t>la Contadora Auditora destacad</w:t>
      </w:r>
      <w:r w:rsidR="004F372C">
        <w:rPr>
          <w:rFonts w:ascii="Arial" w:hAnsi="Arial"/>
        </w:rPr>
        <w:t>a</w:t>
      </w:r>
      <w:r w:rsidR="001831C0">
        <w:rPr>
          <w:rFonts w:ascii="Arial" w:hAnsi="Arial"/>
        </w:rPr>
        <w:t xml:space="preserve"> ante </w:t>
      </w:r>
      <w:r>
        <w:rPr>
          <w:rFonts w:ascii="Arial" w:hAnsi="Arial"/>
        </w:rPr>
        <w:t xml:space="preserve">el Ministerio de Desarrollo Social, </w:t>
      </w:r>
      <w:r w:rsidRPr="002F62D7">
        <w:rPr>
          <w:rFonts w:ascii="Arial" w:hAnsi="Arial"/>
        </w:rPr>
        <w:t>relacionad</w:t>
      </w:r>
      <w:r>
        <w:rPr>
          <w:rFonts w:ascii="Arial" w:hAnsi="Arial"/>
        </w:rPr>
        <w:t>o</w:t>
      </w:r>
      <w:r w:rsidRPr="002F62D7">
        <w:rPr>
          <w:rFonts w:ascii="Arial" w:hAnsi="Arial"/>
        </w:rPr>
        <w:t xml:space="preserve">s con la </w:t>
      </w:r>
      <w:r>
        <w:rPr>
          <w:rFonts w:ascii="Arial" w:hAnsi="Arial"/>
        </w:rPr>
        <w:t xml:space="preserve">reiteración del gasto derivado del convenio suscrito con </w:t>
      </w:r>
      <w:r w:rsidRPr="00995AD4">
        <w:rPr>
          <w:rFonts w:ascii="Arial" w:hAnsi="Arial"/>
        </w:rPr>
        <w:t xml:space="preserve">la </w:t>
      </w:r>
      <w:r>
        <w:rPr>
          <w:rFonts w:ascii="Arial" w:hAnsi="Arial"/>
        </w:rPr>
        <w:t>C</w:t>
      </w:r>
      <w:r w:rsidR="001831C0">
        <w:rPr>
          <w:rFonts w:ascii="Arial" w:hAnsi="Arial"/>
        </w:rPr>
        <w:t>o</w:t>
      </w:r>
      <w:r>
        <w:rPr>
          <w:rFonts w:ascii="Arial" w:hAnsi="Arial"/>
        </w:rPr>
        <w:t>rporaci</w:t>
      </w:r>
      <w:r w:rsidR="001831C0">
        <w:rPr>
          <w:rFonts w:ascii="Arial" w:hAnsi="Arial"/>
        </w:rPr>
        <w:t>ón</w:t>
      </w:r>
      <w:r>
        <w:rPr>
          <w:rFonts w:ascii="Arial" w:hAnsi="Arial"/>
        </w:rPr>
        <w:t xml:space="preserve"> N</w:t>
      </w:r>
      <w:r w:rsidR="001831C0">
        <w:rPr>
          <w:rFonts w:ascii="Arial" w:hAnsi="Arial"/>
        </w:rPr>
        <w:t>a</w:t>
      </w:r>
      <w:r>
        <w:rPr>
          <w:rFonts w:ascii="Arial" w:hAnsi="Arial"/>
        </w:rPr>
        <w:t xml:space="preserve">cional para el </w:t>
      </w:r>
      <w:r w:rsidR="001831C0">
        <w:rPr>
          <w:rFonts w:ascii="Arial" w:hAnsi="Arial"/>
        </w:rPr>
        <w:t>D</w:t>
      </w:r>
      <w:r>
        <w:rPr>
          <w:rFonts w:ascii="Arial" w:hAnsi="Arial"/>
        </w:rPr>
        <w:t>esarrollo, a</w:t>
      </w:r>
      <w:r w:rsidR="001831C0">
        <w:rPr>
          <w:rFonts w:ascii="Arial" w:hAnsi="Arial"/>
        </w:rPr>
        <w:t xml:space="preserve"> </w:t>
      </w:r>
      <w:r>
        <w:rPr>
          <w:rFonts w:ascii="Arial" w:hAnsi="Arial"/>
        </w:rPr>
        <w:t>efectos de l</w:t>
      </w:r>
      <w:r w:rsidR="00661578">
        <w:rPr>
          <w:rFonts w:ascii="Arial" w:hAnsi="Arial"/>
        </w:rPr>
        <w:t xml:space="preserve">a gestión de los </w:t>
      </w:r>
      <w:r>
        <w:rPr>
          <w:rFonts w:ascii="Arial" w:hAnsi="Arial"/>
        </w:rPr>
        <w:t>f</w:t>
      </w:r>
      <w:r w:rsidR="004F372C">
        <w:rPr>
          <w:rFonts w:ascii="Arial" w:hAnsi="Arial"/>
        </w:rPr>
        <w:t>o</w:t>
      </w:r>
      <w:r>
        <w:rPr>
          <w:rFonts w:ascii="Arial" w:hAnsi="Arial"/>
        </w:rPr>
        <w:t>ndos tran</w:t>
      </w:r>
      <w:r w:rsidR="004F372C">
        <w:rPr>
          <w:rFonts w:ascii="Arial" w:hAnsi="Arial"/>
        </w:rPr>
        <w:t>s</w:t>
      </w:r>
      <w:r>
        <w:rPr>
          <w:rFonts w:ascii="Arial" w:hAnsi="Arial"/>
        </w:rPr>
        <w:t>feridos por el Programa Uruguay Crece Contigo.</w:t>
      </w:r>
    </w:p>
    <w:p w:rsidR="00383567" w:rsidRDefault="00383567" w:rsidP="00A849B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RESULTANDO: </w:t>
      </w:r>
      <w:r>
        <w:rPr>
          <w:rFonts w:ascii="Arial" w:hAnsi="Arial"/>
          <w:b/>
          <w:bCs/>
          <w:lang w:val="es-MX"/>
        </w:rPr>
        <w:t>1)</w:t>
      </w:r>
      <w:r>
        <w:rPr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que por Resolución de </w:t>
      </w:r>
      <w:r>
        <w:rPr>
          <w:rFonts w:ascii="Arial" w:hAnsi="Arial"/>
        </w:rPr>
        <w:t>este Tribunal, de fecha 27 de abril de 2016, se dispuso observar el gasto derivado de la tra</w:t>
      </w:r>
      <w:r w:rsidR="004F372C">
        <w:rPr>
          <w:rFonts w:ascii="Arial" w:hAnsi="Arial"/>
        </w:rPr>
        <w:t>n</w:t>
      </w:r>
      <w:r>
        <w:rPr>
          <w:rFonts w:ascii="Arial" w:hAnsi="Arial"/>
        </w:rPr>
        <w:t xml:space="preserve">sferencia de </w:t>
      </w:r>
      <w:r w:rsidR="006070C3">
        <w:rPr>
          <w:rFonts w:ascii="Arial" w:hAnsi="Arial"/>
        </w:rPr>
        <w:t xml:space="preserve"> </w:t>
      </w:r>
      <w:r>
        <w:rPr>
          <w:rFonts w:ascii="Arial" w:hAnsi="Arial"/>
        </w:rPr>
        <w:t>$ 91</w:t>
      </w:r>
      <w:r w:rsidR="006070C3">
        <w:rPr>
          <w:rFonts w:ascii="Arial" w:hAnsi="Arial"/>
        </w:rPr>
        <w:t>:</w:t>
      </w:r>
      <w:r>
        <w:rPr>
          <w:rFonts w:ascii="Arial" w:hAnsi="Arial"/>
        </w:rPr>
        <w:t>000.000 a reali</w:t>
      </w:r>
      <w:r w:rsidR="004F372C">
        <w:rPr>
          <w:rFonts w:ascii="Arial" w:hAnsi="Arial"/>
        </w:rPr>
        <w:t>z</w:t>
      </w:r>
      <w:r>
        <w:rPr>
          <w:rFonts w:ascii="Arial" w:hAnsi="Arial"/>
        </w:rPr>
        <w:t xml:space="preserve">arse en el marco del convenio referido,  en virtud de que este </w:t>
      </w:r>
      <w:r w:rsidR="004F372C">
        <w:rPr>
          <w:rFonts w:ascii="Arial" w:hAnsi="Arial"/>
        </w:rPr>
        <w:t>ú</w:t>
      </w:r>
      <w:r>
        <w:rPr>
          <w:rFonts w:ascii="Arial" w:hAnsi="Arial"/>
        </w:rPr>
        <w:t>ltimo fue observado por este Tr</w:t>
      </w:r>
      <w:r w:rsidR="004F372C">
        <w:rPr>
          <w:rFonts w:ascii="Arial" w:hAnsi="Arial"/>
        </w:rPr>
        <w:t>i</w:t>
      </w:r>
      <w:r>
        <w:rPr>
          <w:rFonts w:ascii="Arial" w:hAnsi="Arial"/>
        </w:rPr>
        <w:t>bunal el 15 de diciembre de 2010;</w:t>
      </w:r>
    </w:p>
    <w:p w:rsidR="004F372C" w:rsidRDefault="00383567" w:rsidP="00A849BC">
      <w:pPr>
        <w:spacing w:line="360" w:lineRule="auto"/>
        <w:ind w:firstLine="2835"/>
        <w:jc w:val="both"/>
        <w:rPr>
          <w:rFonts w:ascii="Arial" w:hAnsi="Arial"/>
        </w:rPr>
      </w:pPr>
      <w:r w:rsidRPr="004F372C">
        <w:rPr>
          <w:rFonts w:ascii="Arial" w:hAnsi="Arial"/>
          <w:b/>
        </w:rPr>
        <w:t>2)</w:t>
      </w:r>
      <w:r w:rsidR="004F372C">
        <w:rPr>
          <w:rFonts w:ascii="Arial" w:hAnsi="Arial"/>
        </w:rPr>
        <w:t xml:space="preserve"> </w:t>
      </w:r>
      <w:r w:rsidR="004F372C">
        <w:rPr>
          <w:rFonts w:ascii="Arial" w:hAnsi="Arial" w:cs="Arial"/>
          <w:lang w:val="es-MX"/>
        </w:rPr>
        <w:t xml:space="preserve">que en esta instancia, la Contadora Auditora destacada ante la referida Secretaría de Estado, remite nota de fecha 2 de setiembre de 2016, adjuntando copia de la Resolución del Poder </w:t>
      </w:r>
      <w:r w:rsidR="00661578">
        <w:rPr>
          <w:rFonts w:ascii="Arial" w:hAnsi="Arial" w:cs="Arial"/>
          <w:lang w:val="es-MX"/>
        </w:rPr>
        <w:t>E</w:t>
      </w:r>
      <w:r w:rsidR="004F372C">
        <w:rPr>
          <w:rFonts w:ascii="Arial" w:hAnsi="Arial" w:cs="Arial"/>
          <w:lang w:val="es-MX"/>
        </w:rPr>
        <w:t>jecutivo del 16 de mayo de 2016, por intermedio de la cual se insiste el gasto referido, fundamentando tal insistencia en la  necesidad  de dar continuidad a las actividades del Programa. Asimismo, se adjunta constancia de la intervención por reiteración del gasto mencionado</w:t>
      </w:r>
      <w:r w:rsidR="00661578">
        <w:rPr>
          <w:rFonts w:ascii="Arial" w:hAnsi="Arial" w:cs="Arial"/>
          <w:lang w:val="es-MX"/>
        </w:rPr>
        <w:t>,</w:t>
      </w:r>
      <w:r w:rsidR="004F372C">
        <w:rPr>
          <w:rFonts w:ascii="Arial" w:hAnsi="Arial" w:cs="Arial"/>
          <w:lang w:val="es-MX"/>
        </w:rPr>
        <w:t xml:space="preserve"> realizada el 24 de mayo de 2016;</w:t>
      </w:r>
    </w:p>
    <w:p w:rsidR="00A849BC" w:rsidRDefault="004F372C" w:rsidP="00A849BC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/>
          <w:b/>
        </w:rPr>
        <w:t>CONSIDERANDO: 1</w:t>
      </w:r>
      <w:r>
        <w:rPr>
          <w:rFonts w:ascii="Arial" w:hAnsi="Arial" w:cs="Arial"/>
          <w:b/>
          <w:bCs/>
          <w:lang w:val="es-MX"/>
        </w:rPr>
        <w:t xml:space="preserve">) </w:t>
      </w:r>
      <w:r>
        <w:rPr>
          <w:rFonts w:ascii="Arial" w:hAnsi="Arial" w:cs="Arial"/>
          <w:lang w:val="es-MX"/>
        </w:rPr>
        <w:t xml:space="preserve">que el </w:t>
      </w:r>
      <w:r w:rsidR="006070C3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rtículo 475 de la Ley 17.296 de 21/2/01, establece que los Ordenadores de gastos o pagos, al ejercer la facultad de insistencia o reiteración que les acuerda el </w:t>
      </w:r>
      <w:r w:rsidR="006070C3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rtículo 211 Lit</w:t>
      </w:r>
      <w:r w:rsidR="006070C3">
        <w:rPr>
          <w:rFonts w:ascii="Arial" w:hAnsi="Arial" w:cs="Arial"/>
          <w:lang w:val="es-MX"/>
        </w:rPr>
        <w:t>eral</w:t>
      </w:r>
      <w:bookmarkStart w:id="0" w:name="_GoBack"/>
      <w:bookmarkEnd w:id="0"/>
      <w:r>
        <w:rPr>
          <w:rFonts w:ascii="Arial" w:hAnsi="Arial" w:cs="Arial"/>
          <w:lang w:val="es-MX"/>
        </w:rPr>
        <w:t xml:space="preserve"> B) de la Constitución de la República, deben hacerlo en forma fundada, detallando los motivos que a su juicio justifican seguir el curso del gasto o pago;</w:t>
      </w:r>
    </w:p>
    <w:p w:rsidR="00661578" w:rsidRPr="00A849BC" w:rsidRDefault="004F372C" w:rsidP="00A849BC">
      <w:pPr>
        <w:spacing w:line="360" w:lineRule="auto"/>
        <w:ind w:firstLine="3119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lastRenderedPageBreak/>
        <w:t>2)</w:t>
      </w:r>
      <w:r w:rsidR="00661578">
        <w:rPr>
          <w:rFonts w:ascii="Arial" w:hAnsi="Arial" w:cs="Arial"/>
          <w:b/>
          <w:bCs/>
          <w:lang w:val="es-MX"/>
        </w:rPr>
        <w:t xml:space="preserve"> </w:t>
      </w:r>
      <w:r w:rsidR="00661578">
        <w:rPr>
          <w:rFonts w:ascii="Arial" w:hAnsi="Arial" w:cs="Arial"/>
          <w:b/>
          <w:bCs/>
        </w:rPr>
        <w:t xml:space="preserve"> </w:t>
      </w:r>
      <w:r w:rsidR="00661578" w:rsidRPr="00661578">
        <w:rPr>
          <w:rFonts w:ascii="Arial" w:hAnsi="Arial" w:cs="Arial"/>
          <w:bCs/>
        </w:rPr>
        <w:t>que</w:t>
      </w:r>
      <w:r w:rsidR="00661578" w:rsidRPr="004B5F40">
        <w:rPr>
          <w:rFonts w:ascii="Arial" w:hAnsi="Arial" w:cs="Arial"/>
          <w:bCs/>
        </w:rPr>
        <w:t xml:space="preserve"> se mantienen incambiados los argumentos por los cuales se formuló oportunamente la observación reiterada, razón por la cual corresponde mantener la misma en todos sus términos</w:t>
      </w:r>
      <w:r w:rsidR="00661578" w:rsidRPr="004B5F40">
        <w:rPr>
          <w:rFonts w:ascii="Arial" w:hAnsi="Arial" w:cs="Arial"/>
          <w:lang w:val="es-MX"/>
        </w:rPr>
        <w:t>;</w:t>
      </w:r>
      <w:r w:rsidR="00661578" w:rsidRPr="004B5F40">
        <w:rPr>
          <w:rFonts w:ascii="Arial" w:hAnsi="Arial" w:cs="Arial"/>
        </w:rPr>
        <w:t xml:space="preserve">                                                                                 </w:t>
      </w:r>
    </w:p>
    <w:p w:rsidR="004F372C" w:rsidRDefault="00A849BC" w:rsidP="00A849BC">
      <w:pPr>
        <w:spacing w:line="360" w:lineRule="auto"/>
        <w:ind w:firstLine="3119"/>
        <w:jc w:val="both"/>
        <w:rPr>
          <w:rFonts w:ascii="Arial" w:hAnsi="Arial" w:cs="Arial"/>
          <w:lang w:val="es-MX"/>
        </w:rPr>
      </w:pPr>
      <w:r w:rsidRPr="00A849BC">
        <w:rPr>
          <w:rFonts w:ascii="Arial" w:hAnsi="Arial" w:cs="Arial"/>
          <w:b/>
          <w:lang w:val="es-MX"/>
        </w:rPr>
        <w:t>3)</w:t>
      </w:r>
      <w:r>
        <w:rPr>
          <w:rFonts w:ascii="Arial" w:hAnsi="Arial" w:cs="Arial"/>
          <w:lang w:val="es-MX"/>
        </w:rPr>
        <w:t xml:space="preserve"> </w:t>
      </w:r>
      <w:r w:rsidR="004F372C">
        <w:rPr>
          <w:rFonts w:ascii="Arial" w:hAnsi="Arial" w:cs="Arial"/>
          <w:lang w:val="es-MX"/>
        </w:rPr>
        <w:t>que las razones invocadas por la Administración no modifican los argumentos expresados por este Tribunal en la Resolución de fecha 30 de diciembre de 2014,</w:t>
      </w:r>
      <w:r w:rsidR="004F372C">
        <w:rPr>
          <w:rFonts w:ascii="Arial" w:hAnsi="Arial" w:cs="Arial"/>
          <w:b/>
          <w:bCs/>
          <w:lang w:val="es-MX"/>
        </w:rPr>
        <w:t xml:space="preserve"> </w:t>
      </w:r>
      <w:r w:rsidR="004F372C">
        <w:rPr>
          <w:rFonts w:ascii="Arial" w:hAnsi="Arial" w:cs="Arial"/>
          <w:lang w:val="es-MX"/>
        </w:rPr>
        <w:t>por lo que se mantienen incambiadas las causas que motivaran la observación;</w:t>
      </w:r>
    </w:p>
    <w:p w:rsidR="004F372C" w:rsidRPr="00A849BC" w:rsidRDefault="004F372C" w:rsidP="00A849B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ATENTO: </w:t>
      </w:r>
      <w:r>
        <w:rPr>
          <w:rFonts w:ascii="Arial" w:hAnsi="Arial"/>
        </w:rPr>
        <w:t>a lo precedentemente expuesto;</w:t>
      </w:r>
    </w:p>
    <w:p w:rsidR="004F372C" w:rsidRDefault="004F372C" w:rsidP="00A849BC">
      <w:pPr>
        <w:pStyle w:val="Ttulo2"/>
        <w:ind w:firstLine="0"/>
      </w:pPr>
      <w:r>
        <w:t>EL TRIBUNAL ACUERDA</w:t>
      </w:r>
    </w:p>
    <w:p w:rsidR="004F372C" w:rsidRDefault="004F372C" w:rsidP="00A849BC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1)</w:t>
      </w:r>
      <w:r>
        <w:rPr>
          <w:rFonts w:ascii="Arial" w:hAnsi="Arial"/>
          <w:lang w:val="es-MX"/>
        </w:rPr>
        <w:t xml:space="preserve"> Mantener la observación formulada por</w:t>
      </w:r>
      <w:r>
        <w:rPr>
          <w:rFonts w:ascii="Arial" w:hAnsi="Arial" w:cs="Arial"/>
          <w:lang w:val="es-MX"/>
        </w:rPr>
        <w:t xml:space="preserve"> este Tribunal en la Resolución de fecha </w:t>
      </w:r>
      <w:r w:rsidR="00661578">
        <w:rPr>
          <w:rFonts w:ascii="Arial" w:hAnsi="Arial"/>
        </w:rPr>
        <w:t>27 de abril de 2016</w:t>
      </w:r>
      <w:r>
        <w:rPr>
          <w:rFonts w:ascii="Arial" w:hAnsi="Arial"/>
          <w:lang w:val="es-MX"/>
        </w:rPr>
        <w:t>;</w:t>
      </w:r>
    </w:p>
    <w:p w:rsidR="004F372C" w:rsidRDefault="004F372C" w:rsidP="00A849BC">
      <w:p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Dar cuenta a la Asamblea General;</w:t>
      </w:r>
    </w:p>
    <w:p w:rsidR="004F372C" w:rsidRDefault="00A849BC" w:rsidP="00A849BC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lang w:val="es-MX"/>
        </w:rPr>
        <w:t xml:space="preserve">3) </w:t>
      </w:r>
      <w:r w:rsidR="004F372C">
        <w:rPr>
          <w:rFonts w:ascii="Arial" w:hAnsi="Arial"/>
          <w:lang w:val="es-MX"/>
        </w:rPr>
        <w:t>Comunicar a la Administración actuante</w:t>
      </w:r>
      <w:r>
        <w:rPr>
          <w:rFonts w:ascii="Arial" w:hAnsi="Arial"/>
          <w:lang w:val="es-MX"/>
        </w:rPr>
        <w:t>.</w:t>
      </w:r>
    </w:p>
    <w:p w:rsidR="004F372C" w:rsidRDefault="004F372C" w:rsidP="00A849BC">
      <w:pPr>
        <w:spacing w:line="360" w:lineRule="auto"/>
        <w:jc w:val="both"/>
        <w:rPr>
          <w:rFonts w:ascii="Arial" w:hAnsi="Arial"/>
          <w:lang w:val="es-MX"/>
        </w:rPr>
      </w:pPr>
    </w:p>
    <w:p w:rsidR="004F372C" w:rsidRDefault="00A849BC" w:rsidP="00A849BC">
      <w:pPr>
        <w:spacing w:line="360" w:lineRule="auto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bf</w:t>
      </w:r>
      <w:proofErr w:type="spellEnd"/>
      <w:proofErr w:type="gramEnd"/>
    </w:p>
    <w:sectPr w:rsidR="004F372C" w:rsidSect="00A849B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03" w:rsidRDefault="00AB4503">
      <w:r>
        <w:separator/>
      </w:r>
    </w:p>
  </w:endnote>
  <w:endnote w:type="continuationSeparator" w:id="0">
    <w:p w:rsidR="00AB4503" w:rsidRDefault="00AB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F2" w:rsidRDefault="0066157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3BF2" w:rsidRDefault="006070C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F2" w:rsidRDefault="0066157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70C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A3BF2" w:rsidRDefault="006070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03" w:rsidRDefault="00AB4503">
      <w:r>
        <w:separator/>
      </w:r>
    </w:p>
  </w:footnote>
  <w:footnote w:type="continuationSeparator" w:id="0">
    <w:p w:rsidR="00AB4503" w:rsidRDefault="00AB4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F2" w:rsidRDefault="0066157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A3BF2" w:rsidRDefault="006070C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F2" w:rsidRDefault="006070C3">
    <w:pPr>
      <w:pStyle w:val="Encabezado"/>
      <w:framePr w:wrap="around" w:vAnchor="text" w:hAnchor="margin" w:xAlign="right" w:y="1"/>
      <w:rPr>
        <w:rStyle w:val="Nmerodepgina"/>
      </w:rPr>
    </w:pPr>
  </w:p>
  <w:p w:rsidR="00EA3BF2" w:rsidRDefault="006070C3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67"/>
    <w:rsid w:val="000276A9"/>
    <w:rsid w:val="000F6850"/>
    <w:rsid w:val="001831C0"/>
    <w:rsid w:val="001E2C03"/>
    <w:rsid w:val="00383567"/>
    <w:rsid w:val="004F372C"/>
    <w:rsid w:val="006070C3"/>
    <w:rsid w:val="00661578"/>
    <w:rsid w:val="00753AD2"/>
    <w:rsid w:val="00A56B35"/>
    <w:rsid w:val="00A849BC"/>
    <w:rsid w:val="00AB4503"/>
    <w:rsid w:val="00CC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8356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383567"/>
    <w:pPr>
      <w:keepNext/>
      <w:spacing w:line="360" w:lineRule="auto"/>
      <w:ind w:firstLine="708"/>
      <w:jc w:val="center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83567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83567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3835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383567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383567"/>
  </w:style>
  <w:style w:type="paragraph" w:styleId="Piedepgina">
    <w:name w:val="footer"/>
    <w:basedOn w:val="Normal"/>
    <w:link w:val="PiedepginaCar"/>
    <w:semiHidden/>
    <w:rsid w:val="003835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383567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8356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383567"/>
    <w:pPr>
      <w:keepNext/>
      <w:spacing w:line="360" w:lineRule="auto"/>
      <w:ind w:firstLine="708"/>
      <w:jc w:val="center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83567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83567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3835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383567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383567"/>
  </w:style>
  <w:style w:type="paragraph" w:styleId="Piedepgina">
    <w:name w:val="footer"/>
    <w:basedOn w:val="Normal"/>
    <w:link w:val="PiedepginaCar"/>
    <w:semiHidden/>
    <w:rsid w:val="003835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383567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dcterms:created xsi:type="dcterms:W3CDTF">2016-09-22T14:54:00Z</dcterms:created>
  <dcterms:modified xsi:type="dcterms:W3CDTF">2016-09-22T14:54:00Z</dcterms:modified>
</cp:coreProperties>
</file>