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047" w:rsidRPr="00786EEB" w:rsidRDefault="00D37047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bookmarkStart w:id="0" w:name="_GoBack"/>
      <w:bookmarkEnd w:id="0"/>
      <w:r w:rsidRPr="00786EEB">
        <w:rPr>
          <w:rFonts w:ascii="Arial" w:hAnsi="Arial" w:cs="Arial"/>
          <w:b/>
          <w:sz w:val="28"/>
          <w:szCs w:val="28"/>
          <w:lang w:val="es-ES_tradnl"/>
        </w:rPr>
        <w:t xml:space="preserve">RES. </w:t>
      </w:r>
      <w:r>
        <w:rPr>
          <w:rFonts w:ascii="Arial" w:hAnsi="Arial" w:cs="Arial"/>
          <w:b/>
          <w:sz w:val="28"/>
          <w:szCs w:val="28"/>
          <w:lang w:val="es-ES_tradnl"/>
        </w:rPr>
        <w:t>2322</w:t>
      </w:r>
      <w:r w:rsidRPr="00786EEB">
        <w:rPr>
          <w:rFonts w:ascii="Arial" w:hAnsi="Arial" w:cs="Arial"/>
          <w:b/>
          <w:sz w:val="28"/>
          <w:szCs w:val="28"/>
          <w:lang w:val="es-ES_tradnl"/>
        </w:rPr>
        <w:t>/16</w:t>
      </w:r>
    </w:p>
    <w:p w:rsidR="00D37047" w:rsidRDefault="00D37047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D37047" w:rsidRPr="00762B34" w:rsidRDefault="00D37047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RESOLUCION ADOPTADA POR EL</w:t>
      </w:r>
    </w:p>
    <w:p w:rsidR="00D37047" w:rsidRPr="00762B34" w:rsidRDefault="00D37047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D37047" w:rsidRPr="00762B34" w:rsidRDefault="00D37047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TRIBUNAL DE CUENTAS</w:t>
      </w:r>
    </w:p>
    <w:p w:rsidR="00D37047" w:rsidRPr="00762B34" w:rsidRDefault="00D37047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D37047" w:rsidRPr="00762B34" w:rsidRDefault="00D37047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 xml:space="preserve">EN SESION DE FECHA </w:t>
      </w:r>
      <w:r>
        <w:rPr>
          <w:rFonts w:ascii="Helvetica" w:hAnsi="Helvetica"/>
          <w:b/>
          <w:lang w:val="es-ES_tradnl"/>
        </w:rPr>
        <w:t>6 DE JULIO DE 2016</w:t>
      </w:r>
    </w:p>
    <w:p w:rsidR="00D37047" w:rsidRPr="00762B34" w:rsidRDefault="00D37047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2D1378" w:rsidRPr="00652962" w:rsidRDefault="00D37047" w:rsidP="00D37047">
      <w:pPr>
        <w:tabs>
          <w:tab w:val="center" w:pos="4253"/>
        </w:tabs>
        <w:suppressAutoHyphens/>
        <w:jc w:val="center"/>
        <w:rPr>
          <w:rFonts w:ascii="Arial" w:hAnsi="Arial" w:cs="Arial"/>
          <w:b/>
        </w:rPr>
      </w:pPr>
      <w:r w:rsidRPr="00652962">
        <w:rPr>
          <w:rFonts w:ascii="Arial" w:hAnsi="Arial" w:cs="Arial"/>
          <w:b/>
        </w:rPr>
        <w:t xml:space="preserve">(E. E. Nº 2016-17-1-0001967, </w:t>
      </w:r>
      <w:proofErr w:type="spellStart"/>
      <w:r w:rsidRPr="00652962">
        <w:rPr>
          <w:rFonts w:ascii="Arial" w:hAnsi="Arial" w:cs="Arial"/>
          <w:b/>
        </w:rPr>
        <w:t>Ent</w:t>
      </w:r>
      <w:proofErr w:type="spellEnd"/>
      <w:r w:rsidRPr="00652962">
        <w:rPr>
          <w:rFonts w:ascii="Arial" w:hAnsi="Arial" w:cs="Arial"/>
          <w:b/>
        </w:rPr>
        <w:t>. N° 1470/16)</w:t>
      </w:r>
    </w:p>
    <w:p w:rsidR="00D37047" w:rsidRPr="00652962" w:rsidRDefault="00D37047" w:rsidP="00D37047">
      <w:pPr>
        <w:tabs>
          <w:tab w:val="center" w:pos="4253"/>
        </w:tabs>
        <w:suppressAutoHyphens/>
        <w:jc w:val="center"/>
        <w:rPr>
          <w:rFonts w:ascii="Arial" w:hAnsi="Arial" w:cs="Arial"/>
          <w:b/>
        </w:rPr>
      </w:pPr>
    </w:p>
    <w:p w:rsidR="002D1378" w:rsidRPr="00D85E36" w:rsidRDefault="002D1378" w:rsidP="002D1378"/>
    <w:p w:rsidR="002D1378" w:rsidRPr="002D1378" w:rsidRDefault="002D1378" w:rsidP="002D1378">
      <w:pPr>
        <w:pStyle w:val="Sangradetextonormal"/>
        <w:spacing w:line="360" w:lineRule="auto"/>
        <w:ind w:firstLine="851"/>
      </w:pPr>
      <w:r w:rsidRPr="002D1378">
        <w:rPr>
          <w:b/>
        </w:rPr>
        <w:t>VISTO:</w:t>
      </w:r>
      <w:r w:rsidRPr="00467401">
        <w:t xml:space="preserve"> los </w:t>
      </w:r>
      <w:r w:rsidR="009E0275">
        <w:t>E</w:t>
      </w:r>
      <w:r w:rsidRPr="00467401">
        <w:t xml:space="preserve">stados </w:t>
      </w:r>
      <w:r w:rsidR="009E0275">
        <w:t>F</w:t>
      </w:r>
      <w:r w:rsidRPr="00467401">
        <w:t xml:space="preserve">inancieros correspondientes al </w:t>
      </w:r>
      <w:r w:rsidR="009E0275">
        <w:t>E</w:t>
      </w:r>
      <w:r w:rsidRPr="00467401">
        <w:t xml:space="preserve">jercicio finalizado el </w:t>
      </w:r>
      <w:r>
        <w:t>31 de diciembre de 2015,</w:t>
      </w:r>
      <w:r w:rsidRPr="00467401">
        <w:t xml:space="preserve"> formulados </w:t>
      </w:r>
      <w:r>
        <w:t xml:space="preserve">por </w:t>
      </w:r>
      <w:r w:rsidR="009E0275">
        <w:t xml:space="preserve">el </w:t>
      </w:r>
      <w:r>
        <w:t>Instituto Nacional de Investigación Agropecuaria (INIA)</w:t>
      </w:r>
      <w:r w:rsidR="007408A7">
        <w:t>;</w:t>
      </w:r>
    </w:p>
    <w:p w:rsidR="002D1378" w:rsidRDefault="002D1378" w:rsidP="002D1378">
      <w:pPr>
        <w:pStyle w:val="Ttulo1"/>
        <w:tabs>
          <w:tab w:val="left" w:pos="2835"/>
        </w:tabs>
        <w:ind w:firstLine="851"/>
        <w:jc w:val="both"/>
        <w:rPr>
          <w:b w:val="0"/>
        </w:rPr>
      </w:pPr>
      <w:r w:rsidRPr="002D1378">
        <w:t>RESULTANDO: 1)</w:t>
      </w:r>
      <w:r w:rsidRPr="003C2CA6">
        <w:rPr>
          <w:b w:val="0"/>
        </w:rPr>
        <w:t xml:space="preserve"> que dichos </w:t>
      </w:r>
      <w:r w:rsidR="00580323">
        <w:rPr>
          <w:b w:val="0"/>
        </w:rPr>
        <w:t>e</w:t>
      </w:r>
      <w:r w:rsidRPr="003C2CA6">
        <w:rPr>
          <w:b w:val="0"/>
        </w:rPr>
        <w:t>stados fueron remitidos el 2</w:t>
      </w:r>
      <w:r>
        <w:rPr>
          <w:b w:val="0"/>
        </w:rPr>
        <w:t>9 de marzo de 2016</w:t>
      </w:r>
      <w:r w:rsidRPr="003C2CA6">
        <w:rPr>
          <w:b w:val="0"/>
        </w:rPr>
        <w:t xml:space="preserve"> al Tribunal de Cuentas a efectos de su </w:t>
      </w:r>
      <w:proofErr w:type="spellStart"/>
      <w:r w:rsidRPr="003C2CA6">
        <w:rPr>
          <w:b w:val="0"/>
        </w:rPr>
        <w:t>visación</w:t>
      </w:r>
      <w:proofErr w:type="spellEnd"/>
      <w:r w:rsidRPr="003C2CA6">
        <w:rPr>
          <w:b w:val="0"/>
        </w:rPr>
        <w:t>;</w:t>
      </w:r>
    </w:p>
    <w:p w:rsidR="002D1378" w:rsidRPr="00EE5A26" w:rsidRDefault="002D1378" w:rsidP="007408A7">
      <w:pPr>
        <w:pStyle w:val="Sangra2detindependiente"/>
        <w:tabs>
          <w:tab w:val="left" w:pos="1843"/>
        </w:tabs>
        <w:ind w:firstLine="2694"/>
        <w:rPr>
          <w:b w:val="0"/>
        </w:rPr>
      </w:pPr>
      <w:r w:rsidRPr="002D1378">
        <w:t>2)</w:t>
      </w:r>
      <w:r>
        <w:rPr>
          <w:b w:val="0"/>
        </w:rPr>
        <w:t xml:space="preserve"> </w:t>
      </w:r>
      <w:r w:rsidRPr="00EE5A26">
        <w:rPr>
          <w:b w:val="0"/>
        </w:rPr>
        <w:t>que los mencionados estados se presentaron acompañados por dictamen de auditoría externa;</w:t>
      </w:r>
    </w:p>
    <w:p w:rsidR="002D1378" w:rsidRPr="002D1378" w:rsidRDefault="002D1378" w:rsidP="007408A7">
      <w:pPr>
        <w:pStyle w:val="Sangra2detindependiente"/>
        <w:tabs>
          <w:tab w:val="left" w:pos="1843"/>
        </w:tabs>
        <w:ind w:firstLine="2694"/>
        <w:rPr>
          <w:b w:val="0"/>
        </w:rPr>
      </w:pPr>
      <w:r w:rsidRPr="002D1378">
        <w:t>3)</w:t>
      </w:r>
      <w:r w:rsidRPr="00EE5A26">
        <w:rPr>
          <w:b w:val="0"/>
        </w:rPr>
        <w:t xml:space="preserve"> que una copia de los mismos fue presentada a la Auditoría Interna de la Nación con </w:t>
      </w:r>
      <w:r w:rsidR="007408A7">
        <w:rPr>
          <w:b w:val="0"/>
        </w:rPr>
        <w:t>fecha 29/03/2016;</w:t>
      </w:r>
    </w:p>
    <w:p w:rsidR="002D1378" w:rsidRPr="00580323" w:rsidRDefault="002D1378" w:rsidP="007408A7">
      <w:pPr>
        <w:pStyle w:val="Sangra3detindependiente"/>
        <w:tabs>
          <w:tab w:val="left" w:pos="1843"/>
        </w:tabs>
        <w:ind w:firstLine="2694"/>
        <w:rPr>
          <w:b w:val="0"/>
        </w:rPr>
      </w:pPr>
      <w:r w:rsidRPr="002D1378">
        <w:rPr>
          <w:rFonts w:cs="Times New Roman"/>
          <w:bCs w:val="0"/>
          <w:color w:val="000000"/>
        </w:rPr>
        <w:t>4)</w:t>
      </w:r>
      <w:r w:rsidRPr="009634F0">
        <w:rPr>
          <w:b w:val="0"/>
        </w:rPr>
        <w:t xml:space="preserve"> </w:t>
      </w:r>
      <w:r w:rsidRPr="00F10AA7">
        <w:rPr>
          <w:b w:val="0"/>
        </w:rPr>
        <w:t xml:space="preserve">que los estados financieros correspondientes al </w:t>
      </w:r>
      <w:r w:rsidR="00580323">
        <w:rPr>
          <w:b w:val="0"/>
        </w:rPr>
        <w:t>E</w:t>
      </w:r>
      <w:r w:rsidRPr="00F10AA7">
        <w:rPr>
          <w:b w:val="0"/>
        </w:rPr>
        <w:t>jercicio finalizado el 31 de diciembre de 2014  fueron  publi</w:t>
      </w:r>
      <w:r w:rsidR="007408A7">
        <w:rPr>
          <w:b w:val="0"/>
        </w:rPr>
        <w:t>cados;</w:t>
      </w:r>
    </w:p>
    <w:p w:rsidR="002D1378" w:rsidRPr="005272FD" w:rsidRDefault="002D1378" w:rsidP="007408A7">
      <w:pPr>
        <w:pStyle w:val="Sangra3detindependiente"/>
        <w:tabs>
          <w:tab w:val="left" w:pos="1843"/>
        </w:tabs>
        <w:ind w:firstLine="2694"/>
        <w:rPr>
          <w:b w:val="0"/>
        </w:rPr>
      </w:pPr>
      <w:r>
        <w:t>5)</w:t>
      </w:r>
      <w:r>
        <w:rPr>
          <w:b w:val="0"/>
        </w:rPr>
        <w:t xml:space="preserve"> </w:t>
      </w:r>
      <w:r w:rsidRPr="00EE5A26">
        <w:rPr>
          <w:b w:val="0"/>
        </w:rPr>
        <w:t xml:space="preserve">que </w:t>
      </w:r>
      <w:r>
        <w:rPr>
          <w:b w:val="0"/>
        </w:rPr>
        <w:t>se remitió el Balance de Ejecución Presupuestal conjuntamente con los estados financieros</w:t>
      </w:r>
      <w:r w:rsidRPr="00EE5A26">
        <w:rPr>
          <w:b w:val="0"/>
        </w:rPr>
        <w:t>;</w:t>
      </w:r>
    </w:p>
    <w:p w:rsidR="002D1378" w:rsidRPr="00F10AA7" w:rsidRDefault="002D1378" w:rsidP="007408A7">
      <w:pPr>
        <w:pStyle w:val="Sangra2detindependiente"/>
        <w:tabs>
          <w:tab w:val="left" w:pos="0"/>
        </w:tabs>
        <w:ind w:firstLine="2694"/>
        <w:rPr>
          <w:b w:val="0"/>
        </w:rPr>
      </w:pPr>
      <w:r w:rsidRPr="002D1378">
        <w:t>6)</w:t>
      </w:r>
      <w:r w:rsidRPr="00F10AA7">
        <w:rPr>
          <w:b w:val="0"/>
        </w:rPr>
        <w:t xml:space="preserve"> que los mencionados estados s</w:t>
      </w:r>
      <w:r>
        <w:rPr>
          <w:b w:val="0"/>
        </w:rPr>
        <w:t>e remitieron debidamente firmado</w:t>
      </w:r>
      <w:r w:rsidRPr="00F10AA7">
        <w:rPr>
          <w:b w:val="0"/>
        </w:rPr>
        <w:t>s por el Jerarca máximo de la entidad y el Contador General, acompañados de una Nota dirigida al Presidente del Tribunal de Cuentas;</w:t>
      </w:r>
    </w:p>
    <w:p w:rsidR="002D1378" w:rsidRDefault="002D1378" w:rsidP="007408A7">
      <w:pPr>
        <w:pStyle w:val="Sangra2detindependiente"/>
        <w:tabs>
          <w:tab w:val="left" w:pos="1843"/>
        </w:tabs>
        <w:ind w:firstLine="2694"/>
        <w:rPr>
          <w:b w:val="0"/>
        </w:rPr>
      </w:pPr>
      <w:r w:rsidRPr="002D1378">
        <w:t>7)</w:t>
      </w:r>
      <w:r>
        <w:rPr>
          <w:b w:val="0"/>
        </w:rPr>
        <w:t xml:space="preserve"> que</w:t>
      </w:r>
      <w:r w:rsidRPr="005272FD">
        <w:rPr>
          <w:b w:val="0"/>
        </w:rPr>
        <w:t xml:space="preserve"> se adjuntó a los estados contables referidos copia del acta de aprobación de los mismos conteniendo</w:t>
      </w:r>
      <w:r>
        <w:rPr>
          <w:b w:val="0"/>
        </w:rPr>
        <w:t xml:space="preserve"> el resultado del </w:t>
      </w:r>
      <w:r w:rsidR="00580323">
        <w:rPr>
          <w:b w:val="0"/>
        </w:rPr>
        <w:t>E</w:t>
      </w:r>
      <w:r>
        <w:rPr>
          <w:b w:val="0"/>
        </w:rPr>
        <w:t>jercicio y c</w:t>
      </w:r>
      <w:r w:rsidRPr="005272FD">
        <w:rPr>
          <w:b w:val="0"/>
        </w:rPr>
        <w:t xml:space="preserve">arta de </w:t>
      </w:r>
      <w:r>
        <w:rPr>
          <w:b w:val="0"/>
        </w:rPr>
        <w:t>r</w:t>
      </w:r>
      <w:r w:rsidRPr="005272FD">
        <w:rPr>
          <w:b w:val="0"/>
        </w:rPr>
        <w:t xml:space="preserve">epresentación de la </w:t>
      </w:r>
      <w:r w:rsidR="00580323">
        <w:rPr>
          <w:b w:val="0"/>
        </w:rPr>
        <w:t>A</w:t>
      </w:r>
      <w:r w:rsidRPr="005272FD">
        <w:rPr>
          <w:b w:val="0"/>
        </w:rPr>
        <w:t>dministración</w:t>
      </w:r>
      <w:r>
        <w:rPr>
          <w:b w:val="0"/>
        </w:rPr>
        <w:t>;</w:t>
      </w:r>
    </w:p>
    <w:p w:rsidR="0074663B" w:rsidRDefault="0074663B" w:rsidP="002D1378">
      <w:pPr>
        <w:pStyle w:val="Sangra2detindependiente"/>
        <w:tabs>
          <w:tab w:val="left" w:pos="0"/>
        </w:tabs>
        <w:ind w:firstLine="2977"/>
      </w:pPr>
    </w:p>
    <w:p w:rsidR="0074663B" w:rsidRDefault="0074663B" w:rsidP="002D1378">
      <w:pPr>
        <w:pStyle w:val="Sangra2detindependiente"/>
        <w:tabs>
          <w:tab w:val="left" w:pos="0"/>
        </w:tabs>
        <w:ind w:firstLine="2977"/>
      </w:pPr>
    </w:p>
    <w:p w:rsidR="0074663B" w:rsidRDefault="0074663B" w:rsidP="002D1378">
      <w:pPr>
        <w:pStyle w:val="Sangra2detindependiente"/>
        <w:tabs>
          <w:tab w:val="left" w:pos="0"/>
        </w:tabs>
        <w:ind w:firstLine="2977"/>
      </w:pPr>
    </w:p>
    <w:p w:rsidR="0074663B" w:rsidRDefault="0074663B" w:rsidP="002D1378">
      <w:pPr>
        <w:pStyle w:val="Sangra2detindependiente"/>
        <w:tabs>
          <w:tab w:val="left" w:pos="0"/>
        </w:tabs>
        <w:ind w:firstLine="2977"/>
      </w:pPr>
    </w:p>
    <w:p w:rsidR="0074663B" w:rsidRDefault="0074663B" w:rsidP="002D1378">
      <w:pPr>
        <w:pStyle w:val="Sangra2detindependiente"/>
        <w:tabs>
          <w:tab w:val="left" w:pos="0"/>
        </w:tabs>
        <w:ind w:firstLine="2977"/>
      </w:pPr>
    </w:p>
    <w:p w:rsidR="00D20DFF" w:rsidRDefault="00D20DFF" w:rsidP="002D1378">
      <w:pPr>
        <w:pStyle w:val="Sangra2detindependiente"/>
        <w:tabs>
          <w:tab w:val="left" w:pos="0"/>
        </w:tabs>
        <w:ind w:firstLine="2977"/>
      </w:pPr>
    </w:p>
    <w:p w:rsidR="002D1378" w:rsidRDefault="002D1378" w:rsidP="007408A7">
      <w:pPr>
        <w:pStyle w:val="Sangra2detindependiente"/>
        <w:tabs>
          <w:tab w:val="left" w:pos="0"/>
        </w:tabs>
        <w:ind w:firstLine="2694"/>
        <w:rPr>
          <w:b w:val="0"/>
        </w:rPr>
      </w:pPr>
      <w:r w:rsidRPr="002D1378">
        <w:lastRenderedPageBreak/>
        <w:t>8)</w:t>
      </w:r>
      <w:r>
        <w:rPr>
          <w:b w:val="0"/>
        </w:rPr>
        <w:t xml:space="preserve"> que en el informe de auditoría de los estados financieros al 31 de diciembre de 2014 se recomendó:</w:t>
      </w:r>
    </w:p>
    <w:p w:rsidR="002D1378" w:rsidRDefault="002D1378" w:rsidP="002D1378">
      <w:pPr>
        <w:pStyle w:val="Sangra2detindependiente"/>
        <w:tabs>
          <w:tab w:val="left" w:pos="1843"/>
        </w:tabs>
        <w:ind w:firstLine="0"/>
        <w:rPr>
          <w:b w:val="0"/>
        </w:rPr>
      </w:pPr>
      <w:r w:rsidRPr="002D1378">
        <w:t>8.1)</w:t>
      </w:r>
      <w:r>
        <w:rPr>
          <w:b w:val="0"/>
        </w:rPr>
        <w:t xml:space="preserve"> Instrumentar los mecanismos necesarios para abonar el salario vacacional a lo establecido en el </w:t>
      </w:r>
      <w:r w:rsidR="00580323">
        <w:rPr>
          <w:b w:val="0"/>
        </w:rPr>
        <w:t>A</w:t>
      </w:r>
      <w:r>
        <w:rPr>
          <w:b w:val="0"/>
        </w:rPr>
        <w:t>rt</w:t>
      </w:r>
      <w:r w:rsidR="00580323">
        <w:rPr>
          <w:b w:val="0"/>
        </w:rPr>
        <w:t>ículo</w:t>
      </w:r>
      <w:r>
        <w:rPr>
          <w:b w:val="0"/>
        </w:rPr>
        <w:t xml:space="preserve"> 5 de la Ley Nº16.101;</w:t>
      </w:r>
    </w:p>
    <w:p w:rsidR="002D1378" w:rsidRDefault="002D1378" w:rsidP="002D1378">
      <w:pPr>
        <w:pStyle w:val="Sangra2detindependiente"/>
        <w:tabs>
          <w:tab w:val="left" w:pos="1843"/>
        </w:tabs>
        <w:ind w:firstLine="0"/>
        <w:rPr>
          <w:b w:val="0"/>
        </w:rPr>
      </w:pPr>
      <w:r w:rsidRPr="002D1378">
        <w:t>8.2)</w:t>
      </w:r>
      <w:r>
        <w:rPr>
          <w:b w:val="0"/>
        </w:rPr>
        <w:t xml:space="preserve"> Establecer los procedimientos necesarios para contratar menores de acuerdo a las disposiciones vigentes, su jornada laboral y remuneración no exceda lo autorizado por el INAU;</w:t>
      </w:r>
    </w:p>
    <w:p w:rsidR="002D1378" w:rsidRDefault="002D1378" w:rsidP="002D1378">
      <w:pPr>
        <w:pStyle w:val="Sangra2detindependiente"/>
        <w:tabs>
          <w:tab w:val="left" w:pos="1843"/>
        </w:tabs>
        <w:ind w:firstLine="0"/>
        <w:rPr>
          <w:b w:val="0"/>
        </w:rPr>
      </w:pPr>
      <w:r w:rsidRPr="002D1378">
        <w:t>8.3)</w:t>
      </w:r>
      <w:r>
        <w:rPr>
          <w:b w:val="0"/>
        </w:rPr>
        <w:t xml:space="preserve"> Cumplir con lo establecido en el Estatuto del Personal del INIA al momento de contratar personal;</w:t>
      </w:r>
    </w:p>
    <w:p w:rsidR="002D1378" w:rsidRPr="002D1378" w:rsidRDefault="002D1378" w:rsidP="007408A7">
      <w:pPr>
        <w:pStyle w:val="Sangra2detindependiente"/>
        <w:tabs>
          <w:tab w:val="left" w:pos="0"/>
        </w:tabs>
        <w:ind w:firstLine="2694"/>
        <w:rPr>
          <w:b w:val="0"/>
        </w:rPr>
      </w:pPr>
      <w:r w:rsidRPr="002D1378">
        <w:t>9)</w:t>
      </w:r>
      <w:r>
        <w:rPr>
          <w:b w:val="0"/>
        </w:rPr>
        <w:t xml:space="preserve"> </w:t>
      </w:r>
      <w:r w:rsidRPr="0048057C">
        <w:rPr>
          <w:b w:val="0"/>
        </w:rPr>
        <w:t xml:space="preserve">que en esta oportunidad, la </w:t>
      </w:r>
      <w:proofErr w:type="spellStart"/>
      <w:r w:rsidRPr="0048057C">
        <w:rPr>
          <w:b w:val="0"/>
        </w:rPr>
        <w:t>visación</w:t>
      </w:r>
      <w:proofErr w:type="spellEnd"/>
      <w:r w:rsidRPr="0048057C">
        <w:rPr>
          <w:b w:val="0"/>
        </w:rPr>
        <w:t xml:space="preserve"> no consistió en una auditoría de los estados financieros presentados; su alcance se limitó a la </w:t>
      </w:r>
      <w:proofErr w:type="gramStart"/>
      <w:r w:rsidRPr="0048057C">
        <w:rPr>
          <w:b w:val="0"/>
        </w:rPr>
        <w:t>comprobación</w:t>
      </w:r>
      <w:proofErr w:type="gramEnd"/>
      <w:r w:rsidRPr="0048057C">
        <w:rPr>
          <w:b w:val="0"/>
        </w:rPr>
        <w:t xml:space="preserve"> de la concordancia de los importes consignados en cada rubro de los mencionados estados con los registros contables</w:t>
      </w:r>
      <w:r>
        <w:rPr>
          <w:b w:val="0"/>
        </w:rPr>
        <w:t>;</w:t>
      </w:r>
    </w:p>
    <w:p w:rsidR="002D1378" w:rsidRPr="00744262" w:rsidRDefault="009E0275" w:rsidP="002D1378">
      <w:pPr>
        <w:spacing w:line="360" w:lineRule="auto"/>
        <w:ind w:firstLine="851"/>
        <w:jc w:val="both"/>
        <w:rPr>
          <w:rFonts w:ascii="Arial" w:hAnsi="Arial"/>
        </w:rPr>
      </w:pPr>
      <w:r>
        <w:rPr>
          <w:rFonts w:ascii="Arial" w:hAnsi="Arial"/>
          <w:b/>
        </w:rPr>
        <w:t xml:space="preserve">CONSIDERANDO: </w:t>
      </w:r>
      <w:r w:rsidR="002D1378" w:rsidRPr="002D1378">
        <w:rPr>
          <w:rFonts w:ascii="Arial" w:hAnsi="Arial"/>
          <w:b/>
        </w:rPr>
        <w:t>1)</w:t>
      </w:r>
      <w:r w:rsidR="002D1378" w:rsidRPr="00744262">
        <w:rPr>
          <w:rFonts w:ascii="Arial" w:hAnsi="Arial"/>
        </w:rPr>
        <w:t xml:space="preserve"> que como consecuencia de las verificaciones practicadas a los fines señalados, no se constataron diferencias entre los mencionados estados y los registros contables;</w:t>
      </w:r>
    </w:p>
    <w:p w:rsidR="002D1378" w:rsidRPr="009E0275" w:rsidRDefault="007408A7" w:rsidP="007408A7">
      <w:pPr>
        <w:pStyle w:val="Textoindependiente"/>
        <w:tabs>
          <w:tab w:val="left" w:pos="1418"/>
        </w:tabs>
        <w:spacing w:line="360" w:lineRule="auto"/>
        <w:ind w:firstLine="2977"/>
      </w:pPr>
      <w:r>
        <w:rPr>
          <w:b/>
        </w:rPr>
        <w:t xml:space="preserve"> </w:t>
      </w:r>
      <w:r w:rsidR="002D1378" w:rsidRPr="002D1378">
        <w:rPr>
          <w:b/>
        </w:rPr>
        <w:t>2)</w:t>
      </w:r>
      <w:r w:rsidR="002D1378" w:rsidRPr="00B069AE">
        <w:t xml:space="preserve"> que los estados financieros al 31 de dic</w:t>
      </w:r>
      <w:r w:rsidR="002D1378">
        <w:t>iembre de 2015</w:t>
      </w:r>
      <w:r w:rsidR="002D1378" w:rsidRPr="00B069AE">
        <w:t xml:space="preserve"> fueron presentados al Tribunal de Cuentas </w:t>
      </w:r>
      <w:r w:rsidR="002D1378">
        <w:t>dentro</w:t>
      </w:r>
      <w:r w:rsidR="002D1378" w:rsidRPr="00B069AE">
        <w:t xml:space="preserve"> del plazo establecido en el </w:t>
      </w:r>
      <w:r w:rsidR="00580323">
        <w:t>L</w:t>
      </w:r>
      <w:r w:rsidR="002D1378" w:rsidRPr="00B069AE">
        <w:t xml:space="preserve">iteral </w:t>
      </w:r>
      <w:r w:rsidR="00580323">
        <w:t>B</w:t>
      </w:r>
      <w:r w:rsidR="002D1378" w:rsidRPr="00B069AE">
        <w:t xml:space="preserve">) del </w:t>
      </w:r>
      <w:r w:rsidR="00580323">
        <w:t>A</w:t>
      </w:r>
      <w:r w:rsidR="002D1378" w:rsidRPr="00B069AE">
        <w:t>rt</w:t>
      </w:r>
      <w:r w:rsidR="00580323">
        <w:t>ículo</w:t>
      </w:r>
      <w:r w:rsidR="002D1378" w:rsidRPr="00B069AE">
        <w:t xml:space="preserve"> 159 del TOCAF (Resultando 1);</w:t>
      </w:r>
    </w:p>
    <w:p w:rsidR="002D1378" w:rsidRPr="00EE5A26" w:rsidRDefault="007408A7" w:rsidP="007408A7">
      <w:pPr>
        <w:pStyle w:val="Textoindependiente"/>
        <w:tabs>
          <w:tab w:val="left" w:pos="1418"/>
        </w:tabs>
        <w:spacing w:line="360" w:lineRule="auto"/>
        <w:ind w:firstLine="2977"/>
      </w:pPr>
      <w:r>
        <w:rPr>
          <w:b/>
        </w:rPr>
        <w:t xml:space="preserve"> </w:t>
      </w:r>
      <w:r w:rsidR="002D1378" w:rsidRPr="009E0275">
        <w:rPr>
          <w:b/>
        </w:rPr>
        <w:t>3)</w:t>
      </w:r>
      <w:r w:rsidR="002D1378" w:rsidRPr="00585719">
        <w:t xml:space="preserve"> </w:t>
      </w:r>
      <w:r w:rsidR="002D1378" w:rsidRPr="00EE5A26">
        <w:t xml:space="preserve">que se ha dado cumplimiento a lo establecido en el </w:t>
      </w:r>
      <w:r w:rsidR="00580323">
        <w:t>A</w:t>
      </w:r>
      <w:r w:rsidR="002D1378" w:rsidRPr="00EE5A26">
        <w:t>rt</w:t>
      </w:r>
      <w:r w:rsidR="00580323">
        <w:t>ículo</w:t>
      </w:r>
      <w:r w:rsidR="002D1378" w:rsidRPr="00EE5A26">
        <w:t xml:space="preserve"> 177 </w:t>
      </w:r>
      <w:r w:rsidR="00580323">
        <w:t>I</w:t>
      </w:r>
      <w:r w:rsidR="002D1378" w:rsidRPr="00EE5A26">
        <w:t>nciso primero del TOCAF (Resultando 2);</w:t>
      </w:r>
    </w:p>
    <w:p w:rsidR="002D1378" w:rsidRPr="005272FD" w:rsidRDefault="007408A7" w:rsidP="007408A7">
      <w:pPr>
        <w:pStyle w:val="Textoindependiente"/>
        <w:tabs>
          <w:tab w:val="left" w:pos="1418"/>
        </w:tabs>
        <w:spacing w:line="360" w:lineRule="auto"/>
        <w:ind w:firstLine="2977"/>
      </w:pPr>
      <w:r>
        <w:rPr>
          <w:b/>
        </w:rPr>
        <w:t xml:space="preserve"> </w:t>
      </w:r>
      <w:r w:rsidR="002D1378" w:rsidRPr="009E0275">
        <w:rPr>
          <w:b/>
        </w:rPr>
        <w:t>4)</w:t>
      </w:r>
      <w:r w:rsidR="002D1378" w:rsidRPr="00585719">
        <w:t xml:space="preserve"> </w:t>
      </w:r>
      <w:r w:rsidR="002D1378">
        <w:t xml:space="preserve"> </w:t>
      </w:r>
      <w:r w:rsidR="002D1378" w:rsidRPr="00EE5A26">
        <w:t xml:space="preserve">que </w:t>
      </w:r>
      <w:r w:rsidR="002D1378">
        <w:t xml:space="preserve">los estados financieros fueron remitidos a la Auditoría Interna de la Nación dentro del plazo previsto </w:t>
      </w:r>
      <w:r w:rsidR="002D1378" w:rsidRPr="00EE5A26">
        <w:t xml:space="preserve">en el </w:t>
      </w:r>
      <w:r w:rsidR="00580323">
        <w:t>A</w:t>
      </w:r>
      <w:r w:rsidR="002D1378" w:rsidRPr="00EE5A26">
        <w:t>rt</w:t>
      </w:r>
      <w:r w:rsidR="00580323">
        <w:t>ículo</w:t>
      </w:r>
      <w:r w:rsidR="002D1378" w:rsidRPr="00EE5A26">
        <w:t xml:space="preserve"> 177 </w:t>
      </w:r>
      <w:r w:rsidR="00580323">
        <w:t>I</w:t>
      </w:r>
      <w:r w:rsidR="002D1378">
        <w:t>nciso segundo</w:t>
      </w:r>
      <w:r w:rsidR="002D1378" w:rsidRPr="00EE5A26">
        <w:t xml:space="preserve"> del TOCAF (Re</w:t>
      </w:r>
      <w:r w:rsidR="002D1378">
        <w:t>sultando 3</w:t>
      </w:r>
      <w:r w:rsidR="002D1378" w:rsidRPr="00EE5A26">
        <w:t>);</w:t>
      </w:r>
    </w:p>
    <w:p w:rsidR="002D1378" w:rsidRDefault="007408A7" w:rsidP="007408A7">
      <w:pPr>
        <w:pStyle w:val="Textoindependiente"/>
        <w:tabs>
          <w:tab w:val="left" w:pos="1418"/>
        </w:tabs>
        <w:spacing w:line="360" w:lineRule="auto"/>
        <w:ind w:firstLine="2977"/>
      </w:pPr>
      <w:r>
        <w:rPr>
          <w:b/>
        </w:rPr>
        <w:t xml:space="preserve"> </w:t>
      </w:r>
      <w:r w:rsidR="002D1378" w:rsidRPr="009E0275">
        <w:rPr>
          <w:b/>
        </w:rPr>
        <w:t>5)</w:t>
      </w:r>
      <w:r w:rsidR="002D1378" w:rsidRPr="006D7A7E">
        <w:t xml:space="preserve"> que en relación a la publicación de los estados financieros del </w:t>
      </w:r>
      <w:r w:rsidR="00580323">
        <w:t>E</w:t>
      </w:r>
      <w:r w:rsidR="002D1378" w:rsidRPr="006D7A7E">
        <w:t xml:space="preserve">jercicio 2014, lo actuado por el Organismo se ajustó a lo dispuesto en el </w:t>
      </w:r>
      <w:r w:rsidR="00580323">
        <w:t>A</w:t>
      </w:r>
      <w:r w:rsidR="002D1378" w:rsidRPr="006D7A7E">
        <w:t>rt</w:t>
      </w:r>
      <w:r w:rsidR="00580323">
        <w:t>ículo</w:t>
      </w:r>
      <w:r w:rsidR="002D1378" w:rsidRPr="006D7A7E">
        <w:t xml:space="preserve"> 177 del TOCAF (Resultando 4);</w:t>
      </w:r>
    </w:p>
    <w:p w:rsidR="0074663B" w:rsidRPr="00D20DFF" w:rsidRDefault="007408A7" w:rsidP="007408A7">
      <w:pPr>
        <w:pStyle w:val="Textoindependiente"/>
        <w:tabs>
          <w:tab w:val="left" w:pos="1418"/>
        </w:tabs>
        <w:spacing w:line="360" w:lineRule="auto"/>
        <w:ind w:firstLine="2977"/>
      </w:pPr>
      <w:r>
        <w:rPr>
          <w:b/>
        </w:rPr>
        <w:t xml:space="preserve"> </w:t>
      </w:r>
      <w:r w:rsidR="002D1378" w:rsidRPr="009E0275">
        <w:rPr>
          <w:b/>
        </w:rPr>
        <w:t>6)</w:t>
      </w:r>
      <w:r w:rsidR="002D1378" w:rsidRPr="00744262">
        <w:t xml:space="preserve"> que se ha dado cumplimiento a lo dispuesto en el </w:t>
      </w:r>
      <w:r w:rsidR="00580323">
        <w:t>A</w:t>
      </w:r>
      <w:r w:rsidR="002D1378" w:rsidRPr="00744262">
        <w:t xml:space="preserve">rtículo </w:t>
      </w:r>
      <w:r w:rsidR="002D1378">
        <w:t xml:space="preserve">159 </w:t>
      </w:r>
      <w:r w:rsidR="00580323">
        <w:t>I</w:t>
      </w:r>
      <w:r w:rsidR="002D1378">
        <w:t xml:space="preserve">nciso </w:t>
      </w:r>
      <w:r w:rsidR="00580323">
        <w:t>C</w:t>
      </w:r>
      <w:r w:rsidR="002D1378">
        <w:t>) del TOCAF</w:t>
      </w:r>
      <w:r>
        <w:t xml:space="preserve"> (Resultando 5);</w:t>
      </w:r>
    </w:p>
    <w:p w:rsidR="002D1378" w:rsidRDefault="007408A7" w:rsidP="007408A7">
      <w:pPr>
        <w:pStyle w:val="Textoindependiente"/>
        <w:tabs>
          <w:tab w:val="left" w:pos="1418"/>
        </w:tabs>
        <w:spacing w:line="360" w:lineRule="auto"/>
        <w:ind w:firstLine="2977"/>
      </w:pPr>
      <w:r>
        <w:rPr>
          <w:b/>
        </w:rPr>
        <w:t xml:space="preserve"> </w:t>
      </w:r>
      <w:r w:rsidR="002D1378" w:rsidRPr="009E0275">
        <w:rPr>
          <w:b/>
        </w:rPr>
        <w:t>7)</w:t>
      </w:r>
      <w:r w:rsidR="002D1378" w:rsidRPr="006D7A7E">
        <w:t xml:space="preserve"> </w:t>
      </w:r>
      <w:r w:rsidR="002D1378">
        <w:t>que lo señalado en el R</w:t>
      </w:r>
      <w:r w:rsidR="002D1378" w:rsidRPr="006D7A7E">
        <w:t>esultando 6</w:t>
      </w:r>
      <w:r w:rsidR="002D1378">
        <w:t xml:space="preserve">) </w:t>
      </w:r>
      <w:r w:rsidR="002D1378" w:rsidRPr="006D7A7E">
        <w:t xml:space="preserve">se ajusta a lo dispuesto por el </w:t>
      </w:r>
      <w:r w:rsidR="00580323">
        <w:t>A</w:t>
      </w:r>
      <w:r w:rsidR="002D1378" w:rsidRPr="006D7A7E">
        <w:t>rt</w:t>
      </w:r>
      <w:r w:rsidR="00580323">
        <w:t>ículo</w:t>
      </w:r>
      <w:r w:rsidR="002D1378" w:rsidRPr="006D7A7E">
        <w:t xml:space="preserve">  27 de la Ordenanza 81 de este Tribunal;</w:t>
      </w:r>
    </w:p>
    <w:p w:rsidR="002D1378" w:rsidRDefault="007408A7" w:rsidP="007408A7">
      <w:pPr>
        <w:pStyle w:val="Textoindependiente"/>
        <w:tabs>
          <w:tab w:val="left" w:pos="1418"/>
        </w:tabs>
        <w:spacing w:line="360" w:lineRule="auto"/>
        <w:ind w:firstLine="2977"/>
      </w:pPr>
      <w:r>
        <w:rPr>
          <w:b/>
        </w:rPr>
        <w:t xml:space="preserve"> </w:t>
      </w:r>
      <w:r w:rsidR="002D1378" w:rsidRPr="009E0275">
        <w:rPr>
          <w:b/>
        </w:rPr>
        <w:t>8)</w:t>
      </w:r>
      <w:r w:rsidR="002D1378" w:rsidRPr="001F76A1">
        <w:t xml:space="preserve"> que lo señalado en el Resultando 7) se ajusta a lo dispuesto por el </w:t>
      </w:r>
      <w:r w:rsidR="00652962">
        <w:t>A</w:t>
      </w:r>
      <w:r w:rsidR="00652962" w:rsidRPr="001F76A1">
        <w:t>rt</w:t>
      </w:r>
      <w:r w:rsidR="00652962">
        <w:t>ículo</w:t>
      </w:r>
      <w:r w:rsidR="002D1378" w:rsidRPr="001F76A1">
        <w:t xml:space="preserve">  28 de la Ordenanza </w:t>
      </w:r>
      <w:r w:rsidR="002D1378">
        <w:t xml:space="preserve">N° </w:t>
      </w:r>
      <w:r w:rsidR="002D1378" w:rsidRPr="001F76A1">
        <w:t>81 de este Tribunal;</w:t>
      </w:r>
    </w:p>
    <w:p w:rsidR="002D1378" w:rsidRPr="00456886" w:rsidRDefault="007408A7" w:rsidP="007408A7">
      <w:pPr>
        <w:pStyle w:val="Textoindependiente"/>
        <w:tabs>
          <w:tab w:val="left" w:pos="1418"/>
        </w:tabs>
        <w:spacing w:line="360" w:lineRule="auto"/>
        <w:ind w:firstLine="2977"/>
        <w:rPr>
          <w:color w:val="000000"/>
        </w:rPr>
      </w:pPr>
      <w:r>
        <w:rPr>
          <w:b/>
          <w:color w:val="000000"/>
        </w:rPr>
        <w:t xml:space="preserve"> </w:t>
      </w:r>
      <w:r w:rsidR="002D1378" w:rsidRPr="009E0275">
        <w:rPr>
          <w:b/>
          <w:color w:val="000000"/>
        </w:rPr>
        <w:t>9)</w:t>
      </w:r>
      <w:r w:rsidR="002D1378" w:rsidRPr="00BC0EEB">
        <w:rPr>
          <w:color w:val="000000"/>
        </w:rPr>
        <w:t xml:space="preserve"> que en razón de lo expresado en el Resultando 8) y de acuerdo a las respuestas obtenidas por el Instituto, el mismo está implementando medidas con el objetivo de subsanar las recomendaciones formuladas en el informe de auditoría sobre los estados financieros del </w:t>
      </w:r>
      <w:r w:rsidR="00580323">
        <w:rPr>
          <w:color w:val="000000"/>
        </w:rPr>
        <w:t>E</w:t>
      </w:r>
      <w:r w:rsidR="002D1378" w:rsidRPr="00BC0EEB">
        <w:rPr>
          <w:color w:val="000000"/>
        </w:rPr>
        <w:t>jercicio 2014;</w:t>
      </w:r>
    </w:p>
    <w:p w:rsidR="002D1378" w:rsidRPr="00B93302" w:rsidRDefault="007408A7" w:rsidP="007408A7">
      <w:pPr>
        <w:pStyle w:val="Textoindependiente"/>
        <w:tabs>
          <w:tab w:val="left" w:pos="1418"/>
        </w:tabs>
        <w:spacing w:line="360" w:lineRule="auto"/>
        <w:ind w:firstLine="2977"/>
      </w:pPr>
      <w:r>
        <w:rPr>
          <w:b/>
          <w:color w:val="000000"/>
        </w:rPr>
        <w:t xml:space="preserve"> </w:t>
      </w:r>
      <w:r w:rsidR="002D1378" w:rsidRPr="009E0275">
        <w:rPr>
          <w:b/>
          <w:color w:val="000000"/>
        </w:rPr>
        <w:t>10)</w:t>
      </w:r>
      <w:r w:rsidR="002D1378" w:rsidRPr="00B93302">
        <w:t xml:space="preserve"> que conforme a lo expresado en el Resultando </w:t>
      </w:r>
      <w:r w:rsidR="002D1378">
        <w:t>9</w:t>
      </w:r>
      <w:r w:rsidR="002D1378" w:rsidRPr="00B93302">
        <w:t>), este Tribunal no ha practicado la auditoría de los estados mencionados de acuerdo con los Principios Fundamentales de Auditoría (ISSAI 100 y 200) y las Directrices de Auditoría Financiera (ISSAI 1000 a 1810) de la Organización Internacional de Entidades Superiores (INTOSAI);</w:t>
      </w:r>
    </w:p>
    <w:p w:rsidR="002D1378" w:rsidRPr="009E0275" w:rsidRDefault="007408A7" w:rsidP="007408A7">
      <w:pPr>
        <w:tabs>
          <w:tab w:val="left" w:pos="1418"/>
        </w:tabs>
        <w:spacing w:line="360" w:lineRule="auto"/>
        <w:ind w:firstLine="2977"/>
        <w:jc w:val="both"/>
        <w:rPr>
          <w:rFonts w:ascii="Arial" w:hAnsi="Arial"/>
        </w:rPr>
      </w:pPr>
      <w:r>
        <w:rPr>
          <w:rFonts w:ascii="Arial" w:hAnsi="Arial" w:cs="Arial"/>
          <w:b/>
          <w:color w:val="000000"/>
        </w:rPr>
        <w:t xml:space="preserve"> </w:t>
      </w:r>
      <w:r w:rsidR="002D1378" w:rsidRPr="009E0275">
        <w:rPr>
          <w:rFonts w:ascii="Arial" w:hAnsi="Arial" w:cs="Arial"/>
          <w:b/>
          <w:color w:val="000000"/>
        </w:rPr>
        <w:t>11</w:t>
      </w:r>
      <w:r w:rsidR="002D1378" w:rsidRPr="009E0275">
        <w:rPr>
          <w:rFonts w:ascii="Arial" w:hAnsi="Arial" w:cs="Arial"/>
          <w:b/>
        </w:rPr>
        <w:t>)</w:t>
      </w:r>
      <w:r w:rsidR="002D1378" w:rsidRPr="00B93302">
        <w:rPr>
          <w:rFonts w:ascii="Arial" w:hAnsi="Arial" w:cs="Arial"/>
          <w:b/>
          <w:bCs/>
        </w:rPr>
        <w:t xml:space="preserve"> </w:t>
      </w:r>
      <w:r w:rsidR="002D1378" w:rsidRPr="00B93302">
        <w:rPr>
          <w:rFonts w:ascii="Arial" w:hAnsi="Arial" w:cs="Arial"/>
        </w:rPr>
        <w:t xml:space="preserve">que en la publicación de los estados financieros correspondientes al </w:t>
      </w:r>
      <w:r w:rsidR="00580323">
        <w:rPr>
          <w:rFonts w:ascii="Arial" w:hAnsi="Arial" w:cs="Arial"/>
        </w:rPr>
        <w:t>E</w:t>
      </w:r>
      <w:r w:rsidR="002D1378" w:rsidRPr="00B93302">
        <w:rPr>
          <w:rFonts w:ascii="Arial" w:hAnsi="Arial" w:cs="Arial"/>
        </w:rPr>
        <w:t>jercicio final</w:t>
      </w:r>
      <w:r w:rsidR="002D1378">
        <w:rPr>
          <w:rFonts w:ascii="Arial" w:hAnsi="Arial" w:cs="Arial"/>
        </w:rPr>
        <w:t>izado el 31 de diciembre de 2015</w:t>
      </w:r>
      <w:r w:rsidR="002D1378" w:rsidRPr="00B93302">
        <w:rPr>
          <w:rFonts w:ascii="Arial" w:hAnsi="Arial" w:cs="Arial"/>
        </w:rPr>
        <w:t xml:space="preserve"> se debe hacer mención a que los mismos fueron visados por el Tribunal de Cuentas</w:t>
      </w:r>
      <w:r w:rsidR="009E0275">
        <w:rPr>
          <w:rFonts w:ascii="Arial" w:hAnsi="Arial" w:cs="Arial"/>
        </w:rPr>
        <w:t>;</w:t>
      </w:r>
    </w:p>
    <w:p w:rsidR="009E0275" w:rsidRDefault="002D1378" w:rsidP="009E0275">
      <w:pPr>
        <w:spacing w:line="360" w:lineRule="auto"/>
        <w:ind w:firstLine="851"/>
        <w:jc w:val="both"/>
        <w:rPr>
          <w:rFonts w:ascii="Arial" w:hAnsi="Arial"/>
        </w:rPr>
      </w:pPr>
      <w:r w:rsidRPr="00B93302">
        <w:rPr>
          <w:rFonts w:ascii="Arial" w:hAnsi="Arial"/>
          <w:b/>
        </w:rPr>
        <w:t>ATENTO:</w:t>
      </w:r>
      <w:r w:rsidRPr="00B93302">
        <w:rPr>
          <w:rFonts w:ascii="Arial" w:hAnsi="Arial"/>
        </w:rPr>
        <w:t xml:space="preserve"> a lo dispuesto por los </w:t>
      </w:r>
      <w:r w:rsidR="00580323">
        <w:rPr>
          <w:rFonts w:ascii="Arial" w:hAnsi="Arial"/>
        </w:rPr>
        <w:t>A</w:t>
      </w:r>
      <w:r w:rsidRPr="00B93302">
        <w:rPr>
          <w:rFonts w:ascii="Arial" w:hAnsi="Arial"/>
        </w:rPr>
        <w:t>rtículos 159 y 177 del TOCAF y a la Ordenanza Nº 81</w:t>
      </w:r>
      <w:r w:rsidR="009E0275">
        <w:rPr>
          <w:rFonts w:ascii="Arial" w:hAnsi="Arial"/>
        </w:rPr>
        <w:t>;</w:t>
      </w:r>
    </w:p>
    <w:p w:rsidR="002D1378" w:rsidRPr="009E0275" w:rsidRDefault="002D1378" w:rsidP="009E0275">
      <w:pPr>
        <w:spacing w:line="360" w:lineRule="auto"/>
        <w:jc w:val="center"/>
        <w:rPr>
          <w:rFonts w:ascii="Arial" w:hAnsi="Arial"/>
          <w:b/>
        </w:rPr>
      </w:pPr>
      <w:r w:rsidRPr="009E0275">
        <w:rPr>
          <w:rFonts w:ascii="Arial" w:hAnsi="Arial"/>
          <w:b/>
        </w:rPr>
        <w:t>El TRIBUNAL ACUERDA</w:t>
      </w:r>
    </w:p>
    <w:p w:rsidR="002D1378" w:rsidRPr="00351B82" w:rsidRDefault="002D1378" w:rsidP="009E0275">
      <w:pPr>
        <w:pStyle w:val="Sangradetextonormal"/>
        <w:spacing w:line="360" w:lineRule="auto"/>
        <w:ind w:left="426" w:hanging="426"/>
      </w:pPr>
      <w:r w:rsidRPr="009E0275">
        <w:rPr>
          <w:b/>
        </w:rPr>
        <w:t>1)</w:t>
      </w:r>
      <w:r w:rsidRPr="00351B82">
        <w:t xml:space="preserve"> Visar los </w:t>
      </w:r>
      <w:r w:rsidR="00580323">
        <w:t>E</w:t>
      </w:r>
      <w:r w:rsidRPr="00351B82">
        <w:t xml:space="preserve">stados </w:t>
      </w:r>
      <w:r w:rsidR="00580323">
        <w:t>F</w:t>
      </w:r>
      <w:r w:rsidRPr="00351B82">
        <w:t xml:space="preserve">inancieros emitidos por </w:t>
      </w:r>
      <w:r>
        <w:t>el Instituto Nacional de Investigación Agropecuaria (INIA);</w:t>
      </w:r>
    </w:p>
    <w:p w:rsidR="002D1378" w:rsidRPr="005F5843" w:rsidRDefault="002D1378" w:rsidP="009E0275">
      <w:pPr>
        <w:spacing w:line="360" w:lineRule="auto"/>
        <w:ind w:left="426" w:hanging="426"/>
        <w:jc w:val="both"/>
        <w:rPr>
          <w:rFonts w:ascii="Arial" w:hAnsi="Arial"/>
        </w:rPr>
      </w:pPr>
      <w:r w:rsidRPr="009E0275">
        <w:rPr>
          <w:rFonts w:ascii="Arial" w:hAnsi="Arial"/>
          <w:b/>
        </w:rPr>
        <w:t>2)</w:t>
      </w:r>
      <w:r w:rsidRPr="00351B82">
        <w:rPr>
          <w:rFonts w:ascii="Arial" w:hAnsi="Arial"/>
        </w:rPr>
        <w:t xml:space="preserve">  En las publicaciones deberá expresarse: “El Tribunal de Cuentas ha verificado exclusivamente la concordancia numérica de los </w:t>
      </w:r>
      <w:r w:rsidR="00580323">
        <w:rPr>
          <w:rFonts w:ascii="Arial" w:hAnsi="Arial"/>
        </w:rPr>
        <w:t>E</w:t>
      </w:r>
      <w:r w:rsidRPr="00351B82">
        <w:rPr>
          <w:rFonts w:ascii="Arial" w:hAnsi="Arial"/>
        </w:rPr>
        <w:t xml:space="preserve">stados remitidos con los registros contables, constituyendo dichos </w:t>
      </w:r>
      <w:r w:rsidR="00580323">
        <w:rPr>
          <w:rFonts w:ascii="Arial" w:hAnsi="Arial"/>
        </w:rPr>
        <w:t>E</w:t>
      </w:r>
      <w:r w:rsidRPr="00351B82">
        <w:rPr>
          <w:rFonts w:ascii="Arial" w:hAnsi="Arial"/>
        </w:rPr>
        <w:t>stados afirmaciones de la Administración del Organismo”;</w:t>
      </w:r>
    </w:p>
    <w:p w:rsidR="009E0275" w:rsidRDefault="009E0275" w:rsidP="009E0275">
      <w:pPr>
        <w:tabs>
          <w:tab w:val="left" w:pos="1080"/>
        </w:tabs>
        <w:spacing w:line="360" w:lineRule="auto"/>
        <w:ind w:left="426" w:hanging="426"/>
        <w:jc w:val="both"/>
        <w:rPr>
          <w:rFonts w:ascii="Arial" w:hAnsi="Arial" w:cs="Arial"/>
        </w:rPr>
      </w:pPr>
      <w:r w:rsidRPr="009E0275">
        <w:rPr>
          <w:rFonts w:ascii="Arial" w:hAnsi="Arial"/>
          <w:b/>
        </w:rPr>
        <w:t>3</w:t>
      </w:r>
      <w:r w:rsidR="002D1378" w:rsidRPr="009E0275">
        <w:rPr>
          <w:rFonts w:ascii="Arial" w:hAnsi="Arial"/>
          <w:b/>
        </w:rPr>
        <w:t>)</w:t>
      </w:r>
      <w:r w:rsidR="002D1378" w:rsidRPr="003B0431">
        <w:rPr>
          <w:rFonts w:ascii="Arial" w:hAnsi="Arial"/>
        </w:rPr>
        <w:t xml:space="preserve">  Téngase presente lo establecido en </w:t>
      </w:r>
      <w:r w:rsidR="002D1378">
        <w:rPr>
          <w:rFonts w:ascii="Arial" w:hAnsi="Arial"/>
        </w:rPr>
        <w:t>el</w:t>
      </w:r>
      <w:r w:rsidR="002D1378" w:rsidRPr="003B0431">
        <w:rPr>
          <w:rFonts w:ascii="Arial" w:hAnsi="Arial"/>
        </w:rPr>
        <w:t xml:space="preserve"> </w:t>
      </w:r>
      <w:r w:rsidR="002D1378" w:rsidRPr="0069149C">
        <w:rPr>
          <w:rFonts w:ascii="Arial" w:hAnsi="Arial"/>
        </w:rPr>
        <w:t xml:space="preserve">Considerando </w:t>
      </w:r>
      <w:r w:rsidR="002D1378">
        <w:rPr>
          <w:rFonts w:ascii="Arial" w:hAnsi="Arial"/>
        </w:rPr>
        <w:t>9</w:t>
      </w:r>
      <w:r w:rsidR="002D1378" w:rsidRPr="0069149C">
        <w:rPr>
          <w:rFonts w:ascii="Arial" w:hAnsi="Arial"/>
        </w:rPr>
        <w:t>),</w:t>
      </w:r>
      <w:r w:rsidR="002D1378">
        <w:rPr>
          <w:rFonts w:ascii="Arial" w:hAnsi="Arial"/>
        </w:rPr>
        <w:t xml:space="preserve"> 10</w:t>
      </w:r>
      <w:r w:rsidR="002D1378" w:rsidRPr="0069149C">
        <w:rPr>
          <w:rFonts w:ascii="Arial" w:hAnsi="Arial"/>
        </w:rPr>
        <w:t>) y</w:t>
      </w:r>
      <w:r w:rsidR="002D1378">
        <w:rPr>
          <w:rFonts w:ascii="Arial" w:hAnsi="Arial"/>
          <w:color w:val="000000"/>
        </w:rPr>
        <w:t xml:space="preserve"> 11) </w:t>
      </w:r>
      <w:r w:rsidR="002D1378" w:rsidRPr="00BC4F04">
        <w:rPr>
          <w:rFonts w:ascii="Arial" w:hAnsi="Arial"/>
        </w:rPr>
        <w:t>de la</w:t>
      </w:r>
      <w:r w:rsidR="002D1378" w:rsidRPr="00BC4F04">
        <w:rPr>
          <w:rFonts w:ascii="Arial" w:hAnsi="Arial" w:cs="Arial"/>
        </w:rPr>
        <w:t xml:space="preserve"> presente</w:t>
      </w:r>
      <w:r w:rsidR="002D1378">
        <w:rPr>
          <w:rFonts w:ascii="Arial" w:hAnsi="Arial" w:cs="Arial"/>
        </w:rPr>
        <w:t xml:space="preserve"> Resolución;</w:t>
      </w:r>
    </w:p>
    <w:p w:rsidR="002D1378" w:rsidRPr="009E0275" w:rsidRDefault="009E0275" w:rsidP="007408A7">
      <w:pPr>
        <w:tabs>
          <w:tab w:val="left" w:pos="1080"/>
        </w:tabs>
        <w:spacing w:line="360" w:lineRule="auto"/>
        <w:ind w:left="284" w:hanging="284"/>
        <w:jc w:val="both"/>
        <w:rPr>
          <w:rFonts w:ascii="Arial" w:hAnsi="Arial" w:cs="Arial"/>
        </w:rPr>
      </w:pPr>
      <w:r w:rsidRPr="009E0275">
        <w:rPr>
          <w:rFonts w:ascii="Arial" w:hAnsi="Arial" w:cs="Arial"/>
          <w:b/>
        </w:rPr>
        <w:t>4</w:t>
      </w:r>
      <w:r w:rsidR="002D1378" w:rsidRPr="009E0275">
        <w:rPr>
          <w:rFonts w:ascii="Arial" w:hAnsi="Arial" w:cs="Arial"/>
          <w:b/>
        </w:rPr>
        <w:t>)</w:t>
      </w:r>
      <w:r w:rsidR="002D1378" w:rsidRPr="009E0275">
        <w:rPr>
          <w:rFonts w:ascii="Arial" w:hAnsi="Arial" w:cs="Arial"/>
        </w:rPr>
        <w:t xml:space="preserve"> Comunicar la presente Resolución al Instituto Nacional de Inv</w:t>
      </w:r>
      <w:r w:rsidR="007408A7">
        <w:rPr>
          <w:rFonts w:ascii="Arial" w:hAnsi="Arial" w:cs="Arial"/>
        </w:rPr>
        <w:t>estigación Agropecuaria (INIA).</w:t>
      </w:r>
    </w:p>
    <w:p w:rsidR="002D1378" w:rsidRPr="009E0275" w:rsidRDefault="002D1378" w:rsidP="002D1378">
      <w:pPr>
        <w:pStyle w:val="Sangradetextonormal"/>
        <w:spacing w:line="360" w:lineRule="auto"/>
      </w:pPr>
    </w:p>
    <w:p w:rsidR="002D1378" w:rsidRDefault="002D1378" w:rsidP="002D1378">
      <w:pPr>
        <w:pStyle w:val="Sangradetextonormal"/>
        <w:spacing w:line="360" w:lineRule="auto"/>
      </w:pPr>
    </w:p>
    <w:p w:rsidR="002D1378" w:rsidRDefault="002D1378" w:rsidP="002D1378">
      <w:pPr>
        <w:pStyle w:val="Sangradetextonormal"/>
        <w:spacing w:line="360" w:lineRule="auto"/>
      </w:pPr>
    </w:p>
    <w:p w:rsidR="002D1378" w:rsidRDefault="009E0275" w:rsidP="005E506C">
      <w:pPr>
        <w:pStyle w:val="Sangradetextonormal"/>
        <w:spacing w:line="360" w:lineRule="auto"/>
        <w:ind w:firstLine="0"/>
      </w:pPr>
      <w:proofErr w:type="spellStart"/>
      <w:proofErr w:type="gramStart"/>
      <w:r>
        <w:t>bf</w:t>
      </w:r>
      <w:proofErr w:type="spellEnd"/>
      <w:proofErr w:type="gramEnd"/>
    </w:p>
    <w:sectPr w:rsidR="002D1378" w:rsidSect="00D37047">
      <w:footerReference w:type="default" r:id="rId7"/>
      <w:pgSz w:w="11906" w:h="16838" w:code="9"/>
      <w:pgMar w:top="1418" w:right="1701" w:bottom="1418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63B" w:rsidRDefault="0074663B" w:rsidP="0074663B">
      <w:r>
        <w:separator/>
      </w:r>
    </w:p>
  </w:endnote>
  <w:endnote w:type="continuationSeparator" w:id="0">
    <w:p w:rsidR="0074663B" w:rsidRDefault="0074663B" w:rsidP="00746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5737196"/>
      <w:docPartObj>
        <w:docPartGallery w:val="Page Numbers (Bottom of Page)"/>
        <w:docPartUnique/>
      </w:docPartObj>
    </w:sdtPr>
    <w:sdtEndPr/>
    <w:sdtContent>
      <w:p w:rsidR="0074663B" w:rsidRDefault="0074663B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08A7">
          <w:rPr>
            <w:noProof/>
          </w:rPr>
          <w:t>1</w:t>
        </w:r>
        <w:r>
          <w:fldChar w:fldCharType="end"/>
        </w:r>
      </w:p>
    </w:sdtContent>
  </w:sdt>
  <w:p w:rsidR="0074663B" w:rsidRDefault="0074663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63B" w:rsidRDefault="0074663B" w:rsidP="0074663B">
      <w:r>
        <w:separator/>
      </w:r>
    </w:p>
  </w:footnote>
  <w:footnote w:type="continuationSeparator" w:id="0">
    <w:p w:rsidR="0074663B" w:rsidRDefault="0074663B" w:rsidP="007466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378"/>
    <w:rsid w:val="002402DD"/>
    <w:rsid w:val="002D1378"/>
    <w:rsid w:val="00580323"/>
    <w:rsid w:val="005E506C"/>
    <w:rsid w:val="00652962"/>
    <w:rsid w:val="007408A7"/>
    <w:rsid w:val="0074663B"/>
    <w:rsid w:val="00747A4C"/>
    <w:rsid w:val="009E0275"/>
    <w:rsid w:val="00A42EC8"/>
    <w:rsid w:val="00BC6A28"/>
    <w:rsid w:val="00C62EC8"/>
    <w:rsid w:val="00D20DFF"/>
    <w:rsid w:val="00D37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13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2D1378"/>
    <w:pPr>
      <w:keepNext/>
      <w:spacing w:line="360" w:lineRule="auto"/>
      <w:outlineLvl w:val="0"/>
    </w:pPr>
    <w:rPr>
      <w:rFonts w:ascii="Arial" w:hAnsi="Arial"/>
      <w:b/>
      <w:bCs/>
    </w:rPr>
  </w:style>
  <w:style w:type="paragraph" w:styleId="Ttulo2">
    <w:name w:val="heading 2"/>
    <w:basedOn w:val="Normal"/>
    <w:next w:val="Normal"/>
    <w:link w:val="Ttulo2Car"/>
    <w:qFormat/>
    <w:rsid w:val="002D1378"/>
    <w:pPr>
      <w:keepNext/>
      <w:jc w:val="center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2D1378"/>
    <w:rPr>
      <w:rFonts w:ascii="Arial" w:eastAsia="Times New Roman" w:hAnsi="Arial" w:cs="Times New Roman"/>
      <w:b/>
      <w:bCs/>
      <w:sz w:val="2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rsid w:val="002D1378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semiHidden/>
    <w:rsid w:val="002D1378"/>
    <w:pPr>
      <w:jc w:val="both"/>
    </w:pPr>
    <w:rPr>
      <w:rFonts w:ascii="Arial" w:hAnsi="Arial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2D1378"/>
    <w:rPr>
      <w:rFonts w:ascii="Arial" w:eastAsia="Times New Roman" w:hAnsi="Arial" w:cs="Times New Roman"/>
      <w:sz w:val="24"/>
      <w:szCs w:val="24"/>
      <w:lang w:eastAsia="es-ES"/>
    </w:rPr>
  </w:style>
  <w:style w:type="paragraph" w:styleId="Sangradetextonormal">
    <w:name w:val="Body Text Indent"/>
    <w:basedOn w:val="Normal"/>
    <w:link w:val="SangradetextonormalCar"/>
    <w:semiHidden/>
    <w:rsid w:val="002D1378"/>
    <w:pPr>
      <w:ind w:firstLine="720"/>
      <w:jc w:val="both"/>
    </w:pPr>
    <w:rPr>
      <w:rFonts w:ascii="Arial" w:hAnsi="Arial" w:cs="Arial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2D1378"/>
    <w:rPr>
      <w:rFonts w:ascii="Arial" w:eastAsia="Times New Roman" w:hAnsi="Arial" w:cs="Arial"/>
      <w:sz w:val="24"/>
      <w:szCs w:val="24"/>
      <w:lang w:eastAsia="es-ES"/>
    </w:rPr>
  </w:style>
  <w:style w:type="paragraph" w:styleId="Sangra2detindependiente">
    <w:name w:val="Body Text Indent 2"/>
    <w:basedOn w:val="Normal"/>
    <w:link w:val="Sangra2detindependienteCar"/>
    <w:semiHidden/>
    <w:rsid w:val="002D1378"/>
    <w:pPr>
      <w:spacing w:line="360" w:lineRule="auto"/>
      <w:ind w:firstLine="720"/>
      <w:jc w:val="both"/>
    </w:pPr>
    <w:rPr>
      <w:rFonts w:ascii="Arial" w:hAnsi="Arial" w:cs="Arial"/>
      <w:b/>
      <w:bCs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2D1378"/>
    <w:rPr>
      <w:rFonts w:ascii="Arial" w:eastAsia="Times New Roman" w:hAnsi="Arial" w:cs="Arial"/>
      <w:b/>
      <w:bCs/>
      <w:sz w:val="24"/>
      <w:szCs w:val="24"/>
      <w:lang w:eastAsia="es-ES"/>
    </w:rPr>
  </w:style>
  <w:style w:type="paragraph" w:styleId="Sangra3detindependiente">
    <w:name w:val="Body Text Indent 3"/>
    <w:basedOn w:val="Normal"/>
    <w:link w:val="Sangra3detindependienteCar"/>
    <w:semiHidden/>
    <w:rsid w:val="002D1378"/>
    <w:pPr>
      <w:spacing w:line="360" w:lineRule="auto"/>
      <w:ind w:firstLine="708"/>
      <w:jc w:val="both"/>
    </w:pPr>
    <w:rPr>
      <w:rFonts w:ascii="Arial" w:hAnsi="Arial" w:cs="Arial"/>
      <w:b/>
      <w:bCs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2D1378"/>
    <w:rPr>
      <w:rFonts w:ascii="Arial" w:eastAsia="Times New Roman" w:hAnsi="Arial" w:cs="Arial"/>
      <w:b/>
      <w:bCs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4663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663B"/>
    <w:rPr>
      <w:rFonts w:ascii="Tahoma" w:eastAsia="Times New Roman" w:hAnsi="Tahoma" w:cs="Tahoma"/>
      <w:sz w:val="16"/>
      <w:szCs w:val="16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74663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4663B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74663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4663B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13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2D1378"/>
    <w:pPr>
      <w:keepNext/>
      <w:spacing w:line="360" w:lineRule="auto"/>
      <w:outlineLvl w:val="0"/>
    </w:pPr>
    <w:rPr>
      <w:rFonts w:ascii="Arial" w:hAnsi="Arial"/>
      <w:b/>
      <w:bCs/>
    </w:rPr>
  </w:style>
  <w:style w:type="paragraph" w:styleId="Ttulo2">
    <w:name w:val="heading 2"/>
    <w:basedOn w:val="Normal"/>
    <w:next w:val="Normal"/>
    <w:link w:val="Ttulo2Car"/>
    <w:qFormat/>
    <w:rsid w:val="002D1378"/>
    <w:pPr>
      <w:keepNext/>
      <w:jc w:val="center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2D1378"/>
    <w:rPr>
      <w:rFonts w:ascii="Arial" w:eastAsia="Times New Roman" w:hAnsi="Arial" w:cs="Times New Roman"/>
      <w:b/>
      <w:bCs/>
      <w:sz w:val="2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rsid w:val="002D1378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semiHidden/>
    <w:rsid w:val="002D1378"/>
    <w:pPr>
      <w:jc w:val="both"/>
    </w:pPr>
    <w:rPr>
      <w:rFonts w:ascii="Arial" w:hAnsi="Arial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2D1378"/>
    <w:rPr>
      <w:rFonts w:ascii="Arial" w:eastAsia="Times New Roman" w:hAnsi="Arial" w:cs="Times New Roman"/>
      <w:sz w:val="24"/>
      <w:szCs w:val="24"/>
      <w:lang w:eastAsia="es-ES"/>
    </w:rPr>
  </w:style>
  <w:style w:type="paragraph" w:styleId="Sangradetextonormal">
    <w:name w:val="Body Text Indent"/>
    <w:basedOn w:val="Normal"/>
    <w:link w:val="SangradetextonormalCar"/>
    <w:semiHidden/>
    <w:rsid w:val="002D1378"/>
    <w:pPr>
      <w:ind w:firstLine="720"/>
      <w:jc w:val="both"/>
    </w:pPr>
    <w:rPr>
      <w:rFonts w:ascii="Arial" w:hAnsi="Arial" w:cs="Arial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2D1378"/>
    <w:rPr>
      <w:rFonts w:ascii="Arial" w:eastAsia="Times New Roman" w:hAnsi="Arial" w:cs="Arial"/>
      <w:sz w:val="24"/>
      <w:szCs w:val="24"/>
      <w:lang w:eastAsia="es-ES"/>
    </w:rPr>
  </w:style>
  <w:style w:type="paragraph" w:styleId="Sangra2detindependiente">
    <w:name w:val="Body Text Indent 2"/>
    <w:basedOn w:val="Normal"/>
    <w:link w:val="Sangra2detindependienteCar"/>
    <w:semiHidden/>
    <w:rsid w:val="002D1378"/>
    <w:pPr>
      <w:spacing w:line="360" w:lineRule="auto"/>
      <w:ind w:firstLine="720"/>
      <w:jc w:val="both"/>
    </w:pPr>
    <w:rPr>
      <w:rFonts w:ascii="Arial" w:hAnsi="Arial" w:cs="Arial"/>
      <w:b/>
      <w:bCs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2D1378"/>
    <w:rPr>
      <w:rFonts w:ascii="Arial" w:eastAsia="Times New Roman" w:hAnsi="Arial" w:cs="Arial"/>
      <w:b/>
      <w:bCs/>
      <w:sz w:val="24"/>
      <w:szCs w:val="24"/>
      <w:lang w:eastAsia="es-ES"/>
    </w:rPr>
  </w:style>
  <w:style w:type="paragraph" w:styleId="Sangra3detindependiente">
    <w:name w:val="Body Text Indent 3"/>
    <w:basedOn w:val="Normal"/>
    <w:link w:val="Sangra3detindependienteCar"/>
    <w:semiHidden/>
    <w:rsid w:val="002D1378"/>
    <w:pPr>
      <w:spacing w:line="360" w:lineRule="auto"/>
      <w:ind w:firstLine="708"/>
      <w:jc w:val="both"/>
    </w:pPr>
    <w:rPr>
      <w:rFonts w:ascii="Arial" w:hAnsi="Arial" w:cs="Arial"/>
      <w:b/>
      <w:bCs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2D1378"/>
    <w:rPr>
      <w:rFonts w:ascii="Arial" w:eastAsia="Times New Roman" w:hAnsi="Arial" w:cs="Arial"/>
      <w:b/>
      <w:bCs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4663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663B"/>
    <w:rPr>
      <w:rFonts w:ascii="Tahoma" w:eastAsia="Times New Roman" w:hAnsi="Tahoma" w:cs="Tahoma"/>
      <w:sz w:val="16"/>
      <w:szCs w:val="16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74663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4663B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74663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4663B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722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 </cp:lastModifiedBy>
  <cp:revision>4</cp:revision>
  <cp:lastPrinted>2016-07-07T17:29:00Z</cp:lastPrinted>
  <dcterms:created xsi:type="dcterms:W3CDTF">2016-07-07T17:44:00Z</dcterms:created>
  <dcterms:modified xsi:type="dcterms:W3CDTF">2016-10-20T18:41:00Z</dcterms:modified>
</cp:coreProperties>
</file>