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49F" w:rsidRPr="00C91DBB" w:rsidRDefault="00B9549F" w:rsidP="005263CC">
      <w:pPr>
        <w:keepNext/>
        <w:widowControl w:val="0"/>
        <w:tabs>
          <w:tab w:val="center" w:pos="4253"/>
        </w:tabs>
        <w:spacing w:after="0" w:line="240" w:lineRule="auto"/>
        <w:jc w:val="right"/>
        <w:rPr>
          <w:rFonts w:ascii="Arial" w:hAnsi="Arial" w:cs="Arial"/>
          <w:b/>
          <w:sz w:val="28"/>
          <w:szCs w:val="28"/>
          <w:lang w:val="es-ES_tradnl"/>
        </w:rPr>
      </w:pPr>
      <w:bookmarkStart w:id="0" w:name="_GoBack"/>
      <w:bookmarkEnd w:id="0"/>
      <w:r w:rsidRPr="00C91DBB">
        <w:rPr>
          <w:rFonts w:ascii="Arial" w:hAnsi="Arial" w:cs="Arial"/>
          <w:b/>
          <w:sz w:val="28"/>
          <w:szCs w:val="28"/>
          <w:lang w:val="es-ES_tradnl"/>
        </w:rPr>
        <w:t xml:space="preserve">RES. </w:t>
      </w:r>
      <w:r w:rsidR="00902D5A" w:rsidRPr="00C91DBB">
        <w:rPr>
          <w:rFonts w:ascii="Arial" w:hAnsi="Arial" w:cs="Arial"/>
          <w:b/>
          <w:sz w:val="28"/>
          <w:szCs w:val="28"/>
          <w:lang w:val="es-ES_tradnl"/>
        </w:rPr>
        <w:t>2405</w:t>
      </w:r>
      <w:r w:rsidRPr="00C91DBB">
        <w:rPr>
          <w:rFonts w:ascii="Arial" w:hAnsi="Arial" w:cs="Arial"/>
          <w:b/>
          <w:sz w:val="28"/>
          <w:szCs w:val="28"/>
          <w:lang w:val="es-ES_tradnl"/>
        </w:rPr>
        <w:t>/16</w:t>
      </w:r>
    </w:p>
    <w:p w:rsidR="00B9549F" w:rsidRPr="005263CC" w:rsidRDefault="00B9549F" w:rsidP="005263CC">
      <w:pPr>
        <w:keepNext/>
        <w:widowControl w:val="0"/>
        <w:tabs>
          <w:tab w:val="center" w:pos="4253"/>
        </w:tabs>
        <w:spacing w:after="0" w:line="240" w:lineRule="auto"/>
        <w:jc w:val="center"/>
        <w:rPr>
          <w:rFonts w:ascii="Arial" w:hAnsi="Arial" w:cs="Arial"/>
          <w:b/>
          <w:sz w:val="24"/>
          <w:szCs w:val="24"/>
          <w:lang w:val="es-ES_tradnl"/>
        </w:rPr>
      </w:pPr>
    </w:p>
    <w:p w:rsidR="00B9549F" w:rsidRPr="005263CC" w:rsidRDefault="00B9549F" w:rsidP="005263CC">
      <w:pPr>
        <w:keepNext/>
        <w:widowControl w:val="0"/>
        <w:tabs>
          <w:tab w:val="center" w:pos="4253"/>
        </w:tabs>
        <w:spacing w:after="0" w:line="240" w:lineRule="auto"/>
        <w:jc w:val="center"/>
        <w:rPr>
          <w:rFonts w:ascii="Arial" w:hAnsi="Arial" w:cs="Arial"/>
          <w:b/>
          <w:sz w:val="24"/>
          <w:szCs w:val="24"/>
          <w:lang w:val="es-ES_tradnl"/>
        </w:rPr>
      </w:pPr>
      <w:r w:rsidRPr="005263CC">
        <w:rPr>
          <w:rFonts w:ascii="Arial" w:hAnsi="Arial" w:cs="Arial"/>
          <w:b/>
          <w:sz w:val="24"/>
          <w:szCs w:val="24"/>
          <w:lang w:val="es-ES_tradnl"/>
        </w:rPr>
        <w:t>RESOLUCION ADOPTADA POR EL</w:t>
      </w:r>
    </w:p>
    <w:p w:rsidR="00B9549F" w:rsidRPr="005263CC" w:rsidRDefault="00B9549F" w:rsidP="005263CC">
      <w:pPr>
        <w:keepNext/>
        <w:widowControl w:val="0"/>
        <w:tabs>
          <w:tab w:val="left" w:pos="-720"/>
        </w:tabs>
        <w:spacing w:after="0" w:line="240" w:lineRule="auto"/>
        <w:jc w:val="center"/>
        <w:rPr>
          <w:rFonts w:ascii="Arial" w:hAnsi="Arial" w:cs="Arial"/>
          <w:b/>
          <w:sz w:val="24"/>
          <w:szCs w:val="24"/>
          <w:lang w:val="es-ES_tradnl"/>
        </w:rPr>
      </w:pPr>
    </w:p>
    <w:p w:rsidR="00B9549F" w:rsidRPr="005263CC" w:rsidRDefault="00B9549F" w:rsidP="005263CC">
      <w:pPr>
        <w:keepNext/>
        <w:widowControl w:val="0"/>
        <w:tabs>
          <w:tab w:val="center" w:pos="4253"/>
        </w:tabs>
        <w:spacing w:after="0" w:line="240" w:lineRule="auto"/>
        <w:jc w:val="center"/>
        <w:rPr>
          <w:rFonts w:ascii="Arial" w:hAnsi="Arial" w:cs="Arial"/>
          <w:b/>
          <w:sz w:val="24"/>
          <w:szCs w:val="24"/>
          <w:lang w:val="es-ES_tradnl"/>
        </w:rPr>
      </w:pPr>
      <w:r w:rsidRPr="005263CC">
        <w:rPr>
          <w:rFonts w:ascii="Arial" w:hAnsi="Arial" w:cs="Arial"/>
          <w:b/>
          <w:sz w:val="24"/>
          <w:szCs w:val="24"/>
          <w:lang w:val="es-ES_tradnl"/>
        </w:rPr>
        <w:t>TRIBUNAL DE CUENTAS</w:t>
      </w:r>
    </w:p>
    <w:p w:rsidR="00B9549F" w:rsidRPr="005263CC" w:rsidRDefault="00B9549F" w:rsidP="005263CC">
      <w:pPr>
        <w:keepNext/>
        <w:widowControl w:val="0"/>
        <w:tabs>
          <w:tab w:val="left" w:pos="-720"/>
        </w:tabs>
        <w:spacing w:after="0" w:line="240" w:lineRule="auto"/>
        <w:jc w:val="center"/>
        <w:rPr>
          <w:rFonts w:ascii="Arial" w:hAnsi="Arial" w:cs="Arial"/>
          <w:b/>
          <w:sz w:val="24"/>
          <w:szCs w:val="24"/>
          <w:lang w:val="es-ES_tradnl"/>
        </w:rPr>
      </w:pPr>
    </w:p>
    <w:p w:rsidR="00B9549F" w:rsidRPr="005263CC" w:rsidRDefault="00B9549F" w:rsidP="005263CC">
      <w:pPr>
        <w:keepNext/>
        <w:widowControl w:val="0"/>
        <w:tabs>
          <w:tab w:val="center" w:pos="4253"/>
        </w:tabs>
        <w:spacing w:after="0" w:line="240" w:lineRule="auto"/>
        <w:jc w:val="center"/>
        <w:rPr>
          <w:rFonts w:ascii="Arial" w:hAnsi="Arial" w:cs="Arial"/>
          <w:b/>
          <w:sz w:val="24"/>
          <w:szCs w:val="24"/>
          <w:lang w:val="es-ES_tradnl"/>
        </w:rPr>
      </w:pPr>
      <w:r w:rsidRPr="005263CC">
        <w:rPr>
          <w:rFonts w:ascii="Arial" w:hAnsi="Arial" w:cs="Arial"/>
          <w:b/>
          <w:sz w:val="24"/>
          <w:szCs w:val="24"/>
          <w:lang w:val="es-ES_tradnl"/>
        </w:rPr>
        <w:t>EN SESION DE FECHA 13 DE JULIO DE 2016</w:t>
      </w:r>
    </w:p>
    <w:p w:rsidR="00B9549F" w:rsidRPr="005263CC" w:rsidRDefault="00B9549F" w:rsidP="005263CC">
      <w:pPr>
        <w:keepNext/>
        <w:widowControl w:val="0"/>
        <w:tabs>
          <w:tab w:val="center" w:pos="4253"/>
        </w:tabs>
        <w:spacing w:after="0" w:line="240" w:lineRule="auto"/>
        <w:jc w:val="center"/>
        <w:rPr>
          <w:rFonts w:ascii="Arial" w:hAnsi="Arial" w:cs="Arial"/>
          <w:b/>
          <w:sz w:val="24"/>
          <w:szCs w:val="24"/>
          <w:lang w:val="es-ES_tradnl"/>
        </w:rPr>
      </w:pPr>
    </w:p>
    <w:p w:rsidR="00B9549F" w:rsidRPr="005263CC" w:rsidRDefault="00B9549F" w:rsidP="005263CC">
      <w:pPr>
        <w:keepNext/>
        <w:widowControl w:val="0"/>
        <w:tabs>
          <w:tab w:val="center" w:pos="4253"/>
        </w:tabs>
        <w:spacing w:after="0" w:line="240" w:lineRule="auto"/>
        <w:jc w:val="center"/>
        <w:rPr>
          <w:rFonts w:ascii="Arial" w:hAnsi="Arial" w:cs="Arial"/>
          <w:b/>
          <w:sz w:val="24"/>
          <w:szCs w:val="24"/>
        </w:rPr>
      </w:pPr>
      <w:r w:rsidRPr="005263CC">
        <w:rPr>
          <w:rFonts w:ascii="Arial" w:hAnsi="Arial" w:cs="Arial"/>
          <w:b/>
          <w:sz w:val="24"/>
          <w:szCs w:val="24"/>
        </w:rPr>
        <w:t xml:space="preserve">(E. E. Nº 2016-17-1-0004262, </w:t>
      </w:r>
      <w:proofErr w:type="spellStart"/>
      <w:r w:rsidRPr="005263CC">
        <w:rPr>
          <w:rFonts w:ascii="Arial" w:hAnsi="Arial" w:cs="Arial"/>
          <w:b/>
          <w:sz w:val="24"/>
          <w:szCs w:val="24"/>
        </w:rPr>
        <w:t>Ent</w:t>
      </w:r>
      <w:proofErr w:type="spellEnd"/>
      <w:r w:rsidRPr="005263CC">
        <w:rPr>
          <w:rFonts w:ascii="Arial" w:hAnsi="Arial" w:cs="Arial"/>
          <w:b/>
          <w:sz w:val="24"/>
          <w:szCs w:val="24"/>
        </w:rPr>
        <w:t xml:space="preserve">. N° </w:t>
      </w:r>
      <w:r w:rsidR="00155CD4" w:rsidRPr="005263CC">
        <w:rPr>
          <w:rFonts w:ascii="Arial" w:hAnsi="Arial" w:cs="Arial"/>
          <w:b/>
          <w:sz w:val="24"/>
          <w:szCs w:val="24"/>
        </w:rPr>
        <w:t>3236</w:t>
      </w:r>
      <w:r w:rsidRPr="005263CC">
        <w:rPr>
          <w:rFonts w:ascii="Arial" w:hAnsi="Arial" w:cs="Arial"/>
          <w:b/>
          <w:sz w:val="24"/>
          <w:szCs w:val="24"/>
        </w:rPr>
        <w:t>/</w:t>
      </w:r>
      <w:r w:rsidR="00155CD4" w:rsidRPr="005263CC">
        <w:rPr>
          <w:rFonts w:ascii="Arial" w:hAnsi="Arial" w:cs="Arial"/>
          <w:b/>
          <w:sz w:val="24"/>
          <w:szCs w:val="24"/>
        </w:rPr>
        <w:t>16</w:t>
      </w:r>
      <w:r w:rsidRPr="005263CC">
        <w:rPr>
          <w:rFonts w:ascii="Arial" w:hAnsi="Arial" w:cs="Arial"/>
          <w:b/>
          <w:sz w:val="24"/>
          <w:szCs w:val="24"/>
        </w:rPr>
        <w:t>)</w:t>
      </w:r>
    </w:p>
    <w:p w:rsidR="00B9549F" w:rsidRPr="005263CC" w:rsidRDefault="00B9549F" w:rsidP="005263CC">
      <w:pPr>
        <w:keepNext/>
        <w:widowControl w:val="0"/>
        <w:tabs>
          <w:tab w:val="center" w:pos="4253"/>
        </w:tabs>
        <w:jc w:val="center"/>
        <w:rPr>
          <w:rFonts w:ascii="Arial" w:hAnsi="Arial" w:cs="Arial"/>
          <w:b/>
          <w:sz w:val="24"/>
          <w:szCs w:val="24"/>
        </w:rPr>
      </w:pPr>
    </w:p>
    <w:p w:rsidR="00FE6D90" w:rsidRPr="005263CC" w:rsidRDefault="00B75AEB" w:rsidP="005263CC">
      <w:pPr>
        <w:keepNext/>
        <w:widowControl w:val="0"/>
        <w:autoSpaceDE w:val="0"/>
        <w:autoSpaceDN w:val="0"/>
        <w:adjustRightInd w:val="0"/>
        <w:spacing w:after="0"/>
        <w:ind w:firstLine="851"/>
        <w:contextualSpacing/>
        <w:jc w:val="both"/>
        <w:rPr>
          <w:rFonts w:ascii="Arial" w:hAnsi="Arial" w:cs="Arial"/>
          <w:bCs/>
          <w:sz w:val="24"/>
          <w:szCs w:val="24"/>
        </w:rPr>
      </w:pPr>
      <w:r w:rsidRPr="005263CC">
        <w:rPr>
          <w:rFonts w:ascii="Arial" w:hAnsi="Arial" w:cs="Arial"/>
          <w:b/>
          <w:bCs/>
          <w:sz w:val="24"/>
          <w:szCs w:val="24"/>
        </w:rPr>
        <w:t>VISTO:</w:t>
      </w:r>
      <w:r w:rsidRPr="005263CC">
        <w:rPr>
          <w:rFonts w:ascii="Arial" w:hAnsi="Arial" w:cs="Arial"/>
          <w:bCs/>
          <w:sz w:val="24"/>
          <w:szCs w:val="24"/>
        </w:rPr>
        <w:t xml:space="preserve"> que este Tribunal ha examinado la Rendición de Cuentas y Balance de</w:t>
      </w:r>
      <w:r w:rsidR="00412A7F" w:rsidRPr="005263CC">
        <w:rPr>
          <w:rFonts w:ascii="Arial" w:hAnsi="Arial" w:cs="Arial"/>
          <w:bCs/>
          <w:sz w:val="24"/>
          <w:szCs w:val="24"/>
        </w:rPr>
        <w:t xml:space="preserve"> </w:t>
      </w:r>
      <w:r w:rsidRPr="005263CC">
        <w:rPr>
          <w:rFonts w:ascii="Arial" w:hAnsi="Arial" w:cs="Arial"/>
          <w:bCs/>
          <w:sz w:val="24"/>
          <w:szCs w:val="24"/>
        </w:rPr>
        <w:t>Ejecución Presupuestal del Ejercicio 201</w:t>
      </w:r>
      <w:r w:rsidR="00786961" w:rsidRPr="005263CC">
        <w:rPr>
          <w:rFonts w:ascii="Arial" w:hAnsi="Arial" w:cs="Arial"/>
          <w:bCs/>
          <w:sz w:val="24"/>
          <w:szCs w:val="24"/>
        </w:rPr>
        <w:t>5</w:t>
      </w:r>
      <w:r w:rsidRPr="005263CC">
        <w:rPr>
          <w:rFonts w:ascii="Arial" w:hAnsi="Arial" w:cs="Arial"/>
          <w:bCs/>
          <w:sz w:val="24"/>
          <w:szCs w:val="24"/>
        </w:rPr>
        <w:t xml:space="preserve">, </w:t>
      </w:r>
      <w:r w:rsidR="00FE6D90" w:rsidRPr="005263CC">
        <w:rPr>
          <w:rFonts w:ascii="Arial" w:hAnsi="Arial" w:cs="Arial"/>
          <w:bCs/>
          <w:sz w:val="24"/>
          <w:szCs w:val="24"/>
        </w:rPr>
        <w:t>remitido</w:t>
      </w:r>
      <w:r w:rsidRPr="005263CC">
        <w:rPr>
          <w:rFonts w:ascii="Arial" w:hAnsi="Arial" w:cs="Arial"/>
          <w:bCs/>
          <w:sz w:val="24"/>
          <w:szCs w:val="24"/>
        </w:rPr>
        <w:t xml:space="preserve"> por la Contaduría</w:t>
      </w:r>
      <w:r w:rsidR="00312FCE" w:rsidRPr="005263CC">
        <w:rPr>
          <w:rFonts w:ascii="Arial" w:hAnsi="Arial" w:cs="Arial"/>
          <w:bCs/>
          <w:sz w:val="24"/>
          <w:szCs w:val="24"/>
        </w:rPr>
        <w:t xml:space="preserve"> </w:t>
      </w:r>
      <w:r w:rsidRPr="005263CC">
        <w:rPr>
          <w:rFonts w:ascii="Arial" w:hAnsi="Arial" w:cs="Arial"/>
          <w:bCs/>
          <w:sz w:val="24"/>
          <w:szCs w:val="24"/>
        </w:rPr>
        <w:t>General de la Nación</w:t>
      </w:r>
      <w:r w:rsidR="00313838" w:rsidRPr="005263CC">
        <w:rPr>
          <w:rFonts w:ascii="Arial" w:hAnsi="Arial" w:cs="Arial"/>
          <w:bCs/>
          <w:sz w:val="24"/>
          <w:szCs w:val="24"/>
        </w:rPr>
        <w:t>;</w:t>
      </w:r>
    </w:p>
    <w:p w:rsidR="005E7252" w:rsidRPr="005263CC" w:rsidRDefault="00B75AEB" w:rsidP="005263CC">
      <w:pPr>
        <w:keepNext/>
        <w:widowControl w:val="0"/>
        <w:autoSpaceDE w:val="0"/>
        <w:autoSpaceDN w:val="0"/>
        <w:adjustRightInd w:val="0"/>
        <w:spacing w:after="0"/>
        <w:ind w:firstLine="851"/>
        <w:contextualSpacing/>
        <w:jc w:val="both"/>
        <w:rPr>
          <w:rFonts w:ascii="Arial" w:hAnsi="Arial" w:cs="Arial"/>
          <w:bCs/>
          <w:sz w:val="24"/>
          <w:szCs w:val="24"/>
        </w:rPr>
      </w:pPr>
      <w:r w:rsidRPr="005263CC">
        <w:rPr>
          <w:rFonts w:ascii="Arial" w:hAnsi="Arial" w:cs="Arial"/>
          <w:b/>
          <w:bCs/>
          <w:sz w:val="24"/>
          <w:szCs w:val="24"/>
        </w:rPr>
        <w:t>RESULTANDO</w:t>
      </w:r>
      <w:r w:rsidRPr="00C91DBB">
        <w:rPr>
          <w:rFonts w:ascii="Arial" w:hAnsi="Arial" w:cs="Arial"/>
          <w:b/>
          <w:bCs/>
          <w:sz w:val="24"/>
          <w:szCs w:val="24"/>
        </w:rPr>
        <w:t>:</w:t>
      </w:r>
      <w:r w:rsidRPr="005263CC">
        <w:rPr>
          <w:rFonts w:ascii="Arial" w:hAnsi="Arial" w:cs="Arial"/>
          <w:bCs/>
          <w:sz w:val="24"/>
          <w:szCs w:val="24"/>
        </w:rPr>
        <w:t xml:space="preserve"> </w:t>
      </w:r>
      <w:r w:rsidR="00FE6D90" w:rsidRPr="005263CC">
        <w:rPr>
          <w:rFonts w:ascii="Arial" w:hAnsi="Arial" w:cs="Arial"/>
          <w:b/>
          <w:bCs/>
          <w:sz w:val="24"/>
          <w:szCs w:val="24"/>
        </w:rPr>
        <w:t>1)</w:t>
      </w:r>
      <w:r w:rsidR="00FE6D90" w:rsidRPr="005263CC">
        <w:rPr>
          <w:rFonts w:ascii="Arial" w:hAnsi="Arial" w:cs="Arial"/>
          <w:bCs/>
          <w:sz w:val="24"/>
          <w:szCs w:val="24"/>
        </w:rPr>
        <w:t xml:space="preserve"> que con fecha </w:t>
      </w:r>
      <w:r w:rsidR="00786961" w:rsidRPr="005263CC">
        <w:rPr>
          <w:rFonts w:ascii="Arial" w:hAnsi="Arial" w:cs="Arial"/>
          <w:bCs/>
          <w:sz w:val="24"/>
          <w:szCs w:val="24"/>
        </w:rPr>
        <w:t>21</w:t>
      </w:r>
      <w:r w:rsidR="00313838" w:rsidRPr="005263CC">
        <w:rPr>
          <w:rFonts w:ascii="Arial" w:hAnsi="Arial" w:cs="Arial"/>
          <w:bCs/>
          <w:sz w:val="24"/>
          <w:szCs w:val="24"/>
        </w:rPr>
        <w:t xml:space="preserve"> </w:t>
      </w:r>
      <w:r w:rsidR="00786961" w:rsidRPr="005263CC">
        <w:rPr>
          <w:rFonts w:ascii="Arial" w:hAnsi="Arial" w:cs="Arial"/>
          <w:bCs/>
          <w:sz w:val="24"/>
          <w:szCs w:val="24"/>
        </w:rPr>
        <w:t>de junio</w:t>
      </w:r>
      <w:r w:rsidR="00FE6D90" w:rsidRPr="005263CC">
        <w:rPr>
          <w:rFonts w:ascii="Arial" w:hAnsi="Arial" w:cs="Arial"/>
          <w:bCs/>
          <w:sz w:val="24"/>
          <w:szCs w:val="24"/>
        </w:rPr>
        <w:t xml:space="preserve"> de 201</w:t>
      </w:r>
      <w:r w:rsidR="00786961" w:rsidRPr="005263CC">
        <w:rPr>
          <w:rFonts w:ascii="Arial" w:hAnsi="Arial" w:cs="Arial"/>
          <w:bCs/>
          <w:sz w:val="24"/>
          <w:szCs w:val="24"/>
        </w:rPr>
        <w:t>6</w:t>
      </w:r>
      <w:r w:rsidR="00FE6D90" w:rsidRPr="005263CC">
        <w:rPr>
          <w:rFonts w:ascii="Arial" w:hAnsi="Arial" w:cs="Arial"/>
          <w:bCs/>
          <w:sz w:val="24"/>
          <w:szCs w:val="24"/>
        </w:rPr>
        <w:t xml:space="preserve"> se remitió a nuestro Organismo duplicado del</w:t>
      </w:r>
      <w:r w:rsidR="005E7252" w:rsidRPr="005263CC">
        <w:rPr>
          <w:rFonts w:ascii="Arial" w:hAnsi="Arial" w:cs="Arial"/>
          <w:bCs/>
          <w:sz w:val="24"/>
          <w:szCs w:val="24"/>
        </w:rPr>
        <w:t xml:space="preserve"> referido</w:t>
      </w:r>
      <w:r w:rsidR="00FE6D90" w:rsidRPr="005263CC">
        <w:rPr>
          <w:rFonts w:ascii="Arial" w:hAnsi="Arial" w:cs="Arial"/>
          <w:bCs/>
          <w:sz w:val="24"/>
          <w:szCs w:val="24"/>
        </w:rPr>
        <w:t xml:space="preserve"> </w:t>
      </w:r>
      <w:r w:rsidR="005E7252" w:rsidRPr="005263CC">
        <w:rPr>
          <w:rFonts w:ascii="Arial" w:hAnsi="Arial" w:cs="Arial"/>
          <w:bCs/>
          <w:sz w:val="24"/>
          <w:szCs w:val="24"/>
        </w:rPr>
        <w:t xml:space="preserve">documento presentado con fecha </w:t>
      </w:r>
      <w:r w:rsidR="00786961" w:rsidRPr="005263CC">
        <w:rPr>
          <w:rFonts w:ascii="Arial" w:hAnsi="Arial" w:cs="Arial"/>
          <w:bCs/>
          <w:sz w:val="24"/>
          <w:szCs w:val="24"/>
        </w:rPr>
        <w:t>16</w:t>
      </w:r>
      <w:r w:rsidR="005E7252" w:rsidRPr="005263CC">
        <w:rPr>
          <w:rFonts w:ascii="Arial" w:hAnsi="Arial" w:cs="Arial"/>
          <w:bCs/>
          <w:sz w:val="24"/>
          <w:szCs w:val="24"/>
        </w:rPr>
        <w:t xml:space="preserve"> de junio de 201</w:t>
      </w:r>
      <w:r w:rsidR="00786961" w:rsidRPr="005263CC">
        <w:rPr>
          <w:rFonts w:ascii="Arial" w:hAnsi="Arial" w:cs="Arial"/>
          <w:bCs/>
          <w:sz w:val="24"/>
          <w:szCs w:val="24"/>
        </w:rPr>
        <w:t>6</w:t>
      </w:r>
      <w:r w:rsidR="005E7252" w:rsidRPr="005263CC">
        <w:rPr>
          <w:rFonts w:ascii="Arial" w:hAnsi="Arial" w:cs="Arial"/>
          <w:bCs/>
          <w:sz w:val="24"/>
          <w:szCs w:val="24"/>
        </w:rPr>
        <w:t xml:space="preserve"> a la Asamblea General;</w:t>
      </w:r>
    </w:p>
    <w:p w:rsidR="00B75AEB" w:rsidRPr="005263CC" w:rsidRDefault="00C91DBB" w:rsidP="00C91DBB">
      <w:pPr>
        <w:keepNext/>
        <w:widowControl w:val="0"/>
        <w:autoSpaceDE w:val="0"/>
        <w:autoSpaceDN w:val="0"/>
        <w:adjustRightInd w:val="0"/>
        <w:spacing w:after="0"/>
        <w:ind w:firstLine="2694"/>
        <w:contextualSpacing/>
        <w:jc w:val="both"/>
        <w:rPr>
          <w:rFonts w:ascii="Arial" w:hAnsi="Arial" w:cs="Arial"/>
          <w:bCs/>
          <w:sz w:val="24"/>
          <w:szCs w:val="24"/>
        </w:rPr>
      </w:pPr>
      <w:r>
        <w:rPr>
          <w:rFonts w:ascii="Arial" w:hAnsi="Arial" w:cs="Arial"/>
          <w:b/>
          <w:bCs/>
          <w:sz w:val="24"/>
          <w:szCs w:val="24"/>
        </w:rPr>
        <w:t xml:space="preserve"> </w:t>
      </w:r>
      <w:r w:rsidR="005E7252" w:rsidRPr="005263CC">
        <w:rPr>
          <w:rFonts w:ascii="Arial" w:hAnsi="Arial" w:cs="Arial"/>
          <w:b/>
          <w:bCs/>
          <w:sz w:val="24"/>
          <w:szCs w:val="24"/>
        </w:rPr>
        <w:t>2)</w:t>
      </w:r>
      <w:r w:rsidR="005E7252" w:rsidRPr="005263CC">
        <w:rPr>
          <w:rFonts w:ascii="Arial" w:hAnsi="Arial" w:cs="Arial"/>
          <w:bCs/>
          <w:sz w:val="24"/>
          <w:szCs w:val="24"/>
        </w:rPr>
        <w:t xml:space="preserve"> </w:t>
      </w:r>
      <w:r w:rsidR="00B75AEB" w:rsidRPr="005263CC">
        <w:rPr>
          <w:rFonts w:ascii="Arial" w:hAnsi="Arial" w:cs="Arial"/>
          <w:bCs/>
          <w:sz w:val="24"/>
          <w:szCs w:val="24"/>
        </w:rPr>
        <w:t>que el examen fue realizado de acuerdo con</w:t>
      </w:r>
      <w:r w:rsidR="00D15E88" w:rsidRPr="005263CC">
        <w:rPr>
          <w:rFonts w:ascii="Arial" w:hAnsi="Arial" w:cs="Arial"/>
          <w:bCs/>
          <w:sz w:val="24"/>
          <w:szCs w:val="24"/>
        </w:rPr>
        <w:t xml:space="preserve"> </w:t>
      </w:r>
      <w:r w:rsidR="00B75AEB" w:rsidRPr="005263CC">
        <w:rPr>
          <w:rFonts w:ascii="Arial" w:hAnsi="Arial" w:cs="Arial"/>
          <w:bCs/>
          <w:sz w:val="24"/>
          <w:szCs w:val="24"/>
        </w:rPr>
        <w:t>los Principios</w:t>
      </w:r>
      <w:r w:rsidR="00312FCE" w:rsidRPr="005263CC">
        <w:rPr>
          <w:rFonts w:ascii="Arial" w:hAnsi="Arial" w:cs="Arial"/>
          <w:bCs/>
          <w:sz w:val="24"/>
          <w:szCs w:val="24"/>
        </w:rPr>
        <w:t xml:space="preserve"> </w:t>
      </w:r>
      <w:r w:rsidR="00B75AEB" w:rsidRPr="005263CC">
        <w:rPr>
          <w:rFonts w:ascii="Arial" w:hAnsi="Arial" w:cs="Arial"/>
          <w:bCs/>
          <w:sz w:val="24"/>
          <w:szCs w:val="24"/>
        </w:rPr>
        <w:t>Fundamentales de Auditoría (ISSAI 100</w:t>
      </w:r>
      <w:r w:rsidR="00312FCE" w:rsidRPr="005263CC">
        <w:rPr>
          <w:rFonts w:ascii="Arial" w:hAnsi="Arial" w:cs="Arial"/>
          <w:bCs/>
          <w:sz w:val="24"/>
          <w:szCs w:val="24"/>
        </w:rPr>
        <w:t xml:space="preserve"> y</w:t>
      </w:r>
      <w:r w:rsidR="00B75AEB" w:rsidRPr="005263CC">
        <w:rPr>
          <w:rFonts w:ascii="Arial" w:hAnsi="Arial" w:cs="Arial"/>
          <w:bCs/>
          <w:sz w:val="24"/>
          <w:szCs w:val="24"/>
        </w:rPr>
        <w:t xml:space="preserve"> 200) y las Directrices de</w:t>
      </w:r>
      <w:r w:rsidR="00312FCE" w:rsidRPr="005263CC">
        <w:rPr>
          <w:rFonts w:ascii="Arial" w:hAnsi="Arial" w:cs="Arial"/>
          <w:bCs/>
          <w:sz w:val="24"/>
          <w:szCs w:val="24"/>
        </w:rPr>
        <w:t xml:space="preserve"> </w:t>
      </w:r>
      <w:r w:rsidR="00B75AEB" w:rsidRPr="005263CC">
        <w:rPr>
          <w:rFonts w:ascii="Arial" w:hAnsi="Arial" w:cs="Arial"/>
          <w:bCs/>
          <w:sz w:val="24"/>
          <w:szCs w:val="24"/>
        </w:rPr>
        <w:t xml:space="preserve">Auditoria Financiera (ISSAI 1000 a </w:t>
      </w:r>
      <w:r w:rsidR="00312FCE" w:rsidRPr="005263CC">
        <w:rPr>
          <w:rFonts w:ascii="Arial" w:hAnsi="Arial" w:cs="Arial"/>
          <w:bCs/>
          <w:sz w:val="24"/>
          <w:szCs w:val="24"/>
        </w:rPr>
        <w:t>1810</w:t>
      </w:r>
      <w:r w:rsidR="00B75AEB" w:rsidRPr="005263CC">
        <w:rPr>
          <w:rFonts w:ascii="Arial" w:hAnsi="Arial" w:cs="Arial"/>
          <w:bCs/>
          <w:sz w:val="24"/>
          <w:szCs w:val="24"/>
        </w:rPr>
        <w:t xml:space="preserve">) emitidas por la </w:t>
      </w:r>
      <w:r w:rsidR="00312FCE" w:rsidRPr="005263CC">
        <w:rPr>
          <w:rFonts w:ascii="Arial" w:hAnsi="Arial" w:cs="Arial"/>
          <w:bCs/>
          <w:sz w:val="24"/>
          <w:szCs w:val="24"/>
        </w:rPr>
        <w:t>Organización I</w:t>
      </w:r>
      <w:r w:rsidR="00B75AEB" w:rsidRPr="005263CC">
        <w:rPr>
          <w:rFonts w:ascii="Arial" w:hAnsi="Arial" w:cs="Arial"/>
          <w:bCs/>
          <w:sz w:val="24"/>
          <w:szCs w:val="24"/>
        </w:rPr>
        <w:t>nternacional de Entidades Fiscalizadoras Superiores (INTOSAI);</w:t>
      </w:r>
    </w:p>
    <w:p w:rsidR="005E7252" w:rsidRPr="005263CC" w:rsidRDefault="00B75AEB" w:rsidP="005263CC">
      <w:pPr>
        <w:keepNext/>
        <w:widowControl w:val="0"/>
        <w:autoSpaceDE w:val="0"/>
        <w:autoSpaceDN w:val="0"/>
        <w:adjustRightInd w:val="0"/>
        <w:spacing w:after="0"/>
        <w:ind w:firstLine="851"/>
        <w:contextualSpacing/>
        <w:jc w:val="both"/>
        <w:rPr>
          <w:rFonts w:ascii="Arial" w:hAnsi="Arial" w:cs="Arial"/>
          <w:bCs/>
          <w:sz w:val="24"/>
          <w:szCs w:val="24"/>
        </w:rPr>
      </w:pPr>
      <w:r w:rsidRPr="005263CC">
        <w:rPr>
          <w:rFonts w:ascii="Arial" w:hAnsi="Arial" w:cs="Arial"/>
          <w:b/>
          <w:bCs/>
          <w:sz w:val="24"/>
          <w:szCs w:val="24"/>
        </w:rPr>
        <w:t>CONSIDERANDO:</w:t>
      </w:r>
      <w:r w:rsidRPr="005263CC">
        <w:rPr>
          <w:rFonts w:ascii="Arial" w:hAnsi="Arial" w:cs="Arial"/>
          <w:bCs/>
          <w:sz w:val="24"/>
          <w:szCs w:val="24"/>
        </w:rPr>
        <w:t xml:space="preserve"> </w:t>
      </w:r>
      <w:r w:rsidR="005E7252" w:rsidRPr="005263CC">
        <w:rPr>
          <w:rFonts w:ascii="Arial" w:hAnsi="Arial" w:cs="Arial"/>
          <w:b/>
          <w:bCs/>
          <w:sz w:val="24"/>
          <w:szCs w:val="24"/>
        </w:rPr>
        <w:t>1)</w:t>
      </w:r>
      <w:r w:rsidR="00D15E88" w:rsidRPr="005263CC">
        <w:rPr>
          <w:rFonts w:ascii="Arial" w:hAnsi="Arial" w:cs="Arial"/>
          <w:bCs/>
          <w:sz w:val="24"/>
          <w:szCs w:val="24"/>
        </w:rPr>
        <w:t xml:space="preserve"> que por lo señalado en el R</w:t>
      </w:r>
      <w:r w:rsidR="005E7252" w:rsidRPr="005263CC">
        <w:rPr>
          <w:rFonts w:ascii="Arial" w:hAnsi="Arial" w:cs="Arial"/>
          <w:bCs/>
          <w:sz w:val="24"/>
          <w:szCs w:val="24"/>
        </w:rPr>
        <w:t>esultando 1</w:t>
      </w:r>
      <w:r w:rsidR="00D15E88" w:rsidRPr="005263CC">
        <w:rPr>
          <w:rFonts w:ascii="Arial" w:hAnsi="Arial" w:cs="Arial"/>
          <w:bCs/>
          <w:sz w:val="24"/>
          <w:szCs w:val="24"/>
        </w:rPr>
        <w:t>)</w:t>
      </w:r>
      <w:r w:rsidR="005E7252" w:rsidRPr="005263CC">
        <w:rPr>
          <w:rFonts w:ascii="Arial" w:hAnsi="Arial" w:cs="Arial"/>
          <w:bCs/>
          <w:sz w:val="24"/>
          <w:szCs w:val="24"/>
        </w:rPr>
        <w:t>, se ha dado cum</w:t>
      </w:r>
      <w:r w:rsidR="00521EE4" w:rsidRPr="005263CC">
        <w:rPr>
          <w:rFonts w:ascii="Arial" w:hAnsi="Arial" w:cs="Arial"/>
          <w:bCs/>
          <w:sz w:val="24"/>
          <w:szCs w:val="24"/>
        </w:rPr>
        <w:t>plimiento a lo dispuesto en el A</w:t>
      </w:r>
      <w:r w:rsidR="005E7252" w:rsidRPr="005263CC">
        <w:rPr>
          <w:rFonts w:ascii="Arial" w:hAnsi="Arial" w:cs="Arial"/>
          <w:bCs/>
          <w:sz w:val="24"/>
          <w:szCs w:val="24"/>
        </w:rPr>
        <w:t xml:space="preserve">rtículo 214 de </w:t>
      </w:r>
      <w:r w:rsidR="00172177" w:rsidRPr="005263CC">
        <w:rPr>
          <w:rFonts w:ascii="Arial" w:hAnsi="Arial" w:cs="Arial"/>
          <w:bCs/>
          <w:sz w:val="24"/>
          <w:szCs w:val="24"/>
        </w:rPr>
        <w:t>la Constitución de la República;</w:t>
      </w:r>
    </w:p>
    <w:p w:rsidR="00B75AEB" w:rsidRPr="005263CC" w:rsidRDefault="00C91DBB" w:rsidP="005263CC">
      <w:pPr>
        <w:keepNext/>
        <w:widowControl w:val="0"/>
        <w:autoSpaceDE w:val="0"/>
        <w:autoSpaceDN w:val="0"/>
        <w:adjustRightInd w:val="0"/>
        <w:spacing w:after="0"/>
        <w:ind w:firstLine="2977"/>
        <w:contextualSpacing/>
        <w:jc w:val="both"/>
        <w:rPr>
          <w:rFonts w:ascii="Arial" w:hAnsi="Arial" w:cs="Arial"/>
          <w:bCs/>
          <w:sz w:val="24"/>
          <w:szCs w:val="24"/>
        </w:rPr>
      </w:pPr>
      <w:r>
        <w:rPr>
          <w:rFonts w:ascii="Arial" w:hAnsi="Arial" w:cs="Arial"/>
          <w:b/>
          <w:bCs/>
          <w:sz w:val="24"/>
          <w:szCs w:val="24"/>
        </w:rPr>
        <w:t xml:space="preserve"> </w:t>
      </w:r>
      <w:r w:rsidR="005E7252" w:rsidRPr="005263CC">
        <w:rPr>
          <w:rFonts w:ascii="Arial" w:hAnsi="Arial" w:cs="Arial"/>
          <w:b/>
          <w:bCs/>
          <w:sz w:val="24"/>
          <w:szCs w:val="24"/>
        </w:rPr>
        <w:t>2)</w:t>
      </w:r>
      <w:r w:rsidR="005E7252" w:rsidRPr="005263CC">
        <w:rPr>
          <w:rFonts w:ascii="Arial" w:hAnsi="Arial" w:cs="Arial"/>
          <w:bCs/>
          <w:sz w:val="24"/>
          <w:szCs w:val="24"/>
        </w:rPr>
        <w:t xml:space="preserve"> </w:t>
      </w:r>
      <w:r w:rsidR="00B75AEB" w:rsidRPr="005263CC">
        <w:rPr>
          <w:rFonts w:ascii="Arial" w:hAnsi="Arial" w:cs="Arial"/>
          <w:bCs/>
          <w:sz w:val="24"/>
          <w:szCs w:val="24"/>
        </w:rPr>
        <w:t>que las conclusiones y evidencias obtenidas son las que se</w:t>
      </w:r>
      <w:r w:rsidR="00412A7F" w:rsidRPr="005263CC">
        <w:rPr>
          <w:rFonts w:ascii="Arial" w:hAnsi="Arial" w:cs="Arial"/>
          <w:bCs/>
          <w:sz w:val="24"/>
          <w:szCs w:val="24"/>
        </w:rPr>
        <w:t xml:space="preserve"> </w:t>
      </w:r>
      <w:r w:rsidR="00312FCE" w:rsidRPr="005263CC">
        <w:rPr>
          <w:rFonts w:ascii="Arial" w:hAnsi="Arial" w:cs="Arial"/>
          <w:bCs/>
          <w:sz w:val="24"/>
          <w:szCs w:val="24"/>
        </w:rPr>
        <w:t>expresan</w:t>
      </w:r>
      <w:r w:rsidR="00B75AEB" w:rsidRPr="005263CC">
        <w:rPr>
          <w:rFonts w:ascii="Arial" w:hAnsi="Arial" w:cs="Arial"/>
          <w:bCs/>
          <w:sz w:val="24"/>
          <w:szCs w:val="24"/>
        </w:rPr>
        <w:t xml:space="preserve"> en el Informe de Auditoría que comprende Dictamen e Informe a la</w:t>
      </w:r>
      <w:r w:rsidR="00412A7F" w:rsidRPr="005263CC">
        <w:rPr>
          <w:rFonts w:ascii="Arial" w:hAnsi="Arial" w:cs="Arial"/>
          <w:bCs/>
          <w:sz w:val="24"/>
          <w:szCs w:val="24"/>
        </w:rPr>
        <w:t xml:space="preserve"> </w:t>
      </w:r>
      <w:r w:rsidR="00B75AEB" w:rsidRPr="005263CC">
        <w:rPr>
          <w:rFonts w:ascii="Arial" w:hAnsi="Arial" w:cs="Arial"/>
          <w:bCs/>
          <w:sz w:val="24"/>
          <w:szCs w:val="24"/>
        </w:rPr>
        <w:t>Asamblea General;</w:t>
      </w:r>
    </w:p>
    <w:p w:rsidR="00B75AEB" w:rsidRPr="005263CC" w:rsidRDefault="00B75AEB" w:rsidP="005263CC">
      <w:pPr>
        <w:keepNext/>
        <w:widowControl w:val="0"/>
        <w:autoSpaceDE w:val="0"/>
        <w:autoSpaceDN w:val="0"/>
        <w:adjustRightInd w:val="0"/>
        <w:spacing w:after="0"/>
        <w:ind w:firstLine="851"/>
        <w:contextualSpacing/>
        <w:jc w:val="both"/>
        <w:rPr>
          <w:rFonts w:ascii="Arial" w:hAnsi="Arial" w:cs="Arial"/>
          <w:bCs/>
          <w:sz w:val="24"/>
          <w:szCs w:val="24"/>
        </w:rPr>
      </w:pPr>
      <w:r w:rsidRPr="005263CC">
        <w:rPr>
          <w:rFonts w:ascii="Arial" w:hAnsi="Arial" w:cs="Arial"/>
          <w:b/>
          <w:bCs/>
          <w:sz w:val="24"/>
          <w:szCs w:val="24"/>
        </w:rPr>
        <w:t>ATENTO:</w:t>
      </w:r>
      <w:r w:rsidRPr="005263CC">
        <w:rPr>
          <w:rFonts w:ascii="Arial" w:hAnsi="Arial" w:cs="Arial"/>
          <w:bCs/>
          <w:sz w:val="24"/>
          <w:szCs w:val="24"/>
        </w:rPr>
        <w:t xml:space="preserve"> a lo dispuesto por el Artículo 211 Literal C) de la Constitución de la</w:t>
      </w:r>
      <w:r w:rsidR="00412A7F" w:rsidRPr="005263CC">
        <w:rPr>
          <w:rFonts w:ascii="Arial" w:hAnsi="Arial" w:cs="Arial"/>
          <w:bCs/>
          <w:sz w:val="24"/>
          <w:szCs w:val="24"/>
        </w:rPr>
        <w:t xml:space="preserve"> </w:t>
      </w:r>
      <w:r w:rsidRPr="005263CC">
        <w:rPr>
          <w:rFonts w:ascii="Arial" w:hAnsi="Arial" w:cs="Arial"/>
          <w:bCs/>
          <w:sz w:val="24"/>
          <w:szCs w:val="24"/>
        </w:rPr>
        <w:t>República, el Artículo 111 del TOCAF y a lo expuesto precedentemente;</w:t>
      </w:r>
    </w:p>
    <w:p w:rsidR="00B75AEB" w:rsidRPr="005263CC" w:rsidRDefault="00B75AEB" w:rsidP="005263CC">
      <w:pPr>
        <w:keepNext/>
        <w:widowControl w:val="0"/>
        <w:autoSpaceDE w:val="0"/>
        <w:autoSpaceDN w:val="0"/>
        <w:adjustRightInd w:val="0"/>
        <w:spacing w:after="0"/>
        <w:contextualSpacing/>
        <w:jc w:val="center"/>
        <w:rPr>
          <w:rFonts w:ascii="Arial" w:hAnsi="Arial" w:cs="Arial"/>
          <w:b/>
          <w:bCs/>
          <w:sz w:val="24"/>
          <w:szCs w:val="24"/>
        </w:rPr>
      </w:pPr>
      <w:r w:rsidRPr="005263CC">
        <w:rPr>
          <w:rFonts w:ascii="Arial" w:hAnsi="Arial" w:cs="Arial"/>
          <w:b/>
          <w:bCs/>
          <w:sz w:val="24"/>
          <w:szCs w:val="24"/>
        </w:rPr>
        <w:t>EL TRIBUNAL ACUERDA</w:t>
      </w:r>
    </w:p>
    <w:p w:rsidR="00B75AEB" w:rsidRPr="005263CC" w:rsidRDefault="00B75AEB" w:rsidP="005263CC">
      <w:pPr>
        <w:keepNext/>
        <w:widowControl w:val="0"/>
        <w:autoSpaceDE w:val="0"/>
        <w:autoSpaceDN w:val="0"/>
        <w:adjustRightInd w:val="0"/>
        <w:spacing w:after="0"/>
        <w:ind w:left="284" w:hanging="284"/>
        <w:contextualSpacing/>
        <w:jc w:val="both"/>
        <w:rPr>
          <w:rFonts w:ascii="Arial" w:hAnsi="Arial" w:cs="Arial"/>
          <w:bCs/>
          <w:sz w:val="24"/>
          <w:szCs w:val="24"/>
        </w:rPr>
      </w:pPr>
      <w:r w:rsidRPr="005263CC">
        <w:rPr>
          <w:rFonts w:ascii="Arial" w:hAnsi="Arial" w:cs="Arial"/>
          <w:b/>
          <w:bCs/>
          <w:sz w:val="24"/>
          <w:szCs w:val="24"/>
        </w:rPr>
        <w:t>1)</w:t>
      </w:r>
      <w:r w:rsidRPr="005263CC">
        <w:rPr>
          <w:rFonts w:ascii="Arial" w:hAnsi="Arial" w:cs="Arial"/>
          <w:bCs/>
          <w:sz w:val="24"/>
          <w:szCs w:val="24"/>
        </w:rPr>
        <w:t xml:space="preserve"> Aprobar el Informe de Auditoría respecto de la Rendición de Cuentas y</w:t>
      </w:r>
      <w:r w:rsidR="00FE2821" w:rsidRPr="005263CC">
        <w:rPr>
          <w:rFonts w:ascii="Arial" w:hAnsi="Arial" w:cs="Arial"/>
          <w:bCs/>
          <w:sz w:val="24"/>
          <w:szCs w:val="24"/>
        </w:rPr>
        <w:t xml:space="preserve"> </w:t>
      </w:r>
      <w:r w:rsidRPr="005263CC">
        <w:rPr>
          <w:rFonts w:ascii="Arial" w:hAnsi="Arial" w:cs="Arial"/>
          <w:bCs/>
          <w:sz w:val="24"/>
          <w:szCs w:val="24"/>
        </w:rPr>
        <w:t>Balance de Ejecución Presupuestal del Ejercicio 201</w:t>
      </w:r>
      <w:r w:rsidR="00786961" w:rsidRPr="005263CC">
        <w:rPr>
          <w:rFonts w:ascii="Arial" w:hAnsi="Arial" w:cs="Arial"/>
          <w:bCs/>
          <w:sz w:val="24"/>
          <w:szCs w:val="24"/>
        </w:rPr>
        <w:t>5</w:t>
      </w:r>
      <w:r w:rsidRPr="005263CC">
        <w:rPr>
          <w:rFonts w:ascii="Arial" w:hAnsi="Arial" w:cs="Arial"/>
          <w:bCs/>
          <w:sz w:val="24"/>
          <w:szCs w:val="24"/>
        </w:rPr>
        <w:t>;</w:t>
      </w:r>
    </w:p>
    <w:p w:rsidR="00B75AEB" w:rsidRPr="005263CC" w:rsidRDefault="00B75AEB" w:rsidP="005263CC">
      <w:pPr>
        <w:keepNext/>
        <w:widowControl w:val="0"/>
        <w:autoSpaceDE w:val="0"/>
        <w:autoSpaceDN w:val="0"/>
        <w:adjustRightInd w:val="0"/>
        <w:spacing w:after="0"/>
        <w:contextualSpacing/>
        <w:jc w:val="both"/>
        <w:rPr>
          <w:rFonts w:ascii="Arial" w:hAnsi="Arial" w:cs="Arial"/>
          <w:bCs/>
          <w:sz w:val="24"/>
          <w:szCs w:val="24"/>
        </w:rPr>
      </w:pPr>
      <w:r w:rsidRPr="005263CC">
        <w:rPr>
          <w:rFonts w:ascii="Arial" w:hAnsi="Arial" w:cs="Arial"/>
          <w:b/>
          <w:bCs/>
          <w:sz w:val="24"/>
          <w:szCs w:val="24"/>
        </w:rPr>
        <w:lastRenderedPageBreak/>
        <w:t>2)</w:t>
      </w:r>
      <w:r w:rsidRPr="005263CC">
        <w:rPr>
          <w:rFonts w:ascii="Arial" w:hAnsi="Arial" w:cs="Arial"/>
          <w:bCs/>
          <w:sz w:val="24"/>
          <w:szCs w:val="24"/>
        </w:rPr>
        <w:t xml:space="preserve"> Comunicar la presente Resolución al Poder Ejecutivo</w:t>
      </w:r>
      <w:r w:rsidR="005E7252" w:rsidRPr="005263CC">
        <w:rPr>
          <w:rFonts w:ascii="Arial" w:hAnsi="Arial" w:cs="Arial"/>
          <w:bCs/>
          <w:sz w:val="24"/>
          <w:szCs w:val="24"/>
        </w:rPr>
        <w:t>; y</w:t>
      </w:r>
    </w:p>
    <w:p w:rsidR="00870DEE" w:rsidRPr="005263CC" w:rsidRDefault="00B75AEB" w:rsidP="005263CC">
      <w:pPr>
        <w:keepNext/>
        <w:widowControl w:val="0"/>
        <w:autoSpaceDE w:val="0"/>
        <w:autoSpaceDN w:val="0"/>
        <w:adjustRightInd w:val="0"/>
        <w:spacing w:after="0"/>
        <w:contextualSpacing/>
        <w:jc w:val="both"/>
        <w:rPr>
          <w:rFonts w:ascii="Arial" w:hAnsi="Arial" w:cs="Arial"/>
          <w:bCs/>
          <w:sz w:val="24"/>
          <w:szCs w:val="24"/>
        </w:rPr>
      </w:pPr>
      <w:r w:rsidRPr="005263CC">
        <w:rPr>
          <w:rFonts w:ascii="Arial" w:hAnsi="Arial" w:cs="Arial"/>
          <w:b/>
          <w:bCs/>
          <w:sz w:val="24"/>
          <w:szCs w:val="24"/>
        </w:rPr>
        <w:t>3)</w:t>
      </w:r>
      <w:r w:rsidRPr="005263CC">
        <w:rPr>
          <w:rFonts w:ascii="Arial" w:hAnsi="Arial" w:cs="Arial"/>
          <w:bCs/>
          <w:sz w:val="24"/>
          <w:szCs w:val="24"/>
        </w:rPr>
        <w:t xml:space="preserve"> Dar cuenta a la Asamblea General.</w:t>
      </w:r>
    </w:p>
    <w:p w:rsidR="008A2239" w:rsidRPr="005263CC" w:rsidRDefault="008A2239" w:rsidP="005263CC">
      <w:pPr>
        <w:keepNext/>
        <w:widowControl w:val="0"/>
        <w:autoSpaceDE w:val="0"/>
        <w:autoSpaceDN w:val="0"/>
        <w:adjustRightInd w:val="0"/>
        <w:spacing w:after="0"/>
        <w:contextualSpacing/>
        <w:jc w:val="both"/>
        <w:rPr>
          <w:rFonts w:ascii="Arial" w:hAnsi="Arial" w:cs="Arial"/>
          <w:bCs/>
          <w:sz w:val="24"/>
          <w:szCs w:val="24"/>
        </w:rPr>
      </w:pPr>
    </w:p>
    <w:p w:rsidR="005263CC" w:rsidRPr="005263CC" w:rsidRDefault="005263CC" w:rsidP="005263CC">
      <w:pPr>
        <w:keepNext/>
        <w:widowControl w:val="0"/>
        <w:autoSpaceDE w:val="0"/>
        <w:autoSpaceDN w:val="0"/>
        <w:adjustRightInd w:val="0"/>
        <w:spacing w:after="0"/>
        <w:contextualSpacing/>
        <w:jc w:val="both"/>
        <w:rPr>
          <w:rFonts w:ascii="Arial" w:hAnsi="Arial" w:cs="Arial"/>
          <w:bCs/>
          <w:sz w:val="24"/>
          <w:szCs w:val="24"/>
        </w:rPr>
      </w:pPr>
      <w:proofErr w:type="spellStart"/>
      <w:proofErr w:type="gramStart"/>
      <w:r w:rsidRPr="005263CC">
        <w:rPr>
          <w:rFonts w:ascii="Arial" w:hAnsi="Arial" w:cs="Arial"/>
          <w:bCs/>
          <w:sz w:val="24"/>
          <w:szCs w:val="24"/>
        </w:rPr>
        <w:t>ag</w:t>
      </w:r>
      <w:proofErr w:type="spellEnd"/>
      <w:proofErr w:type="gramEnd"/>
    </w:p>
    <w:p w:rsidR="005263CC" w:rsidRPr="005263CC" w:rsidRDefault="005263CC" w:rsidP="005263CC">
      <w:pPr>
        <w:keepNext/>
        <w:widowControl w:val="0"/>
        <w:autoSpaceDE w:val="0"/>
        <w:autoSpaceDN w:val="0"/>
        <w:adjustRightInd w:val="0"/>
        <w:spacing w:after="0"/>
        <w:contextualSpacing/>
        <w:jc w:val="both"/>
        <w:rPr>
          <w:rFonts w:ascii="Arial" w:hAnsi="Arial" w:cs="Arial"/>
          <w:bCs/>
          <w:sz w:val="24"/>
          <w:szCs w:val="24"/>
        </w:rPr>
      </w:pPr>
    </w:p>
    <w:p w:rsidR="005263CC" w:rsidRDefault="005263CC" w:rsidP="005263CC">
      <w:pPr>
        <w:keepNext/>
        <w:widowControl w:val="0"/>
        <w:autoSpaceDE w:val="0"/>
        <w:autoSpaceDN w:val="0"/>
        <w:adjustRightInd w:val="0"/>
        <w:spacing w:after="0"/>
        <w:contextualSpacing/>
        <w:jc w:val="both"/>
        <w:rPr>
          <w:rFonts w:ascii="Arial" w:hAnsi="Arial" w:cs="Arial"/>
          <w:bCs/>
          <w:sz w:val="24"/>
          <w:szCs w:val="24"/>
        </w:rPr>
      </w:pPr>
    </w:p>
    <w:p w:rsidR="00C91DBB" w:rsidRPr="005263CC" w:rsidRDefault="00C91DBB" w:rsidP="005263CC">
      <w:pPr>
        <w:keepNext/>
        <w:widowControl w:val="0"/>
        <w:autoSpaceDE w:val="0"/>
        <w:autoSpaceDN w:val="0"/>
        <w:adjustRightInd w:val="0"/>
        <w:spacing w:after="0"/>
        <w:contextualSpacing/>
        <w:jc w:val="both"/>
        <w:rPr>
          <w:rFonts w:ascii="Arial" w:hAnsi="Arial" w:cs="Arial"/>
          <w:bCs/>
          <w:sz w:val="24"/>
          <w:szCs w:val="24"/>
        </w:rPr>
      </w:pPr>
    </w:p>
    <w:p w:rsidR="005263CC" w:rsidRDefault="005263CC" w:rsidP="005263CC">
      <w:pPr>
        <w:keepNext/>
        <w:widowControl w:val="0"/>
        <w:jc w:val="center"/>
        <w:rPr>
          <w:rFonts w:ascii="Arial" w:hAnsi="Arial" w:cs="Arial"/>
          <w:b/>
          <w:sz w:val="24"/>
          <w:szCs w:val="24"/>
        </w:rPr>
      </w:pPr>
      <w:r w:rsidRPr="005263CC">
        <w:rPr>
          <w:rFonts w:ascii="Arial" w:hAnsi="Arial" w:cs="Arial"/>
          <w:b/>
          <w:sz w:val="24"/>
          <w:szCs w:val="24"/>
        </w:rPr>
        <w:t>DICTAMEN</w:t>
      </w:r>
    </w:p>
    <w:p w:rsidR="005263CC" w:rsidRPr="005263CC" w:rsidRDefault="005263CC" w:rsidP="005263CC">
      <w:pPr>
        <w:keepNext/>
        <w:widowControl w:val="0"/>
        <w:spacing w:after="260"/>
        <w:jc w:val="both"/>
        <w:rPr>
          <w:rFonts w:ascii="Arial" w:eastAsia="Times New Roman" w:hAnsi="Arial" w:cs="Arial"/>
          <w:sz w:val="24"/>
          <w:szCs w:val="24"/>
          <w:lang w:val="es-ES" w:eastAsia="es-ES"/>
        </w:rPr>
      </w:pPr>
      <w:r w:rsidRPr="005263CC">
        <w:rPr>
          <w:rFonts w:ascii="Arial" w:eastAsia="Times New Roman" w:hAnsi="Arial" w:cs="Arial"/>
          <w:sz w:val="24"/>
          <w:szCs w:val="24"/>
          <w:lang w:val="es-ES" w:eastAsia="es-ES"/>
        </w:rPr>
        <w:t xml:space="preserve">El Tribunal de Cuentas ha examinado  la Rendición de Cuentas y  el Balance de Ejecución Presupuestal del Gobierno Central por el ejercicio finalizado el                          31-12-2015 que comprenden: Tomo I (Resúmenes), Tomo III (Funcionamiento </w:t>
      </w:r>
      <w:proofErr w:type="gramStart"/>
      <w:r w:rsidRPr="005263CC">
        <w:rPr>
          <w:rFonts w:ascii="Arial" w:eastAsia="Times New Roman" w:hAnsi="Arial" w:cs="Arial"/>
          <w:sz w:val="24"/>
          <w:szCs w:val="24"/>
          <w:lang w:val="es-ES" w:eastAsia="es-ES"/>
        </w:rPr>
        <w:t>e</w:t>
      </w:r>
      <w:proofErr w:type="gramEnd"/>
      <w:r w:rsidRPr="005263CC">
        <w:rPr>
          <w:rFonts w:ascii="Arial" w:eastAsia="Times New Roman" w:hAnsi="Arial" w:cs="Arial"/>
          <w:sz w:val="24"/>
          <w:szCs w:val="24"/>
          <w:lang w:val="es-ES" w:eastAsia="es-ES"/>
        </w:rPr>
        <w:t xml:space="preserve"> Inversión), Tomo IV (Recursos) y Tomo V (Rendición de Cuentas de Incisos)</w:t>
      </w:r>
      <w:r w:rsidRPr="005263CC">
        <w:rPr>
          <w:rFonts w:ascii="Arial" w:eastAsia="Times New Roman" w:hAnsi="Arial" w:cs="Arial"/>
          <w:i/>
          <w:sz w:val="24"/>
          <w:szCs w:val="24"/>
          <w:lang w:val="es-ES" w:eastAsia="es-ES"/>
        </w:rPr>
        <w:t xml:space="preserve">, </w:t>
      </w:r>
      <w:r w:rsidRPr="005263CC">
        <w:rPr>
          <w:rFonts w:ascii="Arial" w:eastAsia="Times New Roman" w:hAnsi="Arial" w:cs="Arial"/>
          <w:sz w:val="24"/>
          <w:szCs w:val="24"/>
          <w:lang w:val="es-ES" w:eastAsia="es-ES"/>
        </w:rPr>
        <w:t>los Anexos y las notas de políticas contables significativas y otras notas explicativas a los estados.</w:t>
      </w:r>
    </w:p>
    <w:p w:rsidR="005263CC" w:rsidRPr="005263CC" w:rsidRDefault="005263CC" w:rsidP="005263CC">
      <w:pPr>
        <w:keepNext/>
        <w:widowControl w:val="0"/>
        <w:spacing w:after="260"/>
        <w:jc w:val="both"/>
        <w:rPr>
          <w:rFonts w:ascii="Arial" w:hAnsi="Arial" w:cs="Arial"/>
          <w:sz w:val="24"/>
          <w:szCs w:val="24"/>
        </w:rPr>
      </w:pPr>
      <w:r w:rsidRPr="005263CC">
        <w:rPr>
          <w:rFonts w:ascii="Arial" w:hAnsi="Arial" w:cs="Arial"/>
          <w:sz w:val="24"/>
          <w:szCs w:val="24"/>
        </w:rPr>
        <w:t>También se presentan, en caso de corresponder, los incumplimientos legales constatados por el Tribunal de Cuentas en el curso de la auditoría efectuada.</w:t>
      </w:r>
    </w:p>
    <w:p w:rsidR="005263CC" w:rsidRPr="005263CC" w:rsidRDefault="00C91DBB" w:rsidP="005263CC">
      <w:pPr>
        <w:keepNext/>
        <w:widowControl w:val="0"/>
        <w:spacing w:after="260"/>
        <w:jc w:val="both"/>
        <w:rPr>
          <w:rFonts w:ascii="Arial" w:eastAsia="Times New Roman" w:hAnsi="Arial" w:cs="Arial"/>
          <w:b/>
          <w:sz w:val="24"/>
          <w:szCs w:val="24"/>
          <w:lang w:val="es-ES" w:eastAsia="es-ES"/>
        </w:rPr>
      </w:pPr>
      <w:r>
        <w:rPr>
          <w:rFonts w:ascii="Arial" w:eastAsia="Times New Roman" w:hAnsi="Arial" w:cs="Arial"/>
          <w:b/>
          <w:sz w:val="24"/>
          <w:szCs w:val="24"/>
          <w:lang w:val="es-ES" w:eastAsia="es-ES"/>
        </w:rPr>
        <w:t>Responsabilidad de la Dirección</w:t>
      </w:r>
    </w:p>
    <w:p w:rsidR="005263CC" w:rsidRDefault="005263CC" w:rsidP="005263CC">
      <w:pPr>
        <w:keepNext/>
        <w:widowControl w:val="0"/>
        <w:spacing w:after="260"/>
        <w:jc w:val="both"/>
        <w:rPr>
          <w:rFonts w:ascii="Arial" w:eastAsia="Times New Roman" w:hAnsi="Arial" w:cs="Arial"/>
          <w:sz w:val="24"/>
          <w:szCs w:val="24"/>
          <w:lang w:val="es-ES" w:eastAsia="es-ES"/>
        </w:rPr>
      </w:pPr>
      <w:r w:rsidRPr="005263CC">
        <w:rPr>
          <w:rFonts w:ascii="Arial" w:eastAsia="Times New Roman" w:hAnsi="Arial" w:cs="Arial"/>
          <w:sz w:val="24"/>
          <w:szCs w:val="24"/>
          <w:lang w:val="es-ES" w:eastAsia="es-ES"/>
        </w:rPr>
        <w:t xml:space="preserve">El Ministerio de Economía y Finanzas, por intermedio de la Contaduría General de la Nación </w:t>
      </w:r>
      <w:r w:rsidRPr="005263CC">
        <w:rPr>
          <w:rFonts w:ascii="Arial" w:eastAsia="Times New Roman" w:hAnsi="Arial" w:cs="Arial"/>
          <w:i/>
          <w:sz w:val="24"/>
          <w:szCs w:val="24"/>
          <w:lang w:val="es-ES" w:eastAsia="es-ES"/>
        </w:rPr>
        <w:t xml:space="preserve"> </w:t>
      </w:r>
      <w:r w:rsidRPr="005263CC">
        <w:rPr>
          <w:rFonts w:ascii="Arial" w:eastAsia="Times New Roman" w:hAnsi="Arial" w:cs="Arial"/>
          <w:sz w:val="24"/>
          <w:szCs w:val="24"/>
          <w:lang w:val="es-ES" w:eastAsia="es-ES"/>
        </w:rPr>
        <w:t>es responsable por la preparación y la razonable presentación de estos estados de ejecución presupuestal de acuerdo con el Artículo 214 de la Constitución de la República y el Artículo 128 del T.O.C.A.F</w:t>
      </w:r>
      <w:r w:rsidRPr="005263CC">
        <w:rPr>
          <w:rFonts w:ascii="Arial" w:eastAsia="Times New Roman" w:hAnsi="Arial" w:cs="Arial"/>
          <w:i/>
          <w:sz w:val="24"/>
          <w:szCs w:val="24"/>
          <w:lang w:val="es-ES" w:eastAsia="es-ES"/>
        </w:rPr>
        <w:t xml:space="preserve">. </w:t>
      </w:r>
      <w:r w:rsidRPr="005263CC">
        <w:rPr>
          <w:rFonts w:ascii="Arial" w:eastAsia="Times New Roman" w:hAnsi="Arial" w:cs="Arial"/>
          <w:sz w:val="24"/>
          <w:szCs w:val="24"/>
          <w:lang w:val="es-ES" w:eastAsia="es-ES"/>
        </w:rPr>
        <w:t>Esta responsabilidad incluye diseñar, implementar y mantener un control interno adecuado para la preparación y presentación razonable de los estados que estén libres de errores significativos, ya sea debido a fraude o error, seleccionar y aplicar políticas apropiadas.</w:t>
      </w:r>
    </w:p>
    <w:p w:rsidR="00C91DBB" w:rsidRPr="005263CC" w:rsidRDefault="00C91DBB" w:rsidP="005263CC">
      <w:pPr>
        <w:keepNext/>
        <w:widowControl w:val="0"/>
        <w:spacing w:after="260"/>
        <w:jc w:val="both"/>
        <w:rPr>
          <w:rFonts w:ascii="Arial" w:eastAsia="Times New Roman" w:hAnsi="Arial" w:cs="Arial"/>
          <w:sz w:val="24"/>
          <w:szCs w:val="24"/>
          <w:lang w:val="es-ES" w:eastAsia="es-ES"/>
        </w:rPr>
      </w:pPr>
    </w:p>
    <w:p w:rsidR="005263CC" w:rsidRPr="005263CC" w:rsidRDefault="005263CC" w:rsidP="005263CC">
      <w:pPr>
        <w:keepNext/>
        <w:widowControl w:val="0"/>
        <w:spacing w:after="260"/>
        <w:jc w:val="both"/>
        <w:rPr>
          <w:rFonts w:ascii="Arial" w:eastAsia="Times New Roman" w:hAnsi="Arial" w:cs="Arial"/>
          <w:sz w:val="24"/>
          <w:szCs w:val="24"/>
          <w:lang w:val="es-ES" w:eastAsia="es-ES"/>
        </w:rPr>
      </w:pPr>
      <w:r w:rsidRPr="005263CC">
        <w:rPr>
          <w:rFonts w:ascii="Arial" w:eastAsia="Times New Roman" w:hAnsi="Arial" w:cs="Arial"/>
          <w:b/>
          <w:sz w:val="24"/>
          <w:szCs w:val="24"/>
          <w:lang w:val="es-ES" w:eastAsia="es-ES"/>
        </w:rPr>
        <w:t>Responsabilidad del auditor</w:t>
      </w:r>
    </w:p>
    <w:p w:rsidR="005263CC" w:rsidRPr="005263CC" w:rsidRDefault="005263CC" w:rsidP="005263CC">
      <w:pPr>
        <w:keepNext/>
        <w:widowControl w:val="0"/>
        <w:spacing w:after="260"/>
        <w:jc w:val="both"/>
        <w:rPr>
          <w:rFonts w:ascii="Arial" w:eastAsia="Times New Roman" w:hAnsi="Arial" w:cs="Arial"/>
          <w:sz w:val="24"/>
          <w:szCs w:val="24"/>
          <w:lang w:val="es-ES" w:eastAsia="es-ES"/>
        </w:rPr>
      </w:pPr>
      <w:r w:rsidRPr="005263CC">
        <w:rPr>
          <w:rFonts w:ascii="Arial" w:eastAsia="Times New Roman" w:hAnsi="Arial" w:cs="Arial"/>
          <w:sz w:val="24"/>
          <w:szCs w:val="24"/>
          <w:lang w:val="es-ES" w:eastAsia="es-ES"/>
        </w:rPr>
        <w:t xml:space="preserve">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estén libres de errores </w:t>
      </w:r>
      <w:r w:rsidR="00C91DBB">
        <w:rPr>
          <w:rFonts w:ascii="Arial" w:eastAsia="Times New Roman" w:hAnsi="Arial" w:cs="Arial"/>
          <w:sz w:val="24"/>
          <w:szCs w:val="24"/>
          <w:lang w:val="es-ES" w:eastAsia="es-ES"/>
        </w:rPr>
        <w:t>significativos.</w:t>
      </w:r>
    </w:p>
    <w:p w:rsidR="005263CC" w:rsidRPr="005263CC" w:rsidRDefault="005263CC" w:rsidP="005263CC">
      <w:pPr>
        <w:keepNext/>
        <w:widowControl w:val="0"/>
        <w:spacing w:after="260"/>
        <w:jc w:val="both"/>
        <w:rPr>
          <w:rFonts w:ascii="Arial" w:eastAsia="Times New Roman" w:hAnsi="Arial" w:cs="Arial"/>
          <w:sz w:val="24"/>
          <w:szCs w:val="24"/>
          <w:lang w:val="es-ES" w:eastAsia="es-ES"/>
        </w:rPr>
      </w:pPr>
      <w:r w:rsidRPr="005263CC">
        <w:rPr>
          <w:rFonts w:ascii="Arial" w:eastAsia="Times New Roman" w:hAnsi="Arial" w:cs="Arial"/>
          <w:sz w:val="24"/>
          <w:szCs w:val="24"/>
          <w:lang w:val="es-ES" w:eastAsia="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5263CC" w:rsidRDefault="005263CC" w:rsidP="005263CC">
      <w:pPr>
        <w:keepNext/>
        <w:widowControl w:val="0"/>
        <w:spacing w:after="260"/>
        <w:jc w:val="both"/>
        <w:rPr>
          <w:rFonts w:ascii="Arial" w:eastAsia="Times New Roman" w:hAnsi="Arial" w:cs="Arial"/>
          <w:sz w:val="24"/>
          <w:szCs w:val="24"/>
          <w:lang w:val="es-ES" w:eastAsia="es-ES"/>
        </w:rPr>
      </w:pPr>
      <w:r w:rsidRPr="005263CC">
        <w:rPr>
          <w:rFonts w:ascii="Arial" w:eastAsia="Times New Roman" w:hAnsi="Arial" w:cs="Arial"/>
          <w:sz w:val="24"/>
          <w:szCs w:val="24"/>
          <w:lang w:val="es-ES" w:eastAsia="es-ES"/>
        </w:rPr>
        <w:t>Se considera que la evidencia de auditoría obtenida brinda una base suficiente y apropiada para sustentar la opinión.</w:t>
      </w:r>
    </w:p>
    <w:p w:rsidR="005263CC" w:rsidRPr="005263CC" w:rsidRDefault="005263CC" w:rsidP="005263CC">
      <w:pPr>
        <w:keepNext/>
        <w:widowControl w:val="0"/>
        <w:spacing w:after="130"/>
        <w:jc w:val="both"/>
        <w:rPr>
          <w:rFonts w:ascii="Arial" w:hAnsi="Arial" w:cs="Arial"/>
          <w:b/>
          <w:sz w:val="24"/>
          <w:szCs w:val="24"/>
        </w:rPr>
      </w:pPr>
      <w:r w:rsidRPr="005263CC">
        <w:rPr>
          <w:rFonts w:ascii="Arial" w:hAnsi="Arial" w:cs="Arial"/>
          <w:b/>
          <w:sz w:val="24"/>
          <w:szCs w:val="24"/>
        </w:rPr>
        <w:t>Bases para la abstención de opinión sobre los Estados de Situación del Tesoro y Fuentes y Usos de Fondos</w:t>
      </w:r>
    </w:p>
    <w:p w:rsidR="005263CC" w:rsidRPr="005263CC" w:rsidRDefault="005263CC" w:rsidP="005263CC">
      <w:pPr>
        <w:keepNext/>
        <w:widowControl w:val="0"/>
        <w:spacing w:after="0"/>
        <w:jc w:val="both"/>
        <w:rPr>
          <w:rFonts w:ascii="Arial" w:hAnsi="Arial" w:cs="Arial"/>
          <w:sz w:val="24"/>
          <w:szCs w:val="24"/>
        </w:rPr>
      </w:pPr>
      <w:r w:rsidRPr="005263CC">
        <w:rPr>
          <w:rFonts w:ascii="Arial" w:hAnsi="Arial" w:cs="Arial"/>
          <w:sz w:val="24"/>
          <w:szCs w:val="24"/>
        </w:rPr>
        <w:t>El “Estado de Situación del Tesoro al 31-12-2015” así como el de “Fuentes y Usos de Fondos Consolidado” no fueron formulados a partir de un sistema contable del organismo emisor y no está integrado al Sistema Integrado de Información Financiera (SIIF).</w:t>
      </w:r>
    </w:p>
    <w:p w:rsidR="005263CC" w:rsidRPr="005263CC" w:rsidRDefault="005263CC" w:rsidP="005263CC">
      <w:pPr>
        <w:keepNext/>
        <w:widowControl w:val="0"/>
        <w:spacing w:after="0"/>
        <w:jc w:val="both"/>
        <w:rPr>
          <w:rFonts w:ascii="Arial" w:hAnsi="Arial" w:cs="Arial"/>
          <w:sz w:val="24"/>
          <w:szCs w:val="24"/>
        </w:rPr>
      </w:pPr>
      <w:r w:rsidRPr="005263CC">
        <w:rPr>
          <w:rFonts w:ascii="Arial" w:hAnsi="Arial" w:cs="Arial"/>
          <w:sz w:val="24"/>
          <w:szCs w:val="24"/>
        </w:rPr>
        <w:t>En consecuencia se exponen ciertos activos y pasivos del Gobierno que han sido identificados y cuantificados, pero no se refiere al patrimonio en su totalidad y a su evolución económica y financiera en el período.</w:t>
      </w:r>
    </w:p>
    <w:p w:rsidR="005263CC" w:rsidRPr="005263CC" w:rsidRDefault="005263CC" w:rsidP="005263CC">
      <w:pPr>
        <w:keepNext/>
        <w:widowControl w:val="0"/>
        <w:spacing w:after="260"/>
        <w:jc w:val="both"/>
        <w:rPr>
          <w:rFonts w:ascii="Arial" w:eastAsia="Times New Roman" w:hAnsi="Arial" w:cs="Arial"/>
          <w:sz w:val="24"/>
          <w:szCs w:val="24"/>
          <w:lang w:eastAsia="es-ES"/>
        </w:rPr>
      </w:pPr>
    </w:p>
    <w:p w:rsidR="005263CC" w:rsidRPr="005263CC" w:rsidRDefault="005263CC" w:rsidP="005263CC">
      <w:pPr>
        <w:keepNext/>
        <w:widowControl w:val="0"/>
        <w:spacing w:after="260"/>
        <w:jc w:val="both"/>
        <w:rPr>
          <w:rFonts w:ascii="Arial" w:eastAsia="Times New Roman" w:hAnsi="Arial" w:cs="Arial"/>
          <w:b/>
          <w:sz w:val="24"/>
          <w:szCs w:val="24"/>
          <w:lang w:val="es-ES" w:eastAsia="es-ES"/>
        </w:rPr>
      </w:pPr>
      <w:r w:rsidRPr="005263CC">
        <w:rPr>
          <w:rFonts w:ascii="Arial" w:eastAsia="Times New Roman" w:hAnsi="Arial" w:cs="Arial"/>
          <w:b/>
          <w:sz w:val="24"/>
          <w:szCs w:val="24"/>
          <w:lang w:val="es-ES" w:eastAsia="es-ES"/>
        </w:rPr>
        <w:t>Opinión</w:t>
      </w:r>
    </w:p>
    <w:p w:rsidR="005263CC" w:rsidRPr="005263CC" w:rsidRDefault="005263CC" w:rsidP="005263CC">
      <w:pPr>
        <w:keepNext/>
        <w:widowControl w:val="0"/>
        <w:spacing w:after="260"/>
        <w:jc w:val="both"/>
        <w:rPr>
          <w:rFonts w:ascii="Arial" w:eastAsia="Times New Roman" w:hAnsi="Arial" w:cs="Arial"/>
          <w:sz w:val="24"/>
          <w:szCs w:val="24"/>
          <w:lang w:val="es-ES" w:eastAsia="es-ES"/>
        </w:rPr>
      </w:pPr>
      <w:r w:rsidRPr="005263CC">
        <w:rPr>
          <w:rFonts w:ascii="Arial" w:eastAsia="Times New Roman" w:hAnsi="Arial" w:cs="Arial"/>
          <w:sz w:val="24"/>
          <w:szCs w:val="24"/>
          <w:lang w:val="es-ES" w:eastAsia="es-ES"/>
        </w:rPr>
        <w:t>En opinión del Tribunal de Cuentas, el Estado de Resultados Consolidado (Tomo I-Capítulo I-Cuadro 1) presenta razonablemente, en todos sus aspectos importantes, la ejecución presupuestal del Gobierno Central</w:t>
      </w:r>
      <w:r w:rsidRPr="005263CC">
        <w:rPr>
          <w:rFonts w:ascii="Arial" w:eastAsia="Times New Roman" w:hAnsi="Arial" w:cs="Arial"/>
          <w:i/>
          <w:sz w:val="24"/>
          <w:szCs w:val="24"/>
          <w:lang w:val="es-ES" w:eastAsia="es-ES"/>
        </w:rPr>
        <w:t xml:space="preserve"> </w:t>
      </w:r>
      <w:r w:rsidRPr="005263CC">
        <w:rPr>
          <w:rFonts w:ascii="Arial" w:eastAsia="Times New Roman" w:hAnsi="Arial" w:cs="Arial"/>
          <w:sz w:val="24"/>
          <w:szCs w:val="24"/>
          <w:lang w:val="es-ES" w:eastAsia="es-ES"/>
        </w:rPr>
        <w:t>correspondiente al ejercicio finalizado el 31-12-2015, de acuerdo con el Texto Ordenado de Contabilidad y Adm</w:t>
      </w:r>
      <w:r w:rsidR="00C91DBB">
        <w:rPr>
          <w:rFonts w:ascii="Arial" w:eastAsia="Times New Roman" w:hAnsi="Arial" w:cs="Arial"/>
          <w:sz w:val="24"/>
          <w:szCs w:val="24"/>
          <w:lang w:val="es-ES" w:eastAsia="es-ES"/>
        </w:rPr>
        <w:t>inistración Financiera (TOCAF).</w:t>
      </w:r>
    </w:p>
    <w:p w:rsidR="005263CC" w:rsidRPr="005263CC" w:rsidRDefault="005263CC" w:rsidP="005263CC">
      <w:pPr>
        <w:keepNext/>
        <w:widowControl w:val="0"/>
        <w:spacing w:after="260"/>
        <w:jc w:val="both"/>
        <w:rPr>
          <w:rFonts w:ascii="Arial" w:eastAsia="Times New Roman" w:hAnsi="Arial" w:cs="Arial"/>
          <w:sz w:val="24"/>
          <w:szCs w:val="24"/>
          <w:lang w:val="es-ES" w:eastAsia="es-ES"/>
        </w:rPr>
      </w:pPr>
      <w:r w:rsidRPr="005263CC">
        <w:rPr>
          <w:rFonts w:ascii="Arial" w:eastAsia="Times New Roman" w:hAnsi="Arial" w:cs="Arial"/>
          <w:sz w:val="24"/>
          <w:szCs w:val="24"/>
          <w:lang w:val="es-ES" w:eastAsia="es-ES"/>
        </w:rPr>
        <w:t xml:space="preserve">Por lo expuesto en  el párrafo Bases para la abstención de opinión sobre los Estados de Situación del Tesoro y Fuentes y Usos de Fondos precedente, la información presentada no es suficiente para </w:t>
      </w:r>
      <w:r w:rsidRPr="005263CC">
        <w:rPr>
          <w:rFonts w:ascii="Arial" w:eastAsia="Times New Roman" w:hAnsi="Arial" w:cs="Arial"/>
          <w:sz w:val="24"/>
          <w:szCs w:val="24"/>
          <w:lang w:eastAsia="es-ES"/>
        </w:rPr>
        <w:t>permitir expresar, y por lo tanto no se expresa, una opinión sobre el “Estado de Situación del Tesoro  al 31/12/2015” (Cuadro 35) y el “Estado de Fuentes y Usos de Fondos Consolidado” (Cuadro 32).</w:t>
      </w:r>
    </w:p>
    <w:p w:rsidR="005263CC" w:rsidRDefault="005263CC" w:rsidP="005263CC">
      <w:pPr>
        <w:pStyle w:val="Textoindependiente2"/>
        <w:keepNext/>
        <w:widowControl w:val="0"/>
        <w:spacing w:after="0" w:line="360" w:lineRule="auto"/>
        <w:jc w:val="both"/>
        <w:rPr>
          <w:rFonts w:ascii="Arial" w:hAnsi="Arial" w:cs="Arial"/>
          <w:sz w:val="24"/>
          <w:szCs w:val="24"/>
        </w:rPr>
      </w:pPr>
      <w:r w:rsidRPr="005263CC">
        <w:rPr>
          <w:rFonts w:ascii="Arial" w:hAnsi="Arial" w:cs="Arial"/>
          <w:sz w:val="24"/>
          <w:szCs w:val="24"/>
        </w:rPr>
        <w:t>Con relación al cumplimiento de la normativa vigente, en el curso de la auditoría realizada, se ha constatado que:</w:t>
      </w:r>
    </w:p>
    <w:p w:rsidR="00A42D36" w:rsidRPr="005263CC" w:rsidRDefault="00A42D36" w:rsidP="005263CC">
      <w:pPr>
        <w:pStyle w:val="Textoindependiente2"/>
        <w:keepNext/>
        <w:widowControl w:val="0"/>
        <w:spacing w:after="0" w:line="360" w:lineRule="auto"/>
        <w:jc w:val="both"/>
        <w:rPr>
          <w:rFonts w:ascii="Arial" w:hAnsi="Arial" w:cs="Arial"/>
          <w:sz w:val="24"/>
          <w:szCs w:val="24"/>
        </w:rPr>
      </w:pPr>
    </w:p>
    <w:p w:rsidR="005263CC" w:rsidRPr="005263CC" w:rsidRDefault="005263CC" w:rsidP="005263CC">
      <w:pPr>
        <w:keepNext/>
        <w:widowControl w:val="0"/>
        <w:autoSpaceDE w:val="0"/>
        <w:autoSpaceDN w:val="0"/>
        <w:adjustRightInd w:val="0"/>
        <w:spacing w:after="0"/>
        <w:jc w:val="both"/>
        <w:rPr>
          <w:rFonts w:ascii="Arial" w:hAnsi="Arial" w:cs="Arial"/>
          <w:b/>
          <w:bCs/>
          <w:sz w:val="24"/>
          <w:szCs w:val="24"/>
        </w:rPr>
      </w:pPr>
      <w:r w:rsidRPr="005263CC">
        <w:rPr>
          <w:rFonts w:ascii="Arial" w:hAnsi="Arial" w:cs="Arial"/>
          <w:b/>
          <w:bCs/>
          <w:sz w:val="24"/>
          <w:szCs w:val="24"/>
        </w:rPr>
        <w:t>-  Artículo 101 del TOCAF y Ordenanza N° 81 del Tribunal de Cuentas.</w:t>
      </w:r>
    </w:p>
    <w:p w:rsid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 xml:space="preserve">La CGN no dio cumplimiento a lo preceptuado en este artículo, que dispone que </w:t>
      </w:r>
      <w:proofErr w:type="gramStart"/>
      <w:r w:rsidRPr="005263CC">
        <w:rPr>
          <w:rFonts w:ascii="Arial" w:hAnsi="Arial" w:cs="Arial"/>
          <w:sz w:val="24"/>
          <w:szCs w:val="24"/>
        </w:rPr>
        <w:t>debe</w:t>
      </w:r>
      <w:proofErr w:type="gramEnd"/>
      <w:r w:rsidRPr="005263CC">
        <w:rPr>
          <w:rFonts w:ascii="Arial" w:hAnsi="Arial" w:cs="Arial"/>
          <w:sz w:val="24"/>
          <w:szCs w:val="24"/>
        </w:rPr>
        <w:t xml:space="preserve"> llevar la contabilidad general de la Administración Central, presentar información consolidada de todo el sector público y administrar un sistema de información financiera que permita conocer la gestión económica y patrimonial. A su vez, no dio cumplimiento a la Ordenanza Nº 81 en relación a la obligación de presentar sus Estados Contables.</w:t>
      </w:r>
    </w:p>
    <w:p w:rsidR="00010BBB" w:rsidRPr="005263CC" w:rsidRDefault="00010BBB" w:rsidP="005263CC">
      <w:pPr>
        <w:keepNext/>
        <w:widowControl w:val="0"/>
        <w:autoSpaceDE w:val="0"/>
        <w:autoSpaceDN w:val="0"/>
        <w:adjustRightInd w:val="0"/>
        <w:spacing w:after="0"/>
        <w:jc w:val="both"/>
        <w:rPr>
          <w:rFonts w:ascii="Arial" w:hAnsi="Arial" w:cs="Arial"/>
          <w:sz w:val="24"/>
          <w:szCs w:val="24"/>
        </w:rPr>
      </w:pPr>
    </w:p>
    <w:p w:rsidR="005263CC" w:rsidRPr="005263CC" w:rsidRDefault="005263CC" w:rsidP="005263CC">
      <w:pPr>
        <w:keepNext/>
        <w:widowControl w:val="0"/>
        <w:autoSpaceDE w:val="0"/>
        <w:autoSpaceDN w:val="0"/>
        <w:adjustRightInd w:val="0"/>
        <w:spacing w:after="0"/>
        <w:jc w:val="both"/>
        <w:rPr>
          <w:rFonts w:ascii="Arial" w:hAnsi="Arial" w:cs="Arial"/>
          <w:b/>
          <w:bCs/>
          <w:sz w:val="24"/>
          <w:szCs w:val="24"/>
        </w:rPr>
      </w:pPr>
      <w:r w:rsidRPr="005263CC">
        <w:rPr>
          <w:rFonts w:ascii="Arial" w:hAnsi="Arial" w:cs="Arial"/>
          <w:b/>
          <w:bCs/>
          <w:sz w:val="24"/>
          <w:szCs w:val="24"/>
        </w:rPr>
        <w:t>- Artículo 211 Literal B) de la Constitución de la República y Artículos 13, 15 y 33 del TOCAF.</w:t>
      </w:r>
    </w:p>
    <w:p w:rsid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En el transcurso del ejercicio, el Tribunal de Cuentas observó gastos de los diferentes incisos, por no haber sido remitidos a la intervención preventiva de legalidad (Artículo 211 Literal B) de la Constitución de la República), por imputar gastos correspondientes a otro ejercicio (Artículo 13 del TOCAF), por falta de disponibilidad presupuestal (Artículo 15 del TOCAF), por apartarse de los procedimientos de contratación que hubieran correspondido (Artículo 33 del TOCAF) y por carecer de norma legal habilitante. Las resoluciones de este Tribunal correspondientes a reiteraciones fueron  comunicadas a la Asamblea General.</w:t>
      </w:r>
    </w:p>
    <w:p w:rsidR="00010BBB" w:rsidRPr="005263CC" w:rsidRDefault="00010BBB" w:rsidP="005263CC">
      <w:pPr>
        <w:keepNext/>
        <w:widowControl w:val="0"/>
        <w:autoSpaceDE w:val="0"/>
        <w:autoSpaceDN w:val="0"/>
        <w:adjustRightInd w:val="0"/>
        <w:spacing w:after="0"/>
        <w:jc w:val="both"/>
        <w:rPr>
          <w:rFonts w:ascii="Arial" w:hAnsi="Arial" w:cs="Arial"/>
          <w:sz w:val="24"/>
          <w:szCs w:val="24"/>
        </w:rPr>
      </w:pPr>
    </w:p>
    <w:p w:rsidR="005263CC" w:rsidRPr="005263CC" w:rsidRDefault="005263CC" w:rsidP="005263CC">
      <w:pPr>
        <w:keepNext/>
        <w:widowControl w:val="0"/>
        <w:autoSpaceDE w:val="0"/>
        <w:autoSpaceDN w:val="0"/>
        <w:adjustRightInd w:val="0"/>
        <w:spacing w:after="0"/>
        <w:jc w:val="both"/>
        <w:rPr>
          <w:rFonts w:ascii="Arial" w:hAnsi="Arial" w:cs="Arial"/>
          <w:b/>
          <w:bCs/>
          <w:sz w:val="24"/>
          <w:szCs w:val="24"/>
        </w:rPr>
      </w:pPr>
      <w:r w:rsidRPr="005263CC">
        <w:rPr>
          <w:rFonts w:ascii="Arial" w:hAnsi="Arial" w:cs="Arial"/>
          <w:b/>
          <w:bCs/>
          <w:sz w:val="24"/>
          <w:szCs w:val="24"/>
        </w:rPr>
        <w:t>- Ordenanza Nº 77, Artículo 9</w:t>
      </w:r>
    </w:p>
    <w:p w:rsid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Como consecuencia del examen practicado, respecto a los Organismos que entregan fondos a terceros, sujetos a rendición de cuentas, y que deben informar al Tribunal de Cuentas sobre el cumplimiento de los obligados al 31 de marzo y al 30 de setiembre de cada año, se constató que los Incisos 06, 07, 11, 13, 14, 15 y</w:t>
      </w:r>
      <w:r w:rsidRPr="005263CC">
        <w:rPr>
          <w:rFonts w:ascii="Arial" w:hAnsi="Arial" w:cs="Arial"/>
          <w:color w:val="FF0000"/>
          <w:sz w:val="24"/>
          <w:szCs w:val="24"/>
        </w:rPr>
        <w:t xml:space="preserve"> </w:t>
      </w:r>
      <w:r w:rsidRPr="005263CC">
        <w:rPr>
          <w:rFonts w:ascii="Arial" w:hAnsi="Arial" w:cs="Arial"/>
          <w:sz w:val="24"/>
          <w:szCs w:val="24"/>
        </w:rPr>
        <w:t>29 no remitieron información respecto a lo exigido por la citada Ordenanza.</w:t>
      </w:r>
    </w:p>
    <w:p w:rsidR="00010BBB" w:rsidRPr="005263CC" w:rsidRDefault="00010BBB" w:rsidP="005263CC">
      <w:pPr>
        <w:keepNext/>
        <w:widowControl w:val="0"/>
        <w:autoSpaceDE w:val="0"/>
        <w:autoSpaceDN w:val="0"/>
        <w:adjustRightInd w:val="0"/>
        <w:spacing w:after="0"/>
        <w:jc w:val="both"/>
        <w:rPr>
          <w:rFonts w:ascii="Arial" w:hAnsi="Arial" w:cs="Arial"/>
          <w:color w:val="FF0000"/>
          <w:sz w:val="24"/>
          <w:szCs w:val="24"/>
        </w:rPr>
      </w:pPr>
    </w:p>
    <w:p w:rsidR="005263CC" w:rsidRPr="005263CC" w:rsidRDefault="005263CC" w:rsidP="005263CC">
      <w:pPr>
        <w:keepNext/>
        <w:widowControl w:val="0"/>
        <w:autoSpaceDE w:val="0"/>
        <w:autoSpaceDN w:val="0"/>
        <w:adjustRightInd w:val="0"/>
        <w:spacing w:after="0"/>
        <w:jc w:val="both"/>
        <w:rPr>
          <w:rFonts w:ascii="Arial" w:hAnsi="Arial" w:cs="Arial"/>
          <w:b/>
          <w:bCs/>
          <w:sz w:val="24"/>
          <w:szCs w:val="24"/>
        </w:rPr>
      </w:pPr>
      <w:r w:rsidRPr="005263CC">
        <w:rPr>
          <w:rFonts w:ascii="Arial" w:hAnsi="Arial" w:cs="Arial"/>
          <w:b/>
          <w:bCs/>
          <w:sz w:val="24"/>
          <w:szCs w:val="24"/>
        </w:rPr>
        <w:t>- Resolución del Tribunal de Cuentas (Carpeta 234.617) para la intervención de anticipos de tesorería</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 xml:space="preserve">En el Ejercicio 2015, el Ministerio de Economía y Finanzas otorgó anticipos de tesorería por miles de $ 14.764.446. </w:t>
      </w:r>
      <w:proofErr w:type="gramStart"/>
      <w:r w:rsidRPr="005263CC">
        <w:rPr>
          <w:rFonts w:ascii="Arial" w:hAnsi="Arial" w:cs="Arial"/>
          <w:sz w:val="24"/>
          <w:szCs w:val="24"/>
        </w:rPr>
        <w:t>al</w:t>
      </w:r>
      <w:proofErr w:type="gramEnd"/>
      <w:r w:rsidRPr="005263CC">
        <w:rPr>
          <w:rFonts w:ascii="Arial" w:hAnsi="Arial" w:cs="Arial"/>
          <w:sz w:val="24"/>
          <w:szCs w:val="24"/>
        </w:rPr>
        <w:t xml:space="preserve"> amparo del Artículo 86 del TOCAF, importe que representa el 4% del total de gastos de funcionamiento e inversiones del ejercicio. De este total, fueron observados y reiterados gastos por un monto de miles de $ 383.983 que representa el 3% del importe anterior, fundamentalmente por incumplimiento de los requisitos señalados en la Resolución del Tribunal de Cuentas de fecha 12 de octubre del 2011(No se adjunta la afectación del crédito o no se presentan rendiciones de cuentas de las partidas anteriores). En el ejercicio no se intervino por parte de la Auditoria destacada ante el M.E.F., el anticipo otorgado a ANCAP por  U$S 267.000.000 equivalente a miles de $ 7.823.100.</w:t>
      </w:r>
    </w:p>
    <w:p w:rsidR="005263CC" w:rsidRDefault="005263CC" w:rsidP="005263CC">
      <w:pPr>
        <w:keepNext/>
        <w:widowControl w:val="0"/>
        <w:spacing w:after="260"/>
        <w:jc w:val="right"/>
        <w:rPr>
          <w:rFonts w:ascii="Arial" w:eastAsia="Times New Roman" w:hAnsi="Arial" w:cs="Arial"/>
          <w:sz w:val="24"/>
          <w:szCs w:val="24"/>
          <w:lang w:val="es-ES" w:eastAsia="es-ES"/>
        </w:rPr>
      </w:pPr>
      <w:r w:rsidRPr="005263CC">
        <w:rPr>
          <w:rFonts w:ascii="Arial" w:eastAsia="Times New Roman" w:hAnsi="Arial" w:cs="Arial"/>
          <w:sz w:val="24"/>
          <w:szCs w:val="24"/>
          <w:lang w:val="es-ES" w:eastAsia="es-ES"/>
        </w:rPr>
        <w:t>Montevideo, 8 de julio de 2016</w:t>
      </w:r>
    </w:p>
    <w:p w:rsidR="00321CDE" w:rsidRDefault="00321CDE" w:rsidP="005263CC">
      <w:pPr>
        <w:keepNext/>
        <w:widowControl w:val="0"/>
        <w:spacing w:after="260"/>
        <w:jc w:val="right"/>
        <w:rPr>
          <w:rFonts w:ascii="Arial" w:eastAsia="Times New Roman" w:hAnsi="Arial" w:cs="Arial"/>
          <w:sz w:val="24"/>
          <w:szCs w:val="24"/>
          <w:lang w:val="es-ES" w:eastAsia="es-ES"/>
        </w:rPr>
      </w:pPr>
    </w:p>
    <w:p w:rsidR="005263CC" w:rsidRPr="005263CC" w:rsidRDefault="005263CC" w:rsidP="005263CC">
      <w:pPr>
        <w:keepNext/>
        <w:widowControl w:val="0"/>
        <w:autoSpaceDE w:val="0"/>
        <w:autoSpaceDN w:val="0"/>
        <w:adjustRightInd w:val="0"/>
        <w:spacing w:after="0"/>
        <w:contextualSpacing/>
        <w:jc w:val="center"/>
        <w:rPr>
          <w:rFonts w:ascii="Arial" w:hAnsi="Arial" w:cs="Arial"/>
          <w:b/>
          <w:bCs/>
          <w:sz w:val="24"/>
          <w:szCs w:val="24"/>
        </w:rPr>
      </w:pPr>
      <w:r w:rsidRPr="005263CC">
        <w:rPr>
          <w:rFonts w:ascii="Arial" w:hAnsi="Arial" w:cs="Arial"/>
          <w:b/>
          <w:bCs/>
          <w:sz w:val="24"/>
          <w:szCs w:val="24"/>
        </w:rPr>
        <w:t>INFORME A LA ASAMBLEA GENERAL</w:t>
      </w:r>
    </w:p>
    <w:p w:rsidR="005263CC" w:rsidRPr="005263CC" w:rsidRDefault="005263CC" w:rsidP="005263CC">
      <w:pPr>
        <w:keepNext/>
        <w:widowControl w:val="0"/>
        <w:autoSpaceDE w:val="0"/>
        <w:autoSpaceDN w:val="0"/>
        <w:adjustRightInd w:val="0"/>
        <w:spacing w:after="0"/>
        <w:contextualSpacing/>
        <w:rPr>
          <w:rFonts w:ascii="Arial" w:hAnsi="Arial" w:cs="Arial"/>
          <w:b/>
          <w:bCs/>
          <w:sz w:val="24"/>
          <w:szCs w:val="24"/>
        </w:rPr>
      </w:pPr>
    </w:p>
    <w:p w:rsidR="005263CC" w:rsidRPr="005263CC" w:rsidRDefault="005263CC" w:rsidP="005263CC">
      <w:pPr>
        <w:keepNext/>
        <w:widowControl w:val="0"/>
        <w:autoSpaceDE w:val="0"/>
        <w:autoSpaceDN w:val="0"/>
        <w:adjustRightInd w:val="0"/>
        <w:spacing w:after="0"/>
        <w:contextualSpacing/>
        <w:jc w:val="center"/>
        <w:rPr>
          <w:rFonts w:ascii="Arial" w:hAnsi="Arial" w:cs="Arial"/>
          <w:b/>
          <w:bCs/>
          <w:sz w:val="24"/>
          <w:szCs w:val="24"/>
        </w:rPr>
      </w:pPr>
      <w:r w:rsidRPr="005263CC">
        <w:rPr>
          <w:rFonts w:ascii="Arial" w:hAnsi="Arial" w:cs="Arial"/>
          <w:b/>
          <w:bCs/>
          <w:sz w:val="24"/>
          <w:szCs w:val="24"/>
        </w:rPr>
        <w:t>RENDICIÓN DE CUENTAS Y BALANCE DE EJECUCIÓN</w:t>
      </w:r>
    </w:p>
    <w:p w:rsidR="005263CC" w:rsidRPr="005263CC" w:rsidRDefault="005263CC" w:rsidP="005263CC">
      <w:pPr>
        <w:keepNext/>
        <w:widowControl w:val="0"/>
        <w:autoSpaceDE w:val="0"/>
        <w:autoSpaceDN w:val="0"/>
        <w:adjustRightInd w:val="0"/>
        <w:spacing w:after="0"/>
        <w:contextualSpacing/>
        <w:jc w:val="center"/>
        <w:rPr>
          <w:rFonts w:ascii="Arial" w:hAnsi="Arial" w:cs="Arial"/>
          <w:b/>
          <w:bCs/>
          <w:sz w:val="24"/>
          <w:szCs w:val="24"/>
        </w:rPr>
      </w:pPr>
      <w:r w:rsidRPr="005263CC">
        <w:rPr>
          <w:rFonts w:ascii="Arial" w:hAnsi="Arial" w:cs="Arial"/>
          <w:b/>
          <w:bCs/>
          <w:sz w:val="24"/>
          <w:szCs w:val="24"/>
        </w:rPr>
        <w:t>PRESUPUESTAL DEL GOBIERNO CENTRAL, EJERCICIO 2015</w:t>
      </w:r>
    </w:p>
    <w:p w:rsidR="005263CC" w:rsidRPr="005263CC" w:rsidRDefault="005263CC" w:rsidP="005263CC">
      <w:pPr>
        <w:keepNext/>
        <w:widowControl w:val="0"/>
        <w:autoSpaceDE w:val="0"/>
        <w:autoSpaceDN w:val="0"/>
        <w:adjustRightInd w:val="0"/>
        <w:spacing w:after="0"/>
        <w:contextualSpacing/>
        <w:jc w:val="center"/>
        <w:rPr>
          <w:rFonts w:ascii="Arial" w:hAnsi="Arial" w:cs="Arial"/>
          <w:b/>
          <w:bCs/>
          <w:sz w:val="24"/>
          <w:szCs w:val="24"/>
        </w:rPr>
      </w:pPr>
    </w:p>
    <w:p w:rsidR="005263CC" w:rsidRPr="005263CC" w:rsidRDefault="005263CC" w:rsidP="005263CC">
      <w:pPr>
        <w:keepNext/>
        <w:widowControl w:val="0"/>
        <w:autoSpaceDE w:val="0"/>
        <w:autoSpaceDN w:val="0"/>
        <w:adjustRightInd w:val="0"/>
        <w:spacing w:after="0"/>
        <w:contextualSpacing/>
        <w:jc w:val="both"/>
        <w:rPr>
          <w:rFonts w:ascii="Arial" w:hAnsi="Arial" w:cs="Arial"/>
          <w:bCs/>
          <w:sz w:val="24"/>
          <w:szCs w:val="24"/>
        </w:rPr>
      </w:pPr>
      <w:r w:rsidRPr="005263CC">
        <w:rPr>
          <w:rFonts w:ascii="Arial" w:hAnsi="Arial" w:cs="Arial"/>
          <w:bCs/>
          <w:sz w:val="24"/>
          <w:szCs w:val="24"/>
        </w:rPr>
        <w:t>El Tribunal de Cuentas ha examinado la Rendición de Cuentas y el Balance de Ejecución Presupuestal del Gobierno Central por el ejercicio finalizado al 31/12/2015 y ha emitido su Dictamen.</w:t>
      </w:r>
    </w:p>
    <w:p w:rsidR="005263CC" w:rsidRPr="005263CC" w:rsidRDefault="005263CC" w:rsidP="005263CC">
      <w:pPr>
        <w:keepNext/>
        <w:widowControl w:val="0"/>
        <w:autoSpaceDE w:val="0"/>
        <w:autoSpaceDN w:val="0"/>
        <w:adjustRightInd w:val="0"/>
        <w:spacing w:after="0"/>
        <w:contextualSpacing/>
        <w:jc w:val="both"/>
        <w:rPr>
          <w:rFonts w:ascii="Arial" w:hAnsi="Arial" w:cs="Arial"/>
          <w:b/>
          <w:bCs/>
          <w:sz w:val="24"/>
          <w:szCs w:val="24"/>
        </w:rPr>
      </w:pPr>
    </w:p>
    <w:p w:rsidR="005263CC" w:rsidRPr="005263CC" w:rsidRDefault="005263CC" w:rsidP="005263CC">
      <w:pPr>
        <w:keepNext/>
        <w:widowControl w:val="0"/>
        <w:numPr>
          <w:ilvl w:val="0"/>
          <w:numId w:val="3"/>
        </w:numPr>
        <w:tabs>
          <w:tab w:val="left" w:pos="284"/>
        </w:tabs>
        <w:autoSpaceDE w:val="0"/>
        <w:autoSpaceDN w:val="0"/>
        <w:adjustRightInd w:val="0"/>
        <w:spacing w:after="0"/>
        <w:ind w:hanging="720"/>
        <w:contextualSpacing/>
        <w:jc w:val="both"/>
        <w:rPr>
          <w:rFonts w:ascii="Arial" w:hAnsi="Arial" w:cs="Arial"/>
          <w:b/>
          <w:bCs/>
          <w:sz w:val="24"/>
          <w:szCs w:val="24"/>
        </w:rPr>
      </w:pPr>
      <w:r w:rsidRPr="005263CC">
        <w:rPr>
          <w:rFonts w:ascii="Arial" w:hAnsi="Arial" w:cs="Arial"/>
          <w:b/>
          <w:bCs/>
          <w:sz w:val="24"/>
          <w:szCs w:val="24"/>
        </w:rPr>
        <w:t>MARCO JURÍDICO</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 xml:space="preserve">El marco jurídico constitucional, relativo a la Rendición de Cuentas y Balance de Ejecución Presupuestal, está </w:t>
      </w:r>
      <w:proofErr w:type="spellStart"/>
      <w:r w:rsidRPr="005263CC">
        <w:rPr>
          <w:rFonts w:ascii="Arial" w:hAnsi="Arial" w:cs="Arial"/>
          <w:sz w:val="24"/>
          <w:szCs w:val="24"/>
        </w:rPr>
        <w:t>constituído</w:t>
      </w:r>
      <w:proofErr w:type="spellEnd"/>
      <w:r w:rsidRPr="005263CC">
        <w:rPr>
          <w:rFonts w:ascii="Arial" w:hAnsi="Arial" w:cs="Arial"/>
          <w:sz w:val="24"/>
          <w:szCs w:val="24"/>
        </w:rPr>
        <w:t xml:space="preserve"> por los Artículos 211 Literal C),          214 inciso 4º, 216 inciso 2º y 228 de la Constitución de la República.</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En cuanto a las disposiciones legales, debe hacerse referencia a los siguientes Artículos del TOCAF: 12, 13 (en la redacción dada por el Artículo 1 de la Ley          Nº 17.213), 14, 15, 20, 111, 128 (en la redacción dada por el Artículo 17 de la Ley Nº 17.213), 129 (en la redacción dada por el Artículo 18 de la Ley                        Nº 17.213) y 130.</w:t>
      </w:r>
    </w:p>
    <w:p w:rsidR="005263CC" w:rsidRPr="005263CC" w:rsidRDefault="005263CC" w:rsidP="005263CC">
      <w:pPr>
        <w:keepNext/>
        <w:widowControl w:val="0"/>
        <w:numPr>
          <w:ilvl w:val="0"/>
          <w:numId w:val="3"/>
        </w:numPr>
        <w:tabs>
          <w:tab w:val="left" w:pos="284"/>
        </w:tabs>
        <w:autoSpaceDE w:val="0"/>
        <w:autoSpaceDN w:val="0"/>
        <w:adjustRightInd w:val="0"/>
        <w:spacing w:after="0"/>
        <w:ind w:hanging="720"/>
        <w:contextualSpacing/>
        <w:jc w:val="both"/>
        <w:rPr>
          <w:rFonts w:ascii="Arial" w:hAnsi="Arial" w:cs="Arial"/>
          <w:b/>
          <w:bCs/>
          <w:sz w:val="24"/>
          <w:szCs w:val="24"/>
        </w:rPr>
      </w:pPr>
      <w:r w:rsidRPr="005263CC">
        <w:rPr>
          <w:rFonts w:ascii="Arial" w:hAnsi="Arial" w:cs="Arial"/>
          <w:b/>
          <w:bCs/>
          <w:sz w:val="24"/>
          <w:szCs w:val="24"/>
        </w:rPr>
        <w:t>PRESENTACION DE ESTADOS</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El Poder Ejecutivo remitió a la Asamblea General el 16 de junio de 2016 la Rendición de Cuentas y Balance de Ejecución Presupuestal del Ejercicio 2015, enviando una copia al Tribunal de Cuentas el 21 de junio de 2016, habiéndose dado cumplimiento al plazo dispuesto por el Artículo 214 inciso 4 de la Constitución de la República.</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La documentación presentada fue:</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b/>
          <w:sz w:val="24"/>
          <w:szCs w:val="24"/>
        </w:rPr>
        <w:t>1</w:t>
      </w:r>
      <w:r w:rsidRPr="005263CC">
        <w:rPr>
          <w:rFonts w:ascii="Arial" w:hAnsi="Arial" w:cs="Arial"/>
          <w:sz w:val="24"/>
          <w:szCs w:val="24"/>
        </w:rPr>
        <w:t>. Mensaje y Proyecto de Ley de Rendición de Cuentas e Informe Económico Financiero.</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b/>
          <w:sz w:val="24"/>
          <w:szCs w:val="24"/>
        </w:rPr>
        <w:t>2</w:t>
      </w:r>
      <w:r w:rsidRPr="005263CC">
        <w:rPr>
          <w:rFonts w:ascii="Arial" w:hAnsi="Arial" w:cs="Arial"/>
          <w:sz w:val="24"/>
          <w:szCs w:val="24"/>
        </w:rPr>
        <w:t>. Balance de Ejecución Presupuestal del Ejercicio 2015 (Tomo I a V), incluyendo en el Tomo II la “Planificación y Evaluación” del resultado de la Gestión Pública.-.</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b/>
          <w:sz w:val="24"/>
          <w:szCs w:val="24"/>
        </w:rPr>
        <w:t>3</w:t>
      </w:r>
      <w:r w:rsidRPr="005263CC">
        <w:rPr>
          <w:rFonts w:ascii="Arial" w:hAnsi="Arial" w:cs="Arial"/>
          <w:sz w:val="24"/>
          <w:szCs w:val="24"/>
        </w:rPr>
        <w:t>. Anexos con Información sobre:</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 Otros Fondos por Cometidos de Organismos del Presupuesto Nacional (Financiación 1.8 “Fondos de Terceros Declarados por Ley”).</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 xml:space="preserve">- Personas Públicas No Estatales y Organismos Privados que perciben Fondos Públicos además de las Cajas Paraestatales (Artículo 100 Ley Nº 16.134 sustituido por el Artículo 720 Ley Nº 16.170, Artículo 101 Ley Nº 16.134, Artículo 199 Ley Nº 16.736, modificado por el Artículo 146 de la Ley Nº 18.046), </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(4 Tomos-Parte A, B, C, D)</w:t>
      </w:r>
      <w:r w:rsidR="00A42D36">
        <w:rPr>
          <w:rFonts w:ascii="Arial" w:hAnsi="Arial" w:cs="Arial"/>
          <w:sz w:val="24"/>
          <w:szCs w:val="24"/>
        </w:rPr>
        <w:t>.</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 Donaciones y Legados (Artículo 47 Ley Nº 17.930).</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  Gastos e Inversiones en Investigación y Desarrollo Científico y Tecnológico (Artículo 593 Ley Nº 15.903).</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 Donaciones Especiales, (Artículo 78 y 79 Título IV Capítulo 13 Texto Ordenado 1996 y Artículos 67 al 70 Decreto N° 150/2007).</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-Informe Económico y Financiero</w:t>
      </w:r>
      <w:r w:rsidR="00A42D36">
        <w:rPr>
          <w:rFonts w:ascii="Arial" w:hAnsi="Arial" w:cs="Arial"/>
          <w:sz w:val="24"/>
          <w:szCs w:val="24"/>
        </w:rPr>
        <w:t>.</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-Sistema de Información y seguimiento de la inversión (S.I.S.I)</w:t>
      </w:r>
    </w:p>
    <w:p w:rsidR="005263CC" w:rsidRDefault="005263CC" w:rsidP="005263CC">
      <w:pPr>
        <w:keepNext/>
        <w:widowControl w:val="0"/>
        <w:autoSpaceDE w:val="0"/>
        <w:autoSpaceDN w:val="0"/>
        <w:adjustRightInd w:val="0"/>
        <w:spacing w:after="0"/>
        <w:contextualSpacing/>
        <w:jc w:val="both"/>
        <w:rPr>
          <w:rFonts w:ascii="Arial" w:hAnsi="Arial" w:cs="Arial"/>
          <w:b/>
          <w:bCs/>
          <w:sz w:val="24"/>
          <w:szCs w:val="24"/>
        </w:rPr>
      </w:pPr>
    </w:p>
    <w:p w:rsidR="00321CDE" w:rsidRPr="005263CC" w:rsidRDefault="00321CDE" w:rsidP="005263CC">
      <w:pPr>
        <w:keepNext/>
        <w:widowControl w:val="0"/>
        <w:autoSpaceDE w:val="0"/>
        <w:autoSpaceDN w:val="0"/>
        <w:adjustRightInd w:val="0"/>
        <w:spacing w:after="0"/>
        <w:contextualSpacing/>
        <w:jc w:val="both"/>
        <w:rPr>
          <w:rFonts w:ascii="Arial" w:hAnsi="Arial" w:cs="Arial"/>
          <w:b/>
          <w:bCs/>
          <w:sz w:val="24"/>
          <w:szCs w:val="24"/>
        </w:rPr>
      </w:pPr>
    </w:p>
    <w:p w:rsidR="005263CC" w:rsidRPr="005263CC" w:rsidRDefault="005263CC" w:rsidP="005263CC">
      <w:pPr>
        <w:keepNext/>
        <w:widowControl w:val="0"/>
        <w:numPr>
          <w:ilvl w:val="0"/>
          <w:numId w:val="3"/>
        </w:numPr>
        <w:tabs>
          <w:tab w:val="left" w:pos="284"/>
        </w:tabs>
        <w:autoSpaceDE w:val="0"/>
        <w:autoSpaceDN w:val="0"/>
        <w:adjustRightInd w:val="0"/>
        <w:spacing w:after="0"/>
        <w:ind w:hanging="720"/>
        <w:contextualSpacing/>
        <w:jc w:val="both"/>
        <w:rPr>
          <w:rFonts w:ascii="Arial" w:hAnsi="Arial" w:cs="Arial"/>
          <w:b/>
          <w:bCs/>
          <w:sz w:val="24"/>
          <w:szCs w:val="24"/>
        </w:rPr>
      </w:pPr>
      <w:r w:rsidRPr="005263CC">
        <w:rPr>
          <w:rFonts w:ascii="Arial" w:hAnsi="Arial" w:cs="Arial"/>
          <w:b/>
          <w:bCs/>
          <w:sz w:val="24"/>
          <w:szCs w:val="24"/>
        </w:rPr>
        <w:t xml:space="preserve">CRITERIOS UTILIZADOS EN LA FORMULACION DE LOS ESTADOS </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Para la formulación de los Estados, la Contaduría General de la Nación (CGN) registra de acuerdo a lo dispuesto en las disposiciones que se detallan:</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-El criterio de registración de los recursos lo determina el Artículo 12 del TOCAF, que establece que se computarán como recursos del ejercicio los efectivamente depositados en cuentas del Tesoro Nacional o ingresados en los organismos u oficinas referidas en los Artículos 2 y 4 del TOCAF hasta el 31 de diciembre, es decir que se aplica el principio de lo percibido.</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-La registración de los gastos de funcionamiento e inversión se regula por el Artículo 20 del TOCAF, que dispone que los créditos presupuestales se considerarán ejecutados cuando se devenguen los gastos para los cuales han sido destinados, es decir cuando surge la obligación por el cumplimiento de un servicio.</w:t>
      </w:r>
    </w:p>
    <w:p w:rsidR="005263CC" w:rsidRPr="005263CC" w:rsidRDefault="005263CC" w:rsidP="005263CC">
      <w:pPr>
        <w:keepNext/>
        <w:widowControl w:val="0"/>
        <w:autoSpaceDE w:val="0"/>
        <w:autoSpaceDN w:val="0"/>
        <w:adjustRightInd w:val="0"/>
        <w:spacing w:after="0"/>
        <w:contextualSpacing/>
        <w:jc w:val="both"/>
        <w:rPr>
          <w:rFonts w:ascii="Arial" w:hAnsi="Arial" w:cs="Arial"/>
          <w:b/>
          <w:bCs/>
          <w:sz w:val="24"/>
          <w:szCs w:val="24"/>
        </w:rPr>
      </w:pPr>
    </w:p>
    <w:p w:rsidR="005263CC" w:rsidRPr="005263CC" w:rsidRDefault="005263CC" w:rsidP="005263CC">
      <w:pPr>
        <w:keepNext/>
        <w:widowControl w:val="0"/>
        <w:numPr>
          <w:ilvl w:val="0"/>
          <w:numId w:val="3"/>
        </w:numPr>
        <w:tabs>
          <w:tab w:val="left" w:pos="284"/>
        </w:tabs>
        <w:autoSpaceDE w:val="0"/>
        <w:autoSpaceDN w:val="0"/>
        <w:adjustRightInd w:val="0"/>
        <w:spacing w:after="0"/>
        <w:ind w:hanging="720"/>
        <w:contextualSpacing/>
        <w:jc w:val="both"/>
        <w:rPr>
          <w:rFonts w:ascii="Arial" w:hAnsi="Arial" w:cs="Arial"/>
          <w:b/>
          <w:bCs/>
          <w:sz w:val="24"/>
          <w:szCs w:val="24"/>
        </w:rPr>
      </w:pPr>
      <w:r w:rsidRPr="005263CC">
        <w:rPr>
          <w:rFonts w:ascii="Arial" w:hAnsi="Arial" w:cs="Arial"/>
          <w:b/>
          <w:bCs/>
          <w:sz w:val="24"/>
          <w:szCs w:val="24"/>
        </w:rPr>
        <w:t>CONSTATACIONES REFERIDAS EN EL DICTAMEN</w:t>
      </w:r>
    </w:p>
    <w:p w:rsidR="005263CC" w:rsidRPr="005263CC" w:rsidRDefault="005263CC" w:rsidP="005263CC">
      <w:pPr>
        <w:keepNext/>
        <w:widowControl w:val="0"/>
        <w:autoSpaceDE w:val="0"/>
        <w:autoSpaceDN w:val="0"/>
        <w:adjustRightInd w:val="0"/>
        <w:spacing w:after="0"/>
        <w:contextualSpacing/>
        <w:jc w:val="both"/>
        <w:rPr>
          <w:rFonts w:ascii="Arial" w:hAnsi="Arial" w:cs="Arial"/>
          <w:b/>
          <w:bCs/>
          <w:sz w:val="24"/>
          <w:szCs w:val="24"/>
        </w:rPr>
      </w:pPr>
      <w:r w:rsidRPr="005263CC">
        <w:rPr>
          <w:rFonts w:ascii="Arial" w:hAnsi="Arial" w:cs="Arial"/>
          <w:b/>
          <w:bCs/>
          <w:sz w:val="24"/>
          <w:szCs w:val="24"/>
        </w:rPr>
        <w:t>MOTIVOS QUE ORIGINAN LA ABSTENCIÓN DE OPINIÓN SOBRE EL “ESTADO DE SITUACIÓN DEL TESORO” Y EL “ESTADO DE FUENTES Y USO DE FONDOS CONSOLIDADO”</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La CGN no cuenta con un sistema de contabilidad patrimonial, lo que no posibilita la emisión de los estados contables requeridos por los Artículos 97 y 98 del TOCAF.</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El Artículo 97 mencionado, establece que el sistema contable registrará como mínimo las existencias y movimientos de los activos especialmente los que integran el patrimonio del Estado.</w:t>
      </w:r>
    </w:p>
    <w:p w:rsidR="005263CC" w:rsidRP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En relación a los pasivos, el Artículo 98 del TOCAF expresa que el sistema registrará como mínimo todas las obligaciones que contraiga el Estado, en particular la deuda pública.</w:t>
      </w:r>
    </w:p>
    <w:p w:rsidR="005263CC" w:rsidRDefault="005263CC" w:rsidP="005263CC">
      <w:pPr>
        <w:keepNext/>
        <w:widowControl w:val="0"/>
        <w:autoSpaceDE w:val="0"/>
        <w:autoSpaceDN w:val="0"/>
        <w:adjustRightInd w:val="0"/>
        <w:spacing w:after="0"/>
        <w:contextualSpacing/>
        <w:jc w:val="both"/>
        <w:rPr>
          <w:rFonts w:ascii="Arial" w:hAnsi="Arial" w:cs="Arial"/>
          <w:sz w:val="24"/>
          <w:szCs w:val="24"/>
        </w:rPr>
      </w:pPr>
      <w:r w:rsidRPr="005263CC">
        <w:rPr>
          <w:rFonts w:ascii="Arial" w:hAnsi="Arial" w:cs="Arial"/>
          <w:sz w:val="24"/>
          <w:szCs w:val="24"/>
        </w:rPr>
        <w:t>Debido a que los estados referidos no resultan de registros contables integrados de la CGN, no es posible emitir opinión respecto del “Estado de Situación del Tesoro al 31/12/2015” (Tomo I-Cuadro 35), en el que se presentan parcialmente Activos y Pasivos del Gobierno Central, ni del “Estado de Fuentes y Uso de Fondos Consolidado” (Tomo I - Cuadro 32).</w:t>
      </w:r>
    </w:p>
    <w:p w:rsidR="00321CDE" w:rsidRPr="005263CC" w:rsidRDefault="00321CDE" w:rsidP="005263CC">
      <w:pPr>
        <w:keepNext/>
        <w:widowControl w:val="0"/>
        <w:autoSpaceDE w:val="0"/>
        <w:autoSpaceDN w:val="0"/>
        <w:adjustRightInd w:val="0"/>
        <w:spacing w:after="0"/>
        <w:contextualSpacing/>
        <w:jc w:val="both"/>
        <w:rPr>
          <w:rFonts w:ascii="Arial" w:hAnsi="Arial" w:cs="Arial"/>
          <w:sz w:val="24"/>
          <w:szCs w:val="24"/>
        </w:rPr>
      </w:pPr>
    </w:p>
    <w:p w:rsidR="005263CC" w:rsidRDefault="005263CC" w:rsidP="005263CC">
      <w:pPr>
        <w:keepNext/>
        <w:widowControl w:val="0"/>
        <w:autoSpaceDE w:val="0"/>
        <w:autoSpaceDN w:val="0"/>
        <w:adjustRightInd w:val="0"/>
        <w:spacing w:after="0"/>
        <w:contextualSpacing/>
        <w:jc w:val="both"/>
        <w:rPr>
          <w:rFonts w:ascii="Arial" w:hAnsi="Arial" w:cs="Arial"/>
          <w:b/>
          <w:sz w:val="24"/>
          <w:szCs w:val="24"/>
        </w:rPr>
      </w:pPr>
      <w:r w:rsidRPr="005263CC">
        <w:rPr>
          <w:rFonts w:ascii="Arial" w:hAnsi="Arial" w:cs="Arial"/>
          <w:b/>
          <w:sz w:val="24"/>
          <w:szCs w:val="24"/>
        </w:rPr>
        <w:t>5) OTRAS CONSTATACIONES</w:t>
      </w:r>
    </w:p>
    <w:p w:rsidR="00321CDE" w:rsidRPr="005263CC" w:rsidRDefault="00321CDE" w:rsidP="005263CC">
      <w:pPr>
        <w:keepNext/>
        <w:widowControl w:val="0"/>
        <w:autoSpaceDE w:val="0"/>
        <w:autoSpaceDN w:val="0"/>
        <w:adjustRightInd w:val="0"/>
        <w:spacing w:after="0"/>
        <w:contextualSpacing/>
        <w:jc w:val="both"/>
        <w:rPr>
          <w:rFonts w:ascii="Arial" w:hAnsi="Arial" w:cs="Arial"/>
          <w:b/>
          <w:sz w:val="24"/>
          <w:szCs w:val="24"/>
        </w:rPr>
      </w:pPr>
    </w:p>
    <w:p w:rsidR="005263CC" w:rsidRPr="005263CC" w:rsidRDefault="005263CC" w:rsidP="005263CC">
      <w:pPr>
        <w:keepNext/>
        <w:widowControl w:val="0"/>
        <w:autoSpaceDE w:val="0"/>
        <w:autoSpaceDN w:val="0"/>
        <w:adjustRightInd w:val="0"/>
        <w:contextualSpacing/>
        <w:jc w:val="both"/>
        <w:rPr>
          <w:rFonts w:ascii="Arial" w:hAnsi="Arial" w:cs="Arial"/>
          <w:b/>
          <w:bCs/>
          <w:sz w:val="24"/>
          <w:szCs w:val="24"/>
        </w:rPr>
      </w:pPr>
      <w:r w:rsidRPr="005263CC">
        <w:rPr>
          <w:rFonts w:ascii="Arial" w:hAnsi="Arial" w:cs="Arial"/>
          <w:b/>
          <w:bCs/>
          <w:sz w:val="24"/>
          <w:szCs w:val="24"/>
        </w:rPr>
        <w:t>5.1) Fideicomisos Financieros</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 xml:space="preserve">En el estado de Situación del Tesoro, en el capítulo de Inversiones se expone el total de activos recibidos por parte del M.E.F. bajo la forma de Fideicomisos Financieros por el valor de cada certificado de participación por miles de                         $ 25.981.475  al 31 de diciembre. A esa fecha se efectúa la comparación entre los valores históricos ajustados con la valuación efectuada por parte de una consultora externa contratada por la ANV y el MEF. En este ejercicio se reconoce una ganancia por miles de $ 2.092.779 que está incluida en el capítulo Resultados Extraordinarios. Por otra parte no se registró como ganancia el importe cobrado y depositado por parte de la ANV en la cuenta BROU 152/0484123 “MEF – </w:t>
      </w:r>
      <w:proofErr w:type="spellStart"/>
      <w:r w:rsidRPr="005263CC">
        <w:rPr>
          <w:rFonts w:ascii="Arial" w:hAnsi="Arial" w:cs="Arial"/>
          <w:sz w:val="24"/>
          <w:szCs w:val="24"/>
        </w:rPr>
        <w:t>recuperos</w:t>
      </w:r>
      <w:proofErr w:type="spellEnd"/>
      <w:r w:rsidRPr="005263CC">
        <w:rPr>
          <w:rFonts w:ascii="Arial" w:hAnsi="Arial" w:cs="Arial"/>
          <w:sz w:val="24"/>
          <w:szCs w:val="24"/>
        </w:rPr>
        <w:t xml:space="preserve"> de fideicomisos de vivienda” que en el ejercicio ascendió a miles de $ 1.260.057. Por lo expuesto el resultado deficitario del Gobierno Central por miles de $ 32.051.295 se encuentra incrementado en miles de $ 832.722, dado que se reconocieron ganancias por miles de $ 2.092.779 cuando debieron reconocerse ingresos por miles de                     $ 1.260.057.</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p>
    <w:p w:rsidR="005263CC" w:rsidRPr="005263CC" w:rsidRDefault="005263CC" w:rsidP="005263CC">
      <w:pPr>
        <w:keepNext/>
        <w:widowControl w:val="0"/>
        <w:autoSpaceDE w:val="0"/>
        <w:autoSpaceDN w:val="0"/>
        <w:adjustRightInd w:val="0"/>
        <w:contextualSpacing/>
        <w:jc w:val="both"/>
        <w:rPr>
          <w:rFonts w:ascii="Arial" w:hAnsi="Arial" w:cs="Arial"/>
          <w:b/>
          <w:bCs/>
          <w:sz w:val="24"/>
          <w:szCs w:val="24"/>
        </w:rPr>
      </w:pPr>
      <w:r w:rsidRPr="005263CC">
        <w:rPr>
          <w:rFonts w:ascii="Arial" w:hAnsi="Arial" w:cs="Arial"/>
          <w:b/>
          <w:bCs/>
          <w:sz w:val="24"/>
          <w:szCs w:val="24"/>
        </w:rPr>
        <w:t>5.2) Quita deuda MEF/BCU</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En Resolución de Directorio del BCU N° 330 de fecha 3.11.2011 se determinó la compensación de parte de los créditos y obligaciones existentes a esa fecha entre el Banco Central y el Estado- MEF. Luego de realizada la operación anterior continúan reconociéndose por ambas partes la existencia de los siguientes conceptos:</w:t>
      </w:r>
    </w:p>
    <w:tbl>
      <w:tblPr>
        <w:tblW w:w="6163" w:type="dxa"/>
        <w:tblInd w:w="1167" w:type="dxa"/>
        <w:tblCellMar>
          <w:left w:w="70" w:type="dxa"/>
          <w:right w:w="70" w:type="dxa"/>
        </w:tblCellMar>
        <w:tblLook w:val="04A0" w:firstRow="1" w:lastRow="0" w:firstColumn="1" w:lastColumn="0" w:noHBand="0" w:noVBand="1"/>
      </w:tblPr>
      <w:tblGrid>
        <w:gridCol w:w="4977"/>
        <w:gridCol w:w="1186"/>
      </w:tblGrid>
      <w:tr w:rsidR="005263CC" w:rsidRPr="005263CC" w:rsidTr="00C91DBB">
        <w:trPr>
          <w:trHeight w:val="255"/>
        </w:trPr>
        <w:tc>
          <w:tcPr>
            <w:tcW w:w="4977" w:type="dxa"/>
            <w:tcBorders>
              <w:top w:val="single" w:sz="4" w:space="0" w:color="auto"/>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center"/>
              <w:rPr>
                <w:rFonts w:ascii="Arial" w:hAnsi="Arial" w:cs="Arial"/>
                <w:sz w:val="24"/>
                <w:szCs w:val="24"/>
              </w:rPr>
            </w:pPr>
            <w:r w:rsidRPr="005263CC">
              <w:rPr>
                <w:rFonts w:ascii="Arial" w:hAnsi="Arial" w:cs="Arial"/>
                <w:sz w:val="24"/>
                <w:szCs w:val="24"/>
              </w:rPr>
              <w:t>Concepto</w:t>
            </w:r>
          </w:p>
        </w:tc>
        <w:tc>
          <w:tcPr>
            <w:tcW w:w="1186" w:type="dxa"/>
            <w:tcBorders>
              <w:top w:val="single" w:sz="4" w:space="0" w:color="auto"/>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center"/>
              <w:rPr>
                <w:rFonts w:ascii="Arial" w:hAnsi="Arial" w:cs="Arial"/>
                <w:sz w:val="24"/>
                <w:szCs w:val="24"/>
              </w:rPr>
            </w:pPr>
            <w:r w:rsidRPr="005263CC">
              <w:rPr>
                <w:rFonts w:ascii="Arial" w:hAnsi="Arial" w:cs="Arial"/>
                <w:sz w:val="24"/>
                <w:szCs w:val="24"/>
              </w:rPr>
              <w:t>Millones de pesos</w:t>
            </w:r>
          </w:p>
        </w:tc>
      </w:tr>
      <w:tr w:rsidR="005263CC" w:rsidRPr="005263CC" w:rsidTr="00C91DBB">
        <w:trPr>
          <w:trHeight w:val="255"/>
        </w:trPr>
        <w:tc>
          <w:tcPr>
            <w:tcW w:w="4977" w:type="dxa"/>
            <w:tcBorders>
              <w:top w:val="nil"/>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rPr>
                <w:rFonts w:ascii="Arial" w:hAnsi="Arial" w:cs="Arial"/>
                <w:sz w:val="24"/>
                <w:szCs w:val="24"/>
              </w:rPr>
            </w:pPr>
            <w:r w:rsidRPr="005263CC">
              <w:rPr>
                <w:rFonts w:ascii="Arial" w:hAnsi="Arial" w:cs="Arial"/>
                <w:sz w:val="24"/>
                <w:szCs w:val="24"/>
              </w:rPr>
              <w:t>M.E.F. - Asistencia B.H.U. Ley 17.596</w:t>
            </w:r>
          </w:p>
        </w:tc>
        <w:tc>
          <w:tcPr>
            <w:tcW w:w="1186" w:type="dxa"/>
            <w:tcBorders>
              <w:top w:val="nil"/>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center"/>
              <w:rPr>
                <w:rFonts w:ascii="Arial" w:hAnsi="Arial" w:cs="Arial"/>
                <w:sz w:val="24"/>
                <w:szCs w:val="24"/>
              </w:rPr>
            </w:pPr>
            <w:r w:rsidRPr="005263CC">
              <w:rPr>
                <w:rFonts w:ascii="Arial" w:hAnsi="Arial" w:cs="Arial"/>
                <w:sz w:val="24"/>
                <w:szCs w:val="24"/>
              </w:rPr>
              <w:t>3.713</w:t>
            </w:r>
          </w:p>
        </w:tc>
      </w:tr>
      <w:tr w:rsidR="005263CC" w:rsidRPr="005263CC" w:rsidTr="00C91DBB">
        <w:trPr>
          <w:trHeight w:val="255"/>
        </w:trPr>
        <w:tc>
          <w:tcPr>
            <w:tcW w:w="4977" w:type="dxa"/>
            <w:tcBorders>
              <w:top w:val="nil"/>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rPr>
                <w:rFonts w:ascii="Arial" w:hAnsi="Arial" w:cs="Arial"/>
                <w:sz w:val="24"/>
                <w:szCs w:val="24"/>
              </w:rPr>
            </w:pPr>
            <w:r w:rsidRPr="005263CC">
              <w:rPr>
                <w:rFonts w:ascii="Arial" w:hAnsi="Arial" w:cs="Arial"/>
                <w:sz w:val="24"/>
                <w:szCs w:val="24"/>
                <w:lang w:val="en-US"/>
              </w:rPr>
              <w:t xml:space="preserve">M.E.F. - Cred. Transf. </w:t>
            </w:r>
            <w:r w:rsidRPr="005263CC">
              <w:rPr>
                <w:rFonts w:ascii="Arial" w:hAnsi="Arial" w:cs="Arial"/>
                <w:sz w:val="24"/>
                <w:szCs w:val="24"/>
              </w:rPr>
              <w:t>Ley 17.613 Art. 26</w:t>
            </w:r>
          </w:p>
        </w:tc>
        <w:tc>
          <w:tcPr>
            <w:tcW w:w="1186" w:type="dxa"/>
            <w:tcBorders>
              <w:top w:val="nil"/>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center"/>
              <w:rPr>
                <w:rFonts w:ascii="Arial" w:hAnsi="Arial" w:cs="Arial"/>
                <w:sz w:val="24"/>
                <w:szCs w:val="24"/>
              </w:rPr>
            </w:pPr>
            <w:r w:rsidRPr="005263CC">
              <w:rPr>
                <w:rFonts w:ascii="Arial" w:hAnsi="Arial" w:cs="Arial"/>
                <w:sz w:val="24"/>
                <w:szCs w:val="24"/>
              </w:rPr>
              <w:t>4.202</w:t>
            </w:r>
          </w:p>
        </w:tc>
      </w:tr>
      <w:tr w:rsidR="005263CC" w:rsidRPr="005263CC" w:rsidTr="00C91DBB">
        <w:trPr>
          <w:trHeight w:val="255"/>
        </w:trPr>
        <w:tc>
          <w:tcPr>
            <w:tcW w:w="4977" w:type="dxa"/>
            <w:tcBorders>
              <w:top w:val="nil"/>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rPr>
                <w:rFonts w:ascii="Arial" w:hAnsi="Arial" w:cs="Arial"/>
                <w:sz w:val="24"/>
                <w:szCs w:val="24"/>
              </w:rPr>
            </w:pPr>
            <w:r w:rsidRPr="005263CC">
              <w:rPr>
                <w:rFonts w:ascii="Arial" w:hAnsi="Arial" w:cs="Arial"/>
                <w:sz w:val="24"/>
                <w:szCs w:val="24"/>
              </w:rPr>
              <w:t>Adeudos U.T.E.</w:t>
            </w:r>
          </w:p>
        </w:tc>
        <w:tc>
          <w:tcPr>
            <w:tcW w:w="1186" w:type="dxa"/>
            <w:tcBorders>
              <w:top w:val="nil"/>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center"/>
              <w:rPr>
                <w:rFonts w:ascii="Arial" w:hAnsi="Arial" w:cs="Arial"/>
                <w:sz w:val="24"/>
                <w:szCs w:val="24"/>
              </w:rPr>
            </w:pPr>
            <w:r w:rsidRPr="005263CC">
              <w:rPr>
                <w:rFonts w:ascii="Arial" w:hAnsi="Arial" w:cs="Arial"/>
                <w:sz w:val="24"/>
                <w:szCs w:val="24"/>
              </w:rPr>
              <w:t>9.118</w:t>
            </w:r>
          </w:p>
        </w:tc>
      </w:tr>
      <w:tr w:rsidR="005263CC" w:rsidRPr="005263CC" w:rsidTr="00C91DBB">
        <w:trPr>
          <w:trHeight w:val="255"/>
        </w:trPr>
        <w:tc>
          <w:tcPr>
            <w:tcW w:w="4977" w:type="dxa"/>
            <w:tcBorders>
              <w:top w:val="nil"/>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center"/>
              <w:rPr>
                <w:rFonts w:ascii="Arial" w:hAnsi="Arial" w:cs="Arial"/>
                <w:sz w:val="24"/>
                <w:szCs w:val="24"/>
              </w:rPr>
            </w:pPr>
            <w:r w:rsidRPr="005263CC">
              <w:rPr>
                <w:rFonts w:ascii="Arial" w:hAnsi="Arial" w:cs="Arial"/>
                <w:sz w:val="24"/>
                <w:szCs w:val="24"/>
              </w:rPr>
              <w:t>TOTAL</w:t>
            </w:r>
          </w:p>
        </w:tc>
        <w:tc>
          <w:tcPr>
            <w:tcW w:w="1186" w:type="dxa"/>
            <w:tcBorders>
              <w:top w:val="nil"/>
              <w:left w:val="nil"/>
              <w:bottom w:val="single" w:sz="4" w:space="0" w:color="auto"/>
              <w:right w:val="single" w:sz="4" w:space="0" w:color="auto"/>
            </w:tcBorders>
            <w:noWrap/>
            <w:vAlign w:val="bottom"/>
          </w:tcPr>
          <w:p w:rsidR="005263CC" w:rsidRPr="005263CC" w:rsidRDefault="005263CC" w:rsidP="005263CC">
            <w:pPr>
              <w:keepNext/>
              <w:widowControl w:val="0"/>
              <w:spacing w:after="0" w:line="240" w:lineRule="auto"/>
              <w:jc w:val="center"/>
              <w:rPr>
                <w:rFonts w:ascii="Arial" w:hAnsi="Arial" w:cs="Arial"/>
                <w:sz w:val="24"/>
                <w:szCs w:val="24"/>
              </w:rPr>
            </w:pPr>
            <w:r w:rsidRPr="005263CC">
              <w:rPr>
                <w:rFonts w:ascii="Arial" w:hAnsi="Arial" w:cs="Arial"/>
                <w:sz w:val="24"/>
                <w:szCs w:val="24"/>
              </w:rPr>
              <w:t>17.033</w:t>
            </w:r>
          </w:p>
        </w:tc>
      </w:tr>
    </w:tbl>
    <w:p w:rsidR="005263CC" w:rsidRPr="005263CC" w:rsidRDefault="005263CC" w:rsidP="005263CC">
      <w:pPr>
        <w:keepNext/>
        <w:widowControl w:val="0"/>
        <w:autoSpaceDE w:val="0"/>
        <w:autoSpaceDN w:val="0"/>
        <w:adjustRightInd w:val="0"/>
        <w:spacing w:after="0"/>
        <w:jc w:val="both"/>
        <w:rPr>
          <w:rFonts w:ascii="Arial" w:hAnsi="Arial" w:cs="Arial"/>
          <w:sz w:val="24"/>
          <w:szCs w:val="24"/>
        </w:rPr>
      </w:pP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En dicha resolución se establece un plazo de 30 años para la cancelación de los mismos reconociendo pérdidas anuales por parte del BCU de un 3.33% de los importes vigentes al cierre de cada ejercici</w:t>
      </w:r>
      <w:r w:rsidR="00D702EF">
        <w:rPr>
          <w:rFonts w:ascii="Arial" w:hAnsi="Arial" w:cs="Arial"/>
          <w:sz w:val="24"/>
          <w:szCs w:val="24"/>
        </w:rPr>
        <w:t>o.</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Con fecha 09/09/2015 el Directorio del BCU, según Resolución N° 238/2015, resuelve adelantar diez años de las pérdidas mencionadas  para el Ejercicio 2015, cuyo importe asciende a miles de $ 12.466.024. El MEF lo expone como una ganancia en la cuenta “Quita deudas MEF-BCU”; en el capítu</w:t>
      </w:r>
      <w:r w:rsidR="00D702EF">
        <w:rPr>
          <w:rFonts w:ascii="Arial" w:hAnsi="Arial" w:cs="Arial"/>
          <w:sz w:val="24"/>
          <w:szCs w:val="24"/>
        </w:rPr>
        <w:t>lo  Resultados Extraordinarios.</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p>
    <w:p w:rsidR="005263CC" w:rsidRPr="005263CC" w:rsidRDefault="005263CC" w:rsidP="005263CC">
      <w:pPr>
        <w:keepNext/>
        <w:widowControl w:val="0"/>
        <w:autoSpaceDE w:val="0"/>
        <w:autoSpaceDN w:val="0"/>
        <w:adjustRightInd w:val="0"/>
        <w:contextualSpacing/>
        <w:jc w:val="both"/>
        <w:rPr>
          <w:rFonts w:ascii="Arial" w:hAnsi="Arial" w:cs="Arial"/>
          <w:b/>
          <w:bCs/>
          <w:sz w:val="24"/>
          <w:szCs w:val="24"/>
        </w:rPr>
      </w:pPr>
      <w:r w:rsidRPr="005263CC">
        <w:rPr>
          <w:rFonts w:ascii="Arial" w:hAnsi="Arial" w:cs="Arial"/>
          <w:b/>
          <w:bCs/>
          <w:sz w:val="24"/>
          <w:szCs w:val="24"/>
        </w:rPr>
        <w:t>5.3) Préstamo ANCAP</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En el Estado de Situación del Tesoro al 31/12/2015 se expone la deuda que ANCAP mantenía con el MEF por miles de $ 18.861.248, equivalentes a UI 5.712.381.810. Este importe se compone de préstamos otorgados a ANCAP al amparo de las leyes N° 18.965 del 30 de agosto de 2012 y N° 1</w:t>
      </w:r>
      <w:r w:rsidR="00D702EF">
        <w:rPr>
          <w:rFonts w:ascii="Arial" w:hAnsi="Arial" w:cs="Arial"/>
          <w:sz w:val="24"/>
          <w:szCs w:val="24"/>
        </w:rPr>
        <w:t>9.339 del 26 de agosto de 2015.</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 xml:space="preserve">Con fecha 4 de enero de 2016 el Poder Legislativo, mediante Ley N° 19.368, </w:t>
      </w:r>
      <w:proofErr w:type="gramStart"/>
      <w:r w:rsidRPr="005263CC">
        <w:rPr>
          <w:rFonts w:ascii="Arial" w:hAnsi="Arial" w:cs="Arial"/>
          <w:sz w:val="24"/>
          <w:szCs w:val="24"/>
        </w:rPr>
        <w:t>autoriza</w:t>
      </w:r>
      <w:proofErr w:type="gramEnd"/>
      <w:r w:rsidRPr="005263CC">
        <w:rPr>
          <w:rFonts w:ascii="Arial" w:hAnsi="Arial" w:cs="Arial"/>
          <w:sz w:val="24"/>
          <w:szCs w:val="24"/>
        </w:rPr>
        <w:t xml:space="preserve"> al Poder Ejecutivo a capitalizar hasta UI 5.712.381.810 a ANCAP a través de la condonación de la deuda vigente al 31/12/2015 del Ente con el MEF.</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p>
    <w:p w:rsidR="005263CC" w:rsidRPr="005263CC" w:rsidRDefault="005263CC" w:rsidP="005263CC">
      <w:pPr>
        <w:keepNext/>
        <w:widowControl w:val="0"/>
        <w:autoSpaceDE w:val="0"/>
        <w:autoSpaceDN w:val="0"/>
        <w:adjustRightInd w:val="0"/>
        <w:contextualSpacing/>
        <w:jc w:val="both"/>
        <w:rPr>
          <w:rFonts w:ascii="Arial" w:hAnsi="Arial" w:cs="Arial"/>
          <w:b/>
          <w:sz w:val="24"/>
          <w:szCs w:val="24"/>
        </w:rPr>
      </w:pPr>
      <w:r w:rsidRPr="005263CC">
        <w:rPr>
          <w:rFonts w:ascii="Arial" w:hAnsi="Arial" w:cs="Arial"/>
          <w:b/>
          <w:sz w:val="24"/>
          <w:szCs w:val="24"/>
        </w:rPr>
        <w:t>5.4) Tope de Endeudamiento</w:t>
      </w:r>
    </w:p>
    <w:p w:rsid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La evolución del tope de endeudamiento se detalla en la siguiente tabla y se encuentra reflejado en el cuadro N°38 “Estado sobre la utilización del tope de emisión de Deuda Pública”:</w:t>
      </w:r>
    </w:p>
    <w:tbl>
      <w:tblPr>
        <w:tblW w:w="0" w:type="auto"/>
        <w:tblInd w:w="1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701"/>
      </w:tblGrid>
      <w:tr w:rsidR="005263CC" w:rsidRPr="005263CC" w:rsidTr="00C91DBB">
        <w:tc>
          <w:tcPr>
            <w:tcW w:w="4253" w:type="dxa"/>
          </w:tcPr>
          <w:p w:rsidR="005263CC" w:rsidRPr="005263CC" w:rsidRDefault="005263CC" w:rsidP="005263CC">
            <w:pPr>
              <w:keepNext/>
              <w:widowControl w:val="0"/>
              <w:autoSpaceDE w:val="0"/>
              <w:autoSpaceDN w:val="0"/>
              <w:adjustRightInd w:val="0"/>
              <w:spacing w:after="0"/>
              <w:jc w:val="center"/>
              <w:rPr>
                <w:rFonts w:ascii="Arial" w:hAnsi="Arial" w:cs="Arial"/>
                <w:b/>
                <w:sz w:val="24"/>
                <w:szCs w:val="24"/>
              </w:rPr>
            </w:pPr>
            <w:r w:rsidRPr="005263CC">
              <w:rPr>
                <w:rFonts w:ascii="Arial" w:hAnsi="Arial" w:cs="Arial"/>
                <w:b/>
                <w:sz w:val="24"/>
                <w:szCs w:val="24"/>
              </w:rPr>
              <w:t>Concepto</w:t>
            </w:r>
          </w:p>
        </w:tc>
        <w:tc>
          <w:tcPr>
            <w:tcW w:w="1701" w:type="dxa"/>
          </w:tcPr>
          <w:p w:rsidR="005263CC" w:rsidRPr="005263CC" w:rsidRDefault="005263CC" w:rsidP="005263CC">
            <w:pPr>
              <w:keepNext/>
              <w:widowControl w:val="0"/>
              <w:autoSpaceDE w:val="0"/>
              <w:autoSpaceDN w:val="0"/>
              <w:adjustRightInd w:val="0"/>
              <w:spacing w:after="0"/>
              <w:jc w:val="center"/>
              <w:rPr>
                <w:rFonts w:ascii="Arial" w:hAnsi="Arial" w:cs="Arial"/>
                <w:b/>
                <w:sz w:val="24"/>
                <w:szCs w:val="24"/>
              </w:rPr>
            </w:pPr>
            <w:r w:rsidRPr="005263CC">
              <w:rPr>
                <w:rFonts w:ascii="Arial" w:hAnsi="Arial" w:cs="Arial"/>
                <w:b/>
                <w:sz w:val="24"/>
                <w:szCs w:val="24"/>
              </w:rPr>
              <w:t>Millones de UI</w:t>
            </w:r>
          </w:p>
        </w:tc>
      </w:tr>
      <w:tr w:rsidR="005263CC" w:rsidRPr="005263CC" w:rsidTr="00C91DBB">
        <w:tc>
          <w:tcPr>
            <w:tcW w:w="4253" w:type="dxa"/>
          </w:tcPr>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Deuda Pública Neta Diciembre 2014</w:t>
            </w:r>
          </w:p>
        </w:tc>
        <w:tc>
          <w:tcPr>
            <w:tcW w:w="1701" w:type="dxa"/>
          </w:tcPr>
          <w:p w:rsidR="005263CC" w:rsidRPr="005263CC" w:rsidRDefault="005263CC" w:rsidP="005263CC">
            <w:pPr>
              <w:keepNext/>
              <w:widowControl w:val="0"/>
              <w:autoSpaceDE w:val="0"/>
              <w:autoSpaceDN w:val="0"/>
              <w:adjustRightInd w:val="0"/>
              <w:spacing w:after="0"/>
              <w:jc w:val="right"/>
              <w:rPr>
                <w:rFonts w:ascii="Arial" w:hAnsi="Arial" w:cs="Arial"/>
                <w:sz w:val="24"/>
                <w:szCs w:val="24"/>
              </w:rPr>
            </w:pPr>
            <w:r w:rsidRPr="005263CC">
              <w:rPr>
                <w:rFonts w:ascii="Arial" w:hAnsi="Arial" w:cs="Arial"/>
                <w:sz w:val="24"/>
                <w:szCs w:val="24"/>
              </w:rPr>
              <w:t>184.927</w:t>
            </w:r>
          </w:p>
        </w:tc>
      </w:tr>
      <w:tr w:rsidR="005263CC" w:rsidRPr="005263CC" w:rsidTr="00C91DBB">
        <w:tc>
          <w:tcPr>
            <w:tcW w:w="4253" w:type="dxa"/>
          </w:tcPr>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Deuda Pública Neta Diciembre 2015</w:t>
            </w:r>
          </w:p>
        </w:tc>
        <w:tc>
          <w:tcPr>
            <w:tcW w:w="1701" w:type="dxa"/>
          </w:tcPr>
          <w:p w:rsidR="005263CC" w:rsidRPr="005263CC" w:rsidRDefault="005263CC" w:rsidP="005263CC">
            <w:pPr>
              <w:keepNext/>
              <w:widowControl w:val="0"/>
              <w:autoSpaceDE w:val="0"/>
              <w:autoSpaceDN w:val="0"/>
              <w:adjustRightInd w:val="0"/>
              <w:spacing w:after="0"/>
              <w:jc w:val="right"/>
              <w:rPr>
                <w:rFonts w:ascii="Arial" w:hAnsi="Arial" w:cs="Arial"/>
                <w:sz w:val="24"/>
                <w:szCs w:val="24"/>
              </w:rPr>
            </w:pPr>
            <w:r w:rsidRPr="005263CC">
              <w:rPr>
                <w:rFonts w:ascii="Arial" w:hAnsi="Arial" w:cs="Arial"/>
                <w:sz w:val="24"/>
                <w:szCs w:val="24"/>
              </w:rPr>
              <w:t>202.644</w:t>
            </w:r>
          </w:p>
        </w:tc>
      </w:tr>
      <w:tr w:rsidR="005263CC" w:rsidRPr="005263CC" w:rsidTr="00C91DBB">
        <w:tc>
          <w:tcPr>
            <w:tcW w:w="4253" w:type="dxa"/>
          </w:tcPr>
          <w:p w:rsidR="005263CC" w:rsidRPr="005263CC" w:rsidRDefault="005263CC" w:rsidP="005263CC">
            <w:pPr>
              <w:keepNext/>
              <w:widowControl w:val="0"/>
              <w:autoSpaceDE w:val="0"/>
              <w:autoSpaceDN w:val="0"/>
              <w:adjustRightInd w:val="0"/>
              <w:spacing w:after="0"/>
              <w:jc w:val="both"/>
              <w:rPr>
                <w:rFonts w:ascii="Arial" w:hAnsi="Arial" w:cs="Arial"/>
                <w:b/>
                <w:sz w:val="24"/>
                <w:szCs w:val="24"/>
              </w:rPr>
            </w:pPr>
            <w:r w:rsidRPr="005263CC">
              <w:rPr>
                <w:rFonts w:ascii="Arial" w:hAnsi="Arial" w:cs="Arial"/>
                <w:b/>
                <w:sz w:val="24"/>
                <w:szCs w:val="24"/>
              </w:rPr>
              <w:t>INCREMENTO DE LA DEUDA PUBLICA</w:t>
            </w:r>
          </w:p>
        </w:tc>
        <w:tc>
          <w:tcPr>
            <w:tcW w:w="1701" w:type="dxa"/>
          </w:tcPr>
          <w:p w:rsidR="005263CC" w:rsidRPr="005263CC" w:rsidRDefault="005263CC" w:rsidP="005263CC">
            <w:pPr>
              <w:keepNext/>
              <w:widowControl w:val="0"/>
              <w:autoSpaceDE w:val="0"/>
              <w:autoSpaceDN w:val="0"/>
              <w:adjustRightInd w:val="0"/>
              <w:spacing w:after="0"/>
              <w:jc w:val="right"/>
              <w:rPr>
                <w:rFonts w:ascii="Arial" w:hAnsi="Arial" w:cs="Arial"/>
                <w:b/>
                <w:sz w:val="24"/>
                <w:szCs w:val="24"/>
              </w:rPr>
            </w:pPr>
            <w:r w:rsidRPr="005263CC">
              <w:rPr>
                <w:rFonts w:ascii="Arial" w:hAnsi="Arial" w:cs="Arial"/>
                <w:b/>
                <w:sz w:val="24"/>
                <w:szCs w:val="24"/>
              </w:rPr>
              <w:t>17.717</w:t>
            </w:r>
          </w:p>
        </w:tc>
      </w:tr>
    </w:tbl>
    <w:p w:rsidR="005263CC" w:rsidRPr="005263CC" w:rsidRDefault="005263CC" w:rsidP="005263CC">
      <w:pPr>
        <w:keepNext/>
        <w:widowControl w:val="0"/>
        <w:autoSpaceDE w:val="0"/>
        <w:autoSpaceDN w:val="0"/>
        <w:adjustRightInd w:val="0"/>
        <w:spacing w:after="0"/>
        <w:jc w:val="both"/>
        <w:rPr>
          <w:rFonts w:ascii="Arial" w:hAnsi="Arial" w:cs="Arial"/>
          <w:sz w:val="24"/>
          <w:szCs w:val="24"/>
        </w:rPr>
      </w:pP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A diciembre de 2015, la deuda neta mostró un incremento de UI 17.717 millones como consecuencia de un aumento de pasivos por UI 769 millones, y una  disminución  de activos de UI 16.948 millones.</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p>
    <w:tbl>
      <w:tblPr>
        <w:tblW w:w="6410" w:type="dxa"/>
        <w:tblInd w:w="1762" w:type="dxa"/>
        <w:tblCellMar>
          <w:left w:w="70" w:type="dxa"/>
          <w:right w:w="70" w:type="dxa"/>
        </w:tblCellMar>
        <w:tblLook w:val="04A0" w:firstRow="1" w:lastRow="0" w:firstColumn="1" w:lastColumn="0" w:noHBand="0" w:noVBand="1"/>
      </w:tblPr>
      <w:tblGrid>
        <w:gridCol w:w="3460"/>
        <w:gridCol w:w="1461"/>
        <w:gridCol w:w="1589"/>
      </w:tblGrid>
      <w:tr w:rsidR="005263CC" w:rsidRPr="005263CC" w:rsidTr="00C91DBB">
        <w:trPr>
          <w:trHeight w:val="600"/>
        </w:trPr>
        <w:tc>
          <w:tcPr>
            <w:tcW w:w="3460" w:type="dxa"/>
            <w:tcBorders>
              <w:top w:val="nil"/>
              <w:left w:val="nil"/>
              <w:bottom w:val="nil"/>
              <w:right w:val="nil"/>
            </w:tcBorders>
            <w:noWrap/>
            <w:vAlign w:val="bottom"/>
            <w:hideMark/>
          </w:tcPr>
          <w:p w:rsidR="005263CC" w:rsidRPr="005263CC" w:rsidRDefault="005263CC" w:rsidP="005263CC">
            <w:pPr>
              <w:keepNext/>
              <w:widowControl w:val="0"/>
              <w:spacing w:after="0" w:line="240" w:lineRule="auto"/>
              <w:rPr>
                <w:rFonts w:ascii="Arial" w:eastAsia="Times New Roman" w:hAnsi="Arial" w:cs="Arial"/>
                <w:sz w:val="24"/>
                <w:szCs w:val="24"/>
              </w:rPr>
            </w:pPr>
          </w:p>
        </w:tc>
        <w:tc>
          <w:tcPr>
            <w:tcW w:w="1361" w:type="dxa"/>
            <w:tcBorders>
              <w:top w:val="single" w:sz="4" w:space="0" w:color="auto"/>
              <w:left w:val="single" w:sz="4" w:space="0" w:color="auto"/>
              <w:bottom w:val="single" w:sz="4" w:space="0" w:color="auto"/>
              <w:right w:val="single" w:sz="4" w:space="0" w:color="auto"/>
            </w:tcBorders>
            <w:vAlign w:val="bottom"/>
            <w:hideMark/>
          </w:tcPr>
          <w:p w:rsidR="005263CC" w:rsidRPr="005263CC" w:rsidRDefault="005263CC" w:rsidP="005263CC">
            <w:pPr>
              <w:keepNext/>
              <w:widowControl w:val="0"/>
              <w:spacing w:after="0" w:line="240" w:lineRule="auto"/>
              <w:jc w:val="center"/>
              <w:rPr>
                <w:rFonts w:ascii="Arial" w:eastAsia="Times New Roman" w:hAnsi="Arial" w:cs="Arial"/>
                <w:b/>
                <w:bCs/>
                <w:sz w:val="24"/>
                <w:szCs w:val="24"/>
              </w:rPr>
            </w:pPr>
            <w:r w:rsidRPr="005263CC">
              <w:rPr>
                <w:rFonts w:ascii="Arial" w:eastAsia="Times New Roman" w:hAnsi="Arial" w:cs="Arial"/>
                <w:b/>
                <w:bCs/>
                <w:sz w:val="24"/>
                <w:szCs w:val="24"/>
              </w:rPr>
              <w:t>Monto en miles UI</w:t>
            </w:r>
          </w:p>
        </w:tc>
        <w:tc>
          <w:tcPr>
            <w:tcW w:w="1589" w:type="dxa"/>
            <w:tcBorders>
              <w:top w:val="nil"/>
              <w:left w:val="single" w:sz="4" w:space="0" w:color="auto"/>
              <w:right w:val="nil"/>
            </w:tcBorders>
            <w:noWrap/>
            <w:vAlign w:val="bottom"/>
          </w:tcPr>
          <w:p w:rsidR="005263CC" w:rsidRPr="005263CC" w:rsidRDefault="005263CC" w:rsidP="005263CC">
            <w:pPr>
              <w:keepNext/>
              <w:widowControl w:val="0"/>
              <w:spacing w:after="0" w:line="240" w:lineRule="auto"/>
              <w:rPr>
                <w:rFonts w:ascii="Arial" w:eastAsia="Times New Roman" w:hAnsi="Arial" w:cs="Arial"/>
                <w:sz w:val="24"/>
                <w:szCs w:val="24"/>
              </w:rPr>
            </w:pPr>
          </w:p>
        </w:tc>
      </w:tr>
      <w:tr w:rsidR="005263CC" w:rsidRPr="005263CC" w:rsidTr="00C91DBB">
        <w:trPr>
          <w:trHeight w:val="300"/>
        </w:trPr>
        <w:tc>
          <w:tcPr>
            <w:tcW w:w="3460" w:type="dxa"/>
            <w:tcBorders>
              <w:top w:val="single" w:sz="4" w:space="0" w:color="auto"/>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rPr>
                <w:rFonts w:ascii="Arial" w:eastAsia="Times New Roman" w:hAnsi="Arial" w:cs="Arial"/>
                <w:sz w:val="24"/>
                <w:szCs w:val="24"/>
              </w:rPr>
            </w:pPr>
            <w:r w:rsidRPr="005263CC">
              <w:rPr>
                <w:rFonts w:ascii="Arial" w:eastAsia="Times New Roman" w:hAnsi="Arial" w:cs="Arial"/>
                <w:sz w:val="24"/>
                <w:szCs w:val="24"/>
              </w:rPr>
              <w:t>Aumento Pasivos</w:t>
            </w:r>
          </w:p>
        </w:tc>
        <w:tc>
          <w:tcPr>
            <w:tcW w:w="1361" w:type="dxa"/>
            <w:tcBorders>
              <w:top w:val="single" w:sz="4" w:space="0" w:color="auto"/>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right"/>
              <w:rPr>
                <w:rFonts w:ascii="Arial" w:eastAsia="Times New Roman" w:hAnsi="Arial" w:cs="Arial"/>
                <w:sz w:val="24"/>
                <w:szCs w:val="24"/>
              </w:rPr>
            </w:pPr>
            <w:r w:rsidRPr="005263CC">
              <w:rPr>
                <w:rFonts w:ascii="Arial" w:eastAsia="Times New Roman" w:hAnsi="Arial" w:cs="Arial"/>
                <w:sz w:val="24"/>
                <w:szCs w:val="24"/>
              </w:rPr>
              <w:t>769</w:t>
            </w:r>
          </w:p>
        </w:tc>
        <w:tc>
          <w:tcPr>
            <w:tcW w:w="1589" w:type="dxa"/>
            <w:tcBorders>
              <w:left w:val="single" w:sz="4" w:space="0" w:color="auto"/>
            </w:tcBorders>
            <w:noWrap/>
            <w:vAlign w:val="bottom"/>
          </w:tcPr>
          <w:p w:rsidR="005263CC" w:rsidRPr="005263CC" w:rsidRDefault="005263CC" w:rsidP="005263CC">
            <w:pPr>
              <w:keepNext/>
              <w:widowControl w:val="0"/>
              <w:spacing w:after="0" w:line="240" w:lineRule="auto"/>
              <w:rPr>
                <w:rFonts w:ascii="Arial" w:eastAsia="Times New Roman" w:hAnsi="Arial" w:cs="Arial"/>
                <w:sz w:val="24"/>
                <w:szCs w:val="24"/>
              </w:rPr>
            </w:pPr>
          </w:p>
        </w:tc>
      </w:tr>
      <w:tr w:rsidR="005263CC" w:rsidRPr="005263CC" w:rsidTr="00C91DBB">
        <w:trPr>
          <w:trHeight w:val="300"/>
        </w:trPr>
        <w:tc>
          <w:tcPr>
            <w:tcW w:w="3460" w:type="dxa"/>
            <w:tcBorders>
              <w:top w:val="nil"/>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rPr>
                <w:rFonts w:ascii="Arial" w:eastAsia="Times New Roman" w:hAnsi="Arial" w:cs="Arial"/>
                <w:sz w:val="24"/>
                <w:szCs w:val="24"/>
              </w:rPr>
            </w:pPr>
            <w:r w:rsidRPr="005263CC">
              <w:rPr>
                <w:rFonts w:ascii="Arial" w:eastAsia="Times New Roman" w:hAnsi="Arial" w:cs="Arial"/>
                <w:sz w:val="24"/>
                <w:szCs w:val="24"/>
              </w:rPr>
              <w:t>Disminución Activos</w:t>
            </w:r>
          </w:p>
        </w:tc>
        <w:tc>
          <w:tcPr>
            <w:tcW w:w="1361" w:type="dxa"/>
            <w:tcBorders>
              <w:top w:val="single" w:sz="4" w:space="0" w:color="auto"/>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right"/>
              <w:rPr>
                <w:rFonts w:ascii="Arial" w:eastAsia="Times New Roman" w:hAnsi="Arial" w:cs="Arial"/>
                <w:sz w:val="24"/>
                <w:szCs w:val="24"/>
              </w:rPr>
            </w:pPr>
            <w:r w:rsidRPr="005263CC">
              <w:rPr>
                <w:rFonts w:ascii="Arial" w:eastAsia="Times New Roman" w:hAnsi="Arial" w:cs="Arial"/>
                <w:sz w:val="24"/>
                <w:szCs w:val="24"/>
              </w:rPr>
              <w:t>16.948</w:t>
            </w:r>
          </w:p>
        </w:tc>
        <w:tc>
          <w:tcPr>
            <w:tcW w:w="1589" w:type="dxa"/>
            <w:tcBorders>
              <w:left w:val="single" w:sz="4" w:space="0" w:color="auto"/>
            </w:tcBorders>
            <w:noWrap/>
            <w:vAlign w:val="bottom"/>
          </w:tcPr>
          <w:p w:rsidR="005263CC" w:rsidRPr="005263CC" w:rsidRDefault="005263CC" w:rsidP="005263CC">
            <w:pPr>
              <w:keepNext/>
              <w:widowControl w:val="0"/>
              <w:spacing w:after="0" w:line="240" w:lineRule="auto"/>
              <w:rPr>
                <w:rFonts w:ascii="Arial" w:eastAsia="Times New Roman" w:hAnsi="Arial" w:cs="Arial"/>
                <w:sz w:val="24"/>
                <w:szCs w:val="24"/>
              </w:rPr>
            </w:pPr>
          </w:p>
        </w:tc>
      </w:tr>
      <w:tr w:rsidR="005263CC" w:rsidRPr="005263CC" w:rsidTr="00C91DBB">
        <w:trPr>
          <w:trHeight w:val="300"/>
        </w:trPr>
        <w:tc>
          <w:tcPr>
            <w:tcW w:w="3460" w:type="dxa"/>
            <w:tcBorders>
              <w:top w:val="nil"/>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rPr>
                <w:rFonts w:ascii="Arial" w:eastAsia="Times New Roman" w:hAnsi="Arial" w:cs="Arial"/>
                <w:b/>
                <w:bCs/>
                <w:sz w:val="24"/>
                <w:szCs w:val="24"/>
              </w:rPr>
            </w:pPr>
            <w:r w:rsidRPr="005263CC">
              <w:rPr>
                <w:rFonts w:ascii="Arial" w:eastAsia="Times New Roman" w:hAnsi="Arial" w:cs="Arial"/>
                <w:b/>
                <w:bCs/>
                <w:sz w:val="24"/>
                <w:szCs w:val="24"/>
              </w:rPr>
              <w:t>Incremento Deuda Pública Neta</w:t>
            </w:r>
          </w:p>
        </w:tc>
        <w:tc>
          <w:tcPr>
            <w:tcW w:w="1361" w:type="dxa"/>
            <w:tcBorders>
              <w:top w:val="single" w:sz="4" w:space="0" w:color="auto"/>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right"/>
              <w:rPr>
                <w:rFonts w:ascii="Arial" w:eastAsia="Times New Roman" w:hAnsi="Arial" w:cs="Arial"/>
                <w:b/>
                <w:bCs/>
                <w:sz w:val="24"/>
                <w:szCs w:val="24"/>
              </w:rPr>
            </w:pPr>
            <w:r w:rsidRPr="005263CC">
              <w:rPr>
                <w:rFonts w:ascii="Arial" w:eastAsia="Times New Roman" w:hAnsi="Arial" w:cs="Arial"/>
                <w:b/>
                <w:bCs/>
                <w:sz w:val="24"/>
                <w:szCs w:val="24"/>
              </w:rPr>
              <w:t>17.717</w:t>
            </w:r>
          </w:p>
        </w:tc>
        <w:tc>
          <w:tcPr>
            <w:tcW w:w="1589" w:type="dxa"/>
            <w:tcBorders>
              <w:left w:val="single" w:sz="4" w:space="0" w:color="auto"/>
            </w:tcBorders>
            <w:noWrap/>
            <w:vAlign w:val="bottom"/>
          </w:tcPr>
          <w:p w:rsidR="005263CC" w:rsidRPr="005263CC" w:rsidRDefault="005263CC" w:rsidP="005263CC">
            <w:pPr>
              <w:keepNext/>
              <w:widowControl w:val="0"/>
              <w:spacing w:after="0" w:line="240" w:lineRule="auto"/>
              <w:rPr>
                <w:rFonts w:ascii="Arial" w:eastAsia="Times New Roman" w:hAnsi="Arial" w:cs="Arial"/>
                <w:sz w:val="24"/>
                <w:szCs w:val="24"/>
              </w:rPr>
            </w:pPr>
          </w:p>
        </w:tc>
      </w:tr>
      <w:tr w:rsidR="005263CC" w:rsidRPr="005263CC" w:rsidTr="00C91DBB">
        <w:trPr>
          <w:trHeight w:val="300"/>
        </w:trPr>
        <w:tc>
          <w:tcPr>
            <w:tcW w:w="3460" w:type="dxa"/>
            <w:tcBorders>
              <w:top w:val="nil"/>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rPr>
                <w:rFonts w:ascii="Arial" w:eastAsia="Times New Roman" w:hAnsi="Arial" w:cs="Arial"/>
                <w:sz w:val="24"/>
                <w:szCs w:val="24"/>
              </w:rPr>
            </w:pPr>
            <w:r w:rsidRPr="005263CC">
              <w:rPr>
                <w:rFonts w:ascii="Arial" w:eastAsia="Times New Roman" w:hAnsi="Arial" w:cs="Arial"/>
                <w:sz w:val="24"/>
                <w:szCs w:val="24"/>
              </w:rPr>
              <w:t>Tope de Endeudamiento- Ley 17.947 Art 2 y Ley 19.355 Art 734</w:t>
            </w:r>
          </w:p>
        </w:tc>
        <w:tc>
          <w:tcPr>
            <w:tcW w:w="1361" w:type="dxa"/>
            <w:tcBorders>
              <w:top w:val="single" w:sz="4" w:space="0" w:color="auto"/>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right"/>
              <w:rPr>
                <w:rFonts w:ascii="Arial" w:eastAsia="Times New Roman" w:hAnsi="Arial" w:cs="Arial"/>
                <w:sz w:val="24"/>
                <w:szCs w:val="24"/>
              </w:rPr>
            </w:pPr>
            <w:r w:rsidRPr="005263CC">
              <w:rPr>
                <w:rFonts w:ascii="Arial" w:eastAsia="Times New Roman" w:hAnsi="Arial" w:cs="Arial"/>
                <w:sz w:val="24"/>
                <w:szCs w:val="24"/>
              </w:rPr>
              <w:t>16.000</w:t>
            </w:r>
          </w:p>
        </w:tc>
        <w:tc>
          <w:tcPr>
            <w:tcW w:w="1589" w:type="dxa"/>
            <w:tcBorders>
              <w:left w:val="single" w:sz="4" w:space="0" w:color="auto"/>
            </w:tcBorders>
            <w:noWrap/>
            <w:vAlign w:val="bottom"/>
          </w:tcPr>
          <w:p w:rsidR="005263CC" w:rsidRPr="005263CC" w:rsidRDefault="005263CC" w:rsidP="005263CC">
            <w:pPr>
              <w:keepNext/>
              <w:widowControl w:val="0"/>
              <w:spacing w:after="0" w:line="240" w:lineRule="auto"/>
              <w:rPr>
                <w:rFonts w:ascii="Arial" w:eastAsia="Times New Roman" w:hAnsi="Arial" w:cs="Arial"/>
                <w:sz w:val="24"/>
                <w:szCs w:val="24"/>
              </w:rPr>
            </w:pPr>
          </w:p>
        </w:tc>
      </w:tr>
      <w:tr w:rsidR="005263CC" w:rsidRPr="005263CC" w:rsidTr="00C91DBB">
        <w:trPr>
          <w:trHeight w:val="300"/>
        </w:trPr>
        <w:tc>
          <w:tcPr>
            <w:tcW w:w="3460" w:type="dxa"/>
            <w:tcBorders>
              <w:top w:val="nil"/>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rPr>
                <w:rFonts w:ascii="Arial" w:eastAsia="Times New Roman" w:hAnsi="Arial" w:cs="Arial"/>
                <w:sz w:val="24"/>
                <w:szCs w:val="24"/>
              </w:rPr>
            </w:pPr>
            <w:proofErr w:type="spellStart"/>
            <w:r w:rsidRPr="005263CC">
              <w:rPr>
                <w:rFonts w:ascii="Arial" w:eastAsia="Times New Roman" w:hAnsi="Arial" w:cs="Arial"/>
                <w:sz w:val="24"/>
                <w:szCs w:val="24"/>
              </w:rPr>
              <w:t>AumentoTope</w:t>
            </w:r>
            <w:proofErr w:type="spellEnd"/>
            <w:r w:rsidRPr="005263CC">
              <w:rPr>
                <w:rFonts w:ascii="Arial" w:eastAsia="Times New Roman" w:hAnsi="Arial" w:cs="Arial"/>
                <w:sz w:val="24"/>
                <w:szCs w:val="24"/>
              </w:rPr>
              <w:t xml:space="preserve"> Endeudamiento- Ley 17.947 art. 5 y Ley 19.355 Art. 735</w:t>
            </w:r>
          </w:p>
        </w:tc>
        <w:tc>
          <w:tcPr>
            <w:tcW w:w="1361" w:type="dxa"/>
            <w:tcBorders>
              <w:top w:val="single" w:sz="4" w:space="0" w:color="auto"/>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right"/>
              <w:rPr>
                <w:rFonts w:ascii="Arial" w:eastAsia="Times New Roman" w:hAnsi="Arial" w:cs="Arial"/>
                <w:sz w:val="24"/>
                <w:szCs w:val="24"/>
              </w:rPr>
            </w:pPr>
            <w:r w:rsidRPr="005263CC">
              <w:rPr>
                <w:rFonts w:ascii="Arial" w:eastAsia="Times New Roman" w:hAnsi="Arial" w:cs="Arial"/>
                <w:sz w:val="24"/>
                <w:szCs w:val="24"/>
              </w:rPr>
              <w:t>8.000</w:t>
            </w:r>
          </w:p>
        </w:tc>
        <w:tc>
          <w:tcPr>
            <w:tcW w:w="1589" w:type="dxa"/>
            <w:tcBorders>
              <w:left w:val="single" w:sz="4" w:space="0" w:color="auto"/>
            </w:tcBorders>
            <w:noWrap/>
            <w:vAlign w:val="bottom"/>
          </w:tcPr>
          <w:p w:rsidR="005263CC" w:rsidRPr="005263CC" w:rsidRDefault="005263CC" w:rsidP="005263CC">
            <w:pPr>
              <w:keepNext/>
              <w:widowControl w:val="0"/>
              <w:spacing w:after="0" w:line="240" w:lineRule="auto"/>
              <w:rPr>
                <w:rFonts w:ascii="Arial" w:eastAsia="Times New Roman" w:hAnsi="Arial" w:cs="Arial"/>
                <w:sz w:val="24"/>
                <w:szCs w:val="24"/>
              </w:rPr>
            </w:pPr>
          </w:p>
        </w:tc>
      </w:tr>
      <w:tr w:rsidR="005263CC" w:rsidRPr="005263CC" w:rsidTr="00C91DBB">
        <w:trPr>
          <w:trHeight w:val="300"/>
        </w:trPr>
        <w:tc>
          <w:tcPr>
            <w:tcW w:w="3460" w:type="dxa"/>
            <w:tcBorders>
              <w:top w:val="nil"/>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outlineLvl w:val="0"/>
              <w:rPr>
                <w:rFonts w:ascii="Arial" w:eastAsia="Times New Roman" w:hAnsi="Arial" w:cs="Arial"/>
                <w:b/>
                <w:bCs/>
                <w:sz w:val="24"/>
                <w:szCs w:val="24"/>
              </w:rPr>
            </w:pPr>
            <w:r w:rsidRPr="005263CC">
              <w:rPr>
                <w:rFonts w:ascii="Arial" w:eastAsia="Times New Roman" w:hAnsi="Arial" w:cs="Arial"/>
                <w:b/>
                <w:bCs/>
                <w:sz w:val="24"/>
                <w:szCs w:val="24"/>
              </w:rPr>
              <w:t>Tope Máximo Autorizado</w:t>
            </w:r>
          </w:p>
        </w:tc>
        <w:tc>
          <w:tcPr>
            <w:tcW w:w="1361" w:type="dxa"/>
            <w:tcBorders>
              <w:top w:val="single" w:sz="4" w:space="0" w:color="auto"/>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jc w:val="right"/>
              <w:rPr>
                <w:rFonts w:ascii="Arial" w:eastAsia="Times New Roman" w:hAnsi="Arial" w:cs="Arial"/>
                <w:b/>
                <w:bCs/>
                <w:sz w:val="24"/>
                <w:szCs w:val="24"/>
              </w:rPr>
            </w:pPr>
            <w:r w:rsidRPr="005263CC">
              <w:rPr>
                <w:rFonts w:ascii="Arial" w:eastAsia="Times New Roman" w:hAnsi="Arial" w:cs="Arial"/>
                <w:b/>
                <w:bCs/>
                <w:sz w:val="24"/>
                <w:szCs w:val="24"/>
              </w:rPr>
              <w:t>24.000</w:t>
            </w:r>
          </w:p>
        </w:tc>
        <w:tc>
          <w:tcPr>
            <w:tcW w:w="1589" w:type="dxa"/>
            <w:tcBorders>
              <w:left w:val="single" w:sz="4" w:space="0" w:color="auto"/>
              <w:bottom w:val="nil"/>
              <w:right w:val="nil"/>
            </w:tcBorders>
            <w:noWrap/>
            <w:vAlign w:val="bottom"/>
            <w:hideMark/>
          </w:tcPr>
          <w:p w:rsidR="005263CC" w:rsidRPr="005263CC" w:rsidRDefault="005263CC" w:rsidP="005263CC">
            <w:pPr>
              <w:keepNext/>
              <w:widowControl w:val="0"/>
              <w:spacing w:after="0" w:line="240" w:lineRule="auto"/>
              <w:rPr>
                <w:rFonts w:ascii="Arial" w:eastAsia="Times New Roman" w:hAnsi="Arial" w:cs="Arial"/>
                <w:sz w:val="24"/>
                <w:szCs w:val="24"/>
              </w:rPr>
            </w:pPr>
          </w:p>
        </w:tc>
      </w:tr>
      <w:tr w:rsidR="005263CC" w:rsidRPr="005263CC" w:rsidTr="00C91DBB">
        <w:trPr>
          <w:trHeight w:val="300"/>
        </w:trPr>
        <w:tc>
          <w:tcPr>
            <w:tcW w:w="3460" w:type="dxa"/>
            <w:tcBorders>
              <w:top w:val="nil"/>
              <w:left w:val="single" w:sz="4" w:space="0" w:color="auto"/>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outlineLvl w:val="0"/>
              <w:rPr>
                <w:rFonts w:ascii="Arial" w:eastAsia="Times New Roman" w:hAnsi="Arial" w:cs="Arial"/>
                <w:b/>
                <w:bCs/>
                <w:sz w:val="24"/>
                <w:szCs w:val="24"/>
              </w:rPr>
            </w:pPr>
            <w:r w:rsidRPr="005263CC">
              <w:rPr>
                <w:rFonts w:ascii="Arial" w:eastAsia="Times New Roman" w:hAnsi="Arial" w:cs="Arial"/>
                <w:b/>
                <w:bCs/>
                <w:sz w:val="24"/>
                <w:szCs w:val="24"/>
              </w:rPr>
              <w:t>Margen</w:t>
            </w:r>
          </w:p>
        </w:tc>
        <w:tc>
          <w:tcPr>
            <w:tcW w:w="1361" w:type="dxa"/>
            <w:tcBorders>
              <w:top w:val="single" w:sz="4" w:space="0" w:color="auto"/>
              <w:left w:val="nil"/>
              <w:bottom w:val="single" w:sz="4" w:space="0" w:color="auto"/>
              <w:right w:val="single" w:sz="4" w:space="0" w:color="auto"/>
            </w:tcBorders>
            <w:noWrap/>
            <w:vAlign w:val="bottom"/>
            <w:hideMark/>
          </w:tcPr>
          <w:p w:rsidR="005263CC" w:rsidRPr="005263CC" w:rsidRDefault="005263CC" w:rsidP="005263CC">
            <w:pPr>
              <w:keepNext/>
              <w:widowControl w:val="0"/>
              <w:spacing w:after="0" w:line="240" w:lineRule="auto"/>
              <w:ind w:left="720"/>
              <w:jc w:val="center"/>
              <w:rPr>
                <w:rFonts w:ascii="Arial" w:eastAsia="Times New Roman" w:hAnsi="Arial" w:cs="Arial"/>
                <w:b/>
                <w:bCs/>
                <w:sz w:val="24"/>
                <w:szCs w:val="24"/>
              </w:rPr>
            </w:pPr>
            <w:r w:rsidRPr="005263CC">
              <w:rPr>
                <w:rFonts w:ascii="Arial" w:eastAsia="Times New Roman" w:hAnsi="Arial" w:cs="Arial"/>
                <w:b/>
                <w:bCs/>
                <w:sz w:val="24"/>
                <w:szCs w:val="24"/>
              </w:rPr>
              <w:t>6.283</w:t>
            </w:r>
          </w:p>
        </w:tc>
        <w:tc>
          <w:tcPr>
            <w:tcW w:w="1589" w:type="dxa"/>
            <w:tcBorders>
              <w:top w:val="nil"/>
              <w:left w:val="nil"/>
              <w:bottom w:val="nil"/>
              <w:right w:val="nil"/>
            </w:tcBorders>
            <w:noWrap/>
            <w:vAlign w:val="bottom"/>
            <w:hideMark/>
          </w:tcPr>
          <w:p w:rsidR="005263CC" w:rsidRPr="005263CC" w:rsidRDefault="005263CC" w:rsidP="005263CC">
            <w:pPr>
              <w:keepNext/>
              <w:widowControl w:val="0"/>
              <w:spacing w:after="0" w:line="240" w:lineRule="auto"/>
              <w:rPr>
                <w:rFonts w:ascii="Arial" w:eastAsia="Times New Roman" w:hAnsi="Arial" w:cs="Arial"/>
                <w:sz w:val="24"/>
                <w:szCs w:val="24"/>
              </w:rPr>
            </w:pPr>
          </w:p>
        </w:tc>
      </w:tr>
    </w:tbl>
    <w:p w:rsidR="005263CC" w:rsidRPr="005263CC" w:rsidRDefault="005263CC" w:rsidP="005263CC">
      <w:pPr>
        <w:keepNext/>
        <w:widowControl w:val="0"/>
        <w:autoSpaceDE w:val="0"/>
        <w:autoSpaceDN w:val="0"/>
        <w:adjustRightInd w:val="0"/>
        <w:spacing w:after="0"/>
        <w:jc w:val="both"/>
        <w:rPr>
          <w:rFonts w:ascii="Arial" w:hAnsi="Arial" w:cs="Arial"/>
          <w:sz w:val="24"/>
          <w:szCs w:val="24"/>
        </w:rPr>
      </w:pP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 xml:space="preserve">El Artículo 2° de la Ley 17.947 de 8/01/2006, con la redacción dada por el artículo 735 de la Ley N° 19.355, establece conforme al Artículo 85 numeral 6 de la Constitución de la República, que se autoriza al Poder Ejecutivo a emitir deuda pública nacional siempre que el incremento de la deuda pública neta al cierre de cada ejercicio respecto al último </w:t>
      </w:r>
      <w:proofErr w:type="spellStart"/>
      <w:r w:rsidRPr="005263CC">
        <w:rPr>
          <w:rFonts w:ascii="Arial" w:hAnsi="Arial" w:cs="Arial"/>
          <w:sz w:val="24"/>
          <w:szCs w:val="24"/>
        </w:rPr>
        <w:t>dia</w:t>
      </w:r>
      <w:proofErr w:type="spellEnd"/>
      <w:r w:rsidRPr="005263CC">
        <w:rPr>
          <w:rFonts w:ascii="Arial" w:hAnsi="Arial" w:cs="Arial"/>
          <w:sz w:val="24"/>
          <w:szCs w:val="24"/>
        </w:rPr>
        <w:t xml:space="preserve"> hábil del año  anterior no supere, para el Ejercicio 2015, el monto de 16.000.000.000 UI (dieciséis</w:t>
      </w:r>
      <w:r w:rsidRPr="005263CC">
        <w:rPr>
          <w:rFonts w:ascii="Arial" w:eastAsia="Times New Roman" w:hAnsi="Arial" w:cs="Arial"/>
          <w:sz w:val="24"/>
          <w:szCs w:val="24"/>
          <w:lang w:val="es-ES" w:eastAsia="es-ES"/>
        </w:rPr>
        <w:t xml:space="preserve"> mil millones de unidades indexadas)</w:t>
      </w:r>
      <w:r w:rsidR="00D702EF">
        <w:rPr>
          <w:rFonts w:ascii="Arial" w:eastAsia="Times New Roman" w:hAnsi="Arial" w:cs="Arial"/>
          <w:sz w:val="24"/>
          <w:szCs w:val="24"/>
          <w:lang w:val="es-ES" w:eastAsia="es-ES"/>
        </w:rPr>
        <w:t>.</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r w:rsidRPr="005263CC">
        <w:rPr>
          <w:rFonts w:ascii="Arial" w:hAnsi="Arial" w:cs="Arial"/>
          <w:sz w:val="24"/>
          <w:szCs w:val="24"/>
        </w:rPr>
        <w:t>El Artículo 5 de la Ley 17.947, con la redacción dada por el Artículo 735 de la Ley N° 19.355, dispone que el Poder Ejecutivo podrá superar hasta un 50% el monto máximo fijado para un año determinado, en aquellos casos en los que factores extraordinarios e imprevistos así lo justificaren, dando cuenta a la Asamblea General. Ello se efectivizó por nota de fecha 29/12/2015, mediante la que se informa que se hará uso de la facultad otorgada en el mencionado artículo. A su vez con fecha 25/4/2016 el Poder Ejecutivo remitió un detalle de las razones que llevaron a hacer uso del aumento del tope de endeudamiento previsto legalmente, por lo que se cumplió con el procedimiento pre</w:t>
      </w:r>
      <w:r w:rsidR="00D702EF">
        <w:rPr>
          <w:rFonts w:ascii="Arial" w:hAnsi="Arial" w:cs="Arial"/>
          <w:sz w:val="24"/>
          <w:szCs w:val="24"/>
        </w:rPr>
        <w:t>visto en la norma legal citada.</w:t>
      </w: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p>
    <w:p w:rsidR="005263CC" w:rsidRPr="005263CC" w:rsidRDefault="005263CC" w:rsidP="005263CC">
      <w:pPr>
        <w:keepNext/>
        <w:widowControl w:val="0"/>
        <w:autoSpaceDE w:val="0"/>
        <w:autoSpaceDN w:val="0"/>
        <w:adjustRightInd w:val="0"/>
        <w:spacing w:after="0"/>
        <w:jc w:val="both"/>
        <w:rPr>
          <w:rFonts w:ascii="Arial" w:hAnsi="Arial" w:cs="Arial"/>
          <w:sz w:val="24"/>
          <w:szCs w:val="24"/>
        </w:rPr>
      </w:pPr>
      <w:proofErr w:type="spellStart"/>
      <w:proofErr w:type="gramStart"/>
      <w:r w:rsidRPr="005263CC">
        <w:rPr>
          <w:rFonts w:ascii="Arial" w:hAnsi="Arial" w:cs="Arial"/>
          <w:sz w:val="24"/>
          <w:szCs w:val="24"/>
        </w:rPr>
        <w:t>ag</w:t>
      </w:r>
      <w:proofErr w:type="spellEnd"/>
      <w:proofErr w:type="gramEnd"/>
    </w:p>
    <w:sectPr w:rsidR="005263CC" w:rsidRPr="005263CC" w:rsidSect="008A2239">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948E2"/>
    <w:multiLevelType w:val="hybridMultilevel"/>
    <w:tmpl w:val="C76C0FC0"/>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6CC75463"/>
    <w:multiLevelType w:val="multilevel"/>
    <w:tmpl w:val="3794A2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7BB46E41"/>
    <w:multiLevelType w:val="hybridMultilevel"/>
    <w:tmpl w:val="433E276C"/>
    <w:lvl w:ilvl="0" w:tplc="A650B5C2">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203"/>
    <w:rsid w:val="00005217"/>
    <w:rsid w:val="00010BBB"/>
    <w:rsid w:val="0001130E"/>
    <w:rsid w:val="000648D7"/>
    <w:rsid w:val="00075E9D"/>
    <w:rsid w:val="000973FE"/>
    <w:rsid w:val="000A2837"/>
    <w:rsid w:val="000B777A"/>
    <w:rsid w:val="000F5368"/>
    <w:rsid w:val="00130C9A"/>
    <w:rsid w:val="00142261"/>
    <w:rsid w:val="001510EC"/>
    <w:rsid w:val="00155CD4"/>
    <w:rsid w:val="001605F0"/>
    <w:rsid w:val="00162F63"/>
    <w:rsid w:val="001636E8"/>
    <w:rsid w:val="00172177"/>
    <w:rsid w:val="001B23BC"/>
    <w:rsid w:val="001C67EC"/>
    <w:rsid w:val="001F3FEE"/>
    <w:rsid w:val="00216E96"/>
    <w:rsid w:val="00254F0F"/>
    <w:rsid w:val="00272A5C"/>
    <w:rsid w:val="00277F2A"/>
    <w:rsid w:val="002A1794"/>
    <w:rsid w:val="002B2BFA"/>
    <w:rsid w:val="002B4949"/>
    <w:rsid w:val="002B4C6C"/>
    <w:rsid w:val="002C03EB"/>
    <w:rsid w:val="002D0729"/>
    <w:rsid w:val="002D6D7A"/>
    <w:rsid w:val="00312FCE"/>
    <w:rsid w:val="00313838"/>
    <w:rsid w:val="00320C7A"/>
    <w:rsid w:val="00321CDE"/>
    <w:rsid w:val="003510F3"/>
    <w:rsid w:val="003971AF"/>
    <w:rsid w:val="003D62FF"/>
    <w:rsid w:val="00412A7F"/>
    <w:rsid w:val="0045515A"/>
    <w:rsid w:val="00480993"/>
    <w:rsid w:val="004955D0"/>
    <w:rsid w:val="004A5342"/>
    <w:rsid w:val="004B2783"/>
    <w:rsid w:val="004B7153"/>
    <w:rsid w:val="00515D4A"/>
    <w:rsid w:val="00521EE4"/>
    <w:rsid w:val="005232B4"/>
    <w:rsid w:val="005234BB"/>
    <w:rsid w:val="005263CC"/>
    <w:rsid w:val="00571265"/>
    <w:rsid w:val="00592342"/>
    <w:rsid w:val="0059788B"/>
    <w:rsid w:val="005C11C0"/>
    <w:rsid w:val="005E7252"/>
    <w:rsid w:val="00610781"/>
    <w:rsid w:val="00644635"/>
    <w:rsid w:val="00663293"/>
    <w:rsid w:val="006E3AAE"/>
    <w:rsid w:val="00786961"/>
    <w:rsid w:val="007C7DAD"/>
    <w:rsid w:val="007D37A3"/>
    <w:rsid w:val="007E5CF9"/>
    <w:rsid w:val="00814F76"/>
    <w:rsid w:val="0082446D"/>
    <w:rsid w:val="00856FB1"/>
    <w:rsid w:val="00863B73"/>
    <w:rsid w:val="00870DEE"/>
    <w:rsid w:val="008A1359"/>
    <w:rsid w:val="008A2239"/>
    <w:rsid w:val="008D11EB"/>
    <w:rsid w:val="008F1F25"/>
    <w:rsid w:val="008F7987"/>
    <w:rsid w:val="00902D5A"/>
    <w:rsid w:val="009268CE"/>
    <w:rsid w:val="00933664"/>
    <w:rsid w:val="009A3A5F"/>
    <w:rsid w:val="009B799A"/>
    <w:rsid w:val="009E240D"/>
    <w:rsid w:val="00A34404"/>
    <w:rsid w:val="00A42D36"/>
    <w:rsid w:val="00AA1645"/>
    <w:rsid w:val="00AD1205"/>
    <w:rsid w:val="00AD425B"/>
    <w:rsid w:val="00AF5A0E"/>
    <w:rsid w:val="00B146C4"/>
    <w:rsid w:val="00B27AC4"/>
    <w:rsid w:val="00B530A6"/>
    <w:rsid w:val="00B75AEB"/>
    <w:rsid w:val="00B9549F"/>
    <w:rsid w:val="00BA7E92"/>
    <w:rsid w:val="00BB06AF"/>
    <w:rsid w:val="00BB2155"/>
    <w:rsid w:val="00BD5588"/>
    <w:rsid w:val="00BD55B4"/>
    <w:rsid w:val="00C05527"/>
    <w:rsid w:val="00C53443"/>
    <w:rsid w:val="00C61739"/>
    <w:rsid w:val="00C84158"/>
    <w:rsid w:val="00C91DBB"/>
    <w:rsid w:val="00C941C8"/>
    <w:rsid w:val="00CE7C1B"/>
    <w:rsid w:val="00D1580A"/>
    <w:rsid w:val="00D159F2"/>
    <w:rsid w:val="00D15E88"/>
    <w:rsid w:val="00D702EF"/>
    <w:rsid w:val="00D70306"/>
    <w:rsid w:val="00D71E25"/>
    <w:rsid w:val="00D73BAF"/>
    <w:rsid w:val="00D74F4F"/>
    <w:rsid w:val="00D85ED4"/>
    <w:rsid w:val="00DB5C58"/>
    <w:rsid w:val="00DD3E0C"/>
    <w:rsid w:val="00E0675E"/>
    <w:rsid w:val="00E11C65"/>
    <w:rsid w:val="00E51E90"/>
    <w:rsid w:val="00EA402C"/>
    <w:rsid w:val="00ED6181"/>
    <w:rsid w:val="00EE6A99"/>
    <w:rsid w:val="00EE77AF"/>
    <w:rsid w:val="00F01220"/>
    <w:rsid w:val="00F52D90"/>
    <w:rsid w:val="00F66316"/>
    <w:rsid w:val="00F853E0"/>
    <w:rsid w:val="00F87082"/>
    <w:rsid w:val="00F93F71"/>
    <w:rsid w:val="00FB6C54"/>
    <w:rsid w:val="00FC32AF"/>
    <w:rsid w:val="00FE253E"/>
    <w:rsid w:val="00FE2821"/>
    <w:rsid w:val="00FE6D90"/>
    <w:rsid w:val="00FF0203"/>
    <w:rsid w:val="00FF2C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360" w:lineRule="auto"/>
    </w:pPr>
    <w:rPr>
      <w:sz w:val="22"/>
      <w:szCs w:val="22"/>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5AEB"/>
    <w:pPr>
      <w:ind w:left="720"/>
      <w:contextualSpacing/>
    </w:pPr>
  </w:style>
  <w:style w:type="character" w:customStyle="1" w:styleId="apple-converted-space">
    <w:name w:val="apple-converted-space"/>
    <w:basedOn w:val="Fuentedeprrafopredeter"/>
    <w:rsid w:val="007E5CF9"/>
  </w:style>
  <w:style w:type="paragraph" w:customStyle="1" w:styleId="Sangradetindependiente">
    <w:name w:val="SangrÌa de t. independiente"/>
    <w:basedOn w:val="Normal"/>
    <w:rsid w:val="005234BB"/>
    <w:pPr>
      <w:tabs>
        <w:tab w:val="left" w:pos="860"/>
      </w:tabs>
      <w:spacing w:after="260" w:line="240" w:lineRule="auto"/>
      <w:jc w:val="both"/>
    </w:pPr>
    <w:rPr>
      <w:rFonts w:ascii="Times" w:eastAsia="Times New Roman" w:hAnsi="Times"/>
      <w:szCs w:val="20"/>
      <w:lang w:val="es-ES" w:eastAsia="es-ES"/>
    </w:rPr>
  </w:style>
  <w:style w:type="paragraph" w:styleId="Textodeglobo">
    <w:name w:val="Balloon Text"/>
    <w:basedOn w:val="Normal"/>
    <w:link w:val="TextodegloboCar"/>
    <w:uiPriority w:val="99"/>
    <w:semiHidden/>
    <w:unhideWhenUsed/>
    <w:rsid w:val="002D6D7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D6D7A"/>
    <w:rPr>
      <w:rFonts w:ascii="Tahoma" w:hAnsi="Tahoma" w:cs="Tahoma"/>
      <w:sz w:val="16"/>
      <w:szCs w:val="16"/>
    </w:rPr>
  </w:style>
  <w:style w:type="paragraph" w:styleId="Textoindependiente2">
    <w:name w:val="Body Text 2"/>
    <w:basedOn w:val="Normal"/>
    <w:link w:val="Textoindependiente2Car"/>
    <w:uiPriority w:val="99"/>
    <w:unhideWhenUsed/>
    <w:rsid w:val="005263CC"/>
    <w:pPr>
      <w:spacing w:after="120" w:line="480" w:lineRule="auto"/>
    </w:pPr>
    <w:rPr>
      <w:rFonts w:asciiTheme="minorHAnsi" w:eastAsiaTheme="minorEastAsia" w:hAnsiTheme="minorHAnsi" w:cstheme="minorBidi"/>
      <w:lang w:eastAsia="es-UY"/>
    </w:rPr>
  </w:style>
  <w:style w:type="character" w:customStyle="1" w:styleId="Textoindependiente2Car">
    <w:name w:val="Texto independiente 2 Car"/>
    <w:basedOn w:val="Fuentedeprrafopredeter"/>
    <w:link w:val="Textoindependiente2"/>
    <w:uiPriority w:val="99"/>
    <w:rsid w:val="005263CC"/>
    <w:rPr>
      <w:rFonts w:asciiTheme="minorHAnsi" w:eastAsiaTheme="minorEastAsia" w:hAnsiTheme="minorHAnsi" w:cstheme="minorBidi"/>
      <w:sz w:val="22"/>
      <w:szCs w:val="22"/>
      <w:lang w:val="es-UY"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360" w:lineRule="auto"/>
    </w:pPr>
    <w:rPr>
      <w:sz w:val="22"/>
      <w:szCs w:val="22"/>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5AEB"/>
    <w:pPr>
      <w:ind w:left="720"/>
      <w:contextualSpacing/>
    </w:pPr>
  </w:style>
  <w:style w:type="character" w:customStyle="1" w:styleId="apple-converted-space">
    <w:name w:val="apple-converted-space"/>
    <w:basedOn w:val="Fuentedeprrafopredeter"/>
    <w:rsid w:val="007E5CF9"/>
  </w:style>
  <w:style w:type="paragraph" w:customStyle="1" w:styleId="Sangradetindependiente">
    <w:name w:val="SangrÌa de t. independiente"/>
    <w:basedOn w:val="Normal"/>
    <w:rsid w:val="005234BB"/>
    <w:pPr>
      <w:tabs>
        <w:tab w:val="left" w:pos="860"/>
      </w:tabs>
      <w:spacing w:after="260" w:line="240" w:lineRule="auto"/>
      <w:jc w:val="both"/>
    </w:pPr>
    <w:rPr>
      <w:rFonts w:ascii="Times" w:eastAsia="Times New Roman" w:hAnsi="Times"/>
      <w:szCs w:val="20"/>
      <w:lang w:val="es-ES" w:eastAsia="es-ES"/>
    </w:rPr>
  </w:style>
  <w:style w:type="paragraph" w:styleId="Textodeglobo">
    <w:name w:val="Balloon Text"/>
    <w:basedOn w:val="Normal"/>
    <w:link w:val="TextodegloboCar"/>
    <w:uiPriority w:val="99"/>
    <w:semiHidden/>
    <w:unhideWhenUsed/>
    <w:rsid w:val="002D6D7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D6D7A"/>
    <w:rPr>
      <w:rFonts w:ascii="Tahoma" w:hAnsi="Tahoma" w:cs="Tahoma"/>
      <w:sz w:val="16"/>
      <w:szCs w:val="16"/>
    </w:rPr>
  </w:style>
  <w:style w:type="paragraph" w:styleId="Textoindependiente2">
    <w:name w:val="Body Text 2"/>
    <w:basedOn w:val="Normal"/>
    <w:link w:val="Textoindependiente2Car"/>
    <w:uiPriority w:val="99"/>
    <w:unhideWhenUsed/>
    <w:rsid w:val="005263CC"/>
    <w:pPr>
      <w:spacing w:after="120" w:line="480" w:lineRule="auto"/>
    </w:pPr>
    <w:rPr>
      <w:rFonts w:asciiTheme="minorHAnsi" w:eastAsiaTheme="minorEastAsia" w:hAnsiTheme="minorHAnsi" w:cstheme="minorBidi"/>
      <w:lang w:eastAsia="es-UY"/>
    </w:rPr>
  </w:style>
  <w:style w:type="character" w:customStyle="1" w:styleId="Textoindependiente2Car">
    <w:name w:val="Texto independiente 2 Car"/>
    <w:basedOn w:val="Fuentedeprrafopredeter"/>
    <w:link w:val="Textoindependiente2"/>
    <w:uiPriority w:val="99"/>
    <w:rsid w:val="005263CC"/>
    <w:rPr>
      <w:rFonts w:asciiTheme="minorHAnsi" w:eastAsiaTheme="minorEastAsia" w:hAnsiTheme="minorHAnsi" w:cstheme="minorBidi"/>
      <w:sz w:val="22"/>
      <w:szCs w:val="22"/>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91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39A51-5651-4509-B0EB-5270069A4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2700</Words>
  <Characters>14852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2016-07-13T17:35:00Z</cp:lastPrinted>
  <dcterms:created xsi:type="dcterms:W3CDTF">2016-07-13T17:36:00Z</dcterms:created>
  <dcterms:modified xsi:type="dcterms:W3CDTF">2016-10-19T18:53:00Z</dcterms:modified>
</cp:coreProperties>
</file>