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27C" w:rsidRPr="0076414D" w:rsidRDefault="0045727C" w:rsidP="0076414D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3080</w:t>
      </w:r>
      <w:r w:rsidR="0076414D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45727C" w:rsidRPr="0045727C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5727C">
        <w:rPr>
          <w:rFonts w:ascii="Arial" w:hAnsi="Arial" w:cs="Arial"/>
          <w:b/>
          <w:lang w:val="es-ES_tradnl"/>
        </w:rPr>
        <w:t>RESOLUCION ADOPTADA POR EL</w:t>
      </w:r>
    </w:p>
    <w:p w:rsidR="0045727C" w:rsidRPr="0045727C" w:rsidRDefault="0045727C" w:rsidP="004572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45727C" w:rsidRPr="0045727C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5727C">
        <w:rPr>
          <w:rFonts w:ascii="Arial" w:hAnsi="Arial" w:cs="Arial"/>
          <w:b/>
          <w:lang w:val="es-ES_tradnl"/>
        </w:rPr>
        <w:t>TRIBUNAL DE CUENTAS</w:t>
      </w:r>
    </w:p>
    <w:p w:rsidR="0045727C" w:rsidRPr="0045727C" w:rsidRDefault="0045727C" w:rsidP="0045727C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45727C" w:rsidRPr="0045727C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45727C">
        <w:rPr>
          <w:rFonts w:ascii="Arial" w:hAnsi="Arial" w:cs="Arial"/>
          <w:b/>
          <w:lang w:val="es-ES_tradnl"/>
        </w:rPr>
        <w:t>EN SESION DE FECHA 7 DE SEPTIEMBRE DE 2016</w:t>
      </w:r>
    </w:p>
    <w:p w:rsidR="0045727C" w:rsidRPr="0045727C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B42CB7" w:rsidRPr="00582290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582290">
        <w:rPr>
          <w:rFonts w:ascii="Arial" w:hAnsi="Arial" w:cs="Arial"/>
          <w:b/>
          <w:lang w:val="es-UY"/>
        </w:rPr>
        <w:t xml:space="preserve">(E. E. Nº 2016-17-1-0005845, </w:t>
      </w:r>
      <w:proofErr w:type="spellStart"/>
      <w:r w:rsidRPr="00582290">
        <w:rPr>
          <w:rFonts w:ascii="Arial" w:hAnsi="Arial" w:cs="Arial"/>
          <w:b/>
          <w:lang w:val="es-UY"/>
        </w:rPr>
        <w:t>Ent</w:t>
      </w:r>
      <w:proofErr w:type="spellEnd"/>
      <w:r w:rsidRPr="00582290">
        <w:rPr>
          <w:rFonts w:ascii="Arial" w:hAnsi="Arial" w:cs="Arial"/>
          <w:b/>
          <w:lang w:val="es-UY"/>
        </w:rPr>
        <w:t>. N° 4513/16)</w:t>
      </w:r>
    </w:p>
    <w:p w:rsidR="0045727C" w:rsidRPr="00582290" w:rsidRDefault="0045727C" w:rsidP="0045727C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</w:p>
    <w:p w:rsidR="000609EC" w:rsidRDefault="000609EC" w:rsidP="009D2A00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6E616A">
        <w:rPr>
          <w:rFonts w:ascii="Arial" w:hAnsi="Arial"/>
        </w:rPr>
        <w:t>16</w:t>
      </w:r>
      <w:r>
        <w:rPr>
          <w:rFonts w:ascii="Arial" w:hAnsi="Arial"/>
        </w:rPr>
        <w:t xml:space="preserve"> de </w:t>
      </w:r>
      <w:r w:rsidR="006E616A">
        <w:rPr>
          <w:rFonts w:ascii="Arial" w:hAnsi="Arial"/>
        </w:rPr>
        <w:t>agosto</w:t>
      </w:r>
      <w:r>
        <w:rPr>
          <w:rFonts w:ascii="Arial" w:hAnsi="Arial"/>
        </w:rPr>
        <w:t xml:space="preserve"> de 201</w:t>
      </w:r>
      <w:r w:rsidR="00B146D0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62684">
        <w:rPr>
          <w:rFonts w:ascii="Arial" w:hAnsi="Arial"/>
        </w:rPr>
        <w:t xml:space="preserve">Tomás </w:t>
      </w:r>
      <w:proofErr w:type="spellStart"/>
      <w:r w:rsidR="00662684">
        <w:rPr>
          <w:rFonts w:ascii="Arial" w:hAnsi="Arial"/>
        </w:rPr>
        <w:t>Gomensoro</w:t>
      </w:r>
      <w:proofErr w:type="spellEnd"/>
      <w:r w:rsidR="007F403D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9E1974">
        <w:rPr>
          <w:rFonts w:ascii="Arial" w:hAnsi="Arial"/>
        </w:rPr>
        <w:t>o</w:t>
      </w:r>
      <w:r>
        <w:rPr>
          <w:rFonts w:ascii="Arial" w:hAnsi="Arial"/>
        </w:rPr>
        <w:t>n</w:t>
      </w:r>
      <w:r w:rsidR="009E1974">
        <w:rPr>
          <w:rFonts w:ascii="Arial" w:hAnsi="Arial"/>
        </w:rPr>
        <w:t>es</w:t>
      </w:r>
      <w:r>
        <w:rPr>
          <w:rFonts w:ascii="Arial" w:hAnsi="Arial"/>
        </w:rPr>
        <w:t xml:space="preserve"> de gasto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9E1974">
        <w:rPr>
          <w:rFonts w:ascii="Arial" w:hAnsi="Arial"/>
        </w:rPr>
        <w:t>s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6E616A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6E616A">
        <w:rPr>
          <w:rFonts w:ascii="Arial" w:hAnsi="Arial"/>
        </w:rPr>
        <w:t>junio</w:t>
      </w:r>
      <w:r w:rsidR="00F432FF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F432FF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9E1974" w:rsidRDefault="000609EC" w:rsidP="009D2A00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6E616A">
        <w:rPr>
          <w:rFonts w:ascii="Arial" w:hAnsi="Arial"/>
          <w:lang w:val="es-MX"/>
        </w:rPr>
        <w:t>2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9E1974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en l</w:t>
      </w:r>
      <w:r w:rsidR="006E616A">
        <w:rPr>
          <w:rFonts w:ascii="Arial" w:hAnsi="Arial"/>
          <w:lang w:val="es-MX"/>
        </w:rPr>
        <w:t>os</w:t>
      </w:r>
      <w:r w:rsidR="009E1974">
        <w:rPr>
          <w:rFonts w:ascii="Arial" w:hAnsi="Arial"/>
          <w:lang w:val="es-MX"/>
        </w:rPr>
        <w:t xml:space="preserve"> mes</w:t>
      </w:r>
      <w:r w:rsidR="006E616A">
        <w:rPr>
          <w:rFonts w:ascii="Arial" w:hAnsi="Arial"/>
          <w:lang w:val="es-MX"/>
        </w:rPr>
        <w:t>es</w:t>
      </w:r>
      <w:r w:rsidR="009E1974">
        <w:rPr>
          <w:rFonts w:ascii="Arial" w:hAnsi="Arial"/>
          <w:lang w:val="es-MX"/>
        </w:rPr>
        <w:t xml:space="preserve"> de </w:t>
      </w:r>
      <w:r w:rsidR="006E616A">
        <w:rPr>
          <w:rFonts w:ascii="Arial" w:hAnsi="Arial"/>
          <w:lang w:val="es-MX"/>
        </w:rPr>
        <w:t>febrero y junio</w:t>
      </w:r>
      <w:r w:rsidR="00B146D0">
        <w:rPr>
          <w:rFonts w:ascii="Arial" w:hAnsi="Arial"/>
          <w:lang w:val="es-MX"/>
        </w:rPr>
        <w:t xml:space="preserve"> </w:t>
      </w:r>
      <w:r w:rsidR="009E1974">
        <w:rPr>
          <w:rFonts w:ascii="Arial" w:hAnsi="Arial"/>
          <w:lang w:val="es-MX"/>
        </w:rPr>
        <w:t>de 201</w:t>
      </w:r>
      <w:r w:rsidR="00F432FF">
        <w:rPr>
          <w:rFonts w:ascii="Arial" w:hAnsi="Arial"/>
          <w:lang w:val="es-MX"/>
        </w:rPr>
        <w:t>6</w:t>
      </w:r>
      <w:r w:rsidR="009E1974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6E616A">
        <w:rPr>
          <w:rFonts w:ascii="Arial" w:hAnsi="Arial"/>
          <w:lang w:val="es-MX"/>
        </w:rPr>
        <w:t>613.214</w:t>
      </w:r>
      <w:r w:rsidR="009E1974">
        <w:rPr>
          <w:rFonts w:ascii="Arial" w:hAnsi="Arial"/>
          <w:lang w:val="es-MX"/>
        </w:rPr>
        <w:t>, según el siguiente detalle: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871"/>
        <w:gridCol w:w="1484"/>
        <w:gridCol w:w="1366"/>
      </w:tblGrid>
      <w:tr w:rsidR="009E1974" w:rsidRPr="00582290" w:rsidTr="00EC160F">
        <w:tc>
          <w:tcPr>
            <w:tcW w:w="3366" w:type="pct"/>
          </w:tcPr>
          <w:p w:rsidR="009E1974" w:rsidRPr="00582290" w:rsidRDefault="009E1974" w:rsidP="00582290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2290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851" w:type="pct"/>
          </w:tcPr>
          <w:p w:rsidR="009E1974" w:rsidRPr="00582290" w:rsidRDefault="009E1974" w:rsidP="00582290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2290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783" w:type="pct"/>
          </w:tcPr>
          <w:p w:rsidR="009E1974" w:rsidRPr="00582290" w:rsidRDefault="009E1974" w:rsidP="00582290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582290">
              <w:rPr>
                <w:rFonts w:ascii="Arial" w:hAnsi="Arial"/>
                <w:b/>
                <w:lang w:val="es-MX"/>
              </w:rPr>
              <w:t>Importe</w:t>
            </w:r>
            <w:r w:rsidR="00582290">
              <w:rPr>
                <w:rFonts w:ascii="Arial" w:hAnsi="Arial"/>
                <w:b/>
                <w:lang w:val="es-MX"/>
              </w:rPr>
              <w:t xml:space="preserve"> $</w:t>
            </w:r>
          </w:p>
        </w:tc>
      </w:tr>
      <w:tr w:rsidR="009E1974" w:rsidTr="00EC160F">
        <w:tc>
          <w:tcPr>
            <w:tcW w:w="3366" w:type="pct"/>
          </w:tcPr>
          <w:p w:rsidR="009E1974" w:rsidRDefault="009D2A00" w:rsidP="00741F75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</w:t>
            </w:r>
            <w:r w:rsidR="009E1974">
              <w:rPr>
                <w:rFonts w:ascii="Arial" w:hAnsi="Arial"/>
                <w:lang w:val="es-MX"/>
              </w:rPr>
              <w:t xml:space="preserve">rt. </w:t>
            </w:r>
            <w:r w:rsidR="00741F75">
              <w:rPr>
                <w:rFonts w:ascii="Arial" w:hAnsi="Arial"/>
                <w:lang w:val="es-MX"/>
              </w:rPr>
              <w:t>15</w:t>
            </w:r>
            <w:r w:rsidR="009E1974">
              <w:rPr>
                <w:rFonts w:ascii="Arial" w:hAnsi="Arial"/>
                <w:lang w:val="es-MX"/>
              </w:rPr>
              <w:t xml:space="preserve"> del TOCAF</w:t>
            </w:r>
          </w:p>
        </w:tc>
        <w:tc>
          <w:tcPr>
            <w:tcW w:w="851" w:type="pct"/>
          </w:tcPr>
          <w:p w:rsidR="009E1974" w:rsidRDefault="006E616A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9E1974" w:rsidRDefault="006E616A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263.214</w:t>
            </w:r>
          </w:p>
        </w:tc>
      </w:tr>
      <w:tr w:rsidR="008849F8" w:rsidTr="00EC160F">
        <w:tc>
          <w:tcPr>
            <w:tcW w:w="3366" w:type="pct"/>
          </w:tcPr>
          <w:p w:rsidR="008849F8" w:rsidRDefault="008849F8" w:rsidP="006E616A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Por incumplimiento del </w:t>
            </w:r>
            <w:r w:rsidR="009D2A00">
              <w:rPr>
                <w:rFonts w:ascii="Arial" w:hAnsi="Arial"/>
                <w:lang w:val="es-MX"/>
              </w:rPr>
              <w:t>A</w:t>
            </w:r>
            <w:r w:rsidR="00431D37">
              <w:rPr>
                <w:rFonts w:ascii="Arial" w:hAnsi="Arial"/>
                <w:lang w:val="es-MX"/>
              </w:rPr>
              <w:t xml:space="preserve">rt. </w:t>
            </w:r>
            <w:r w:rsidR="007F403D">
              <w:rPr>
                <w:rFonts w:ascii="Arial" w:hAnsi="Arial"/>
                <w:lang w:val="es-MX"/>
              </w:rPr>
              <w:t>21</w:t>
            </w:r>
            <w:r w:rsidR="006E616A">
              <w:rPr>
                <w:rFonts w:ascii="Arial" w:hAnsi="Arial"/>
                <w:lang w:val="es-MX"/>
              </w:rPr>
              <w:t>1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  <w:r w:rsidR="006E616A">
              <w:rPr>
                <w:rFonts w:ascii="Arial" w:hAnsi="Arial"/>
                <w:lang w:val="es-MX"/>
              </w:rPr>
              <w:t>de la Constitución de la Re</w:t>
            </w:r>
            <w:r w:rsidR="003B1227">
              <w:rPr>
                <w:rFonts w:ascii="Arial" w:hAnsi="Arial"/>
                <w:lang w:val="es-MX"/>
              </w:rPr>
              <w:t>p</w:t>
            </w:r>
            <w:r w:rsidR="006E616A">
              <w:rPr>
                <w:rFonts w:ascii="Arial" w:hAnsi="Arial"/>
                <w:lang w:val="es-MX"/>
              </w:rPr>
              <w:t>ública</w:t>
            </w:r>
            <w:r w:rsidR="00431D37">
              <w:rPr>
                <w:rFonts w:ascii="Arial" w:hAnsi="Arial"/>
                <w:lang w:val="es-MX"/>
              </w:rPr>
              <w:t xml:space="preserve"> </w:t>
            </w:r>
          </w:p>
        </w:tc>
        <w:tc>
          <w:tcPr>
            <w:tcW w:w="851" w:type="pct"/>
          </w:tcPr>
          <w:p w:rsidR="008849F8" w:rsidRDefault="006E616A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783" w:type="pct"/>
          </w:tcPr>
          <w:p w:rsidR="008849F8" w:rsidRDefault="006E616A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350.000</w:t>
            </w:r>
          </w:p>
        </w:tc>
      </w:tr>
      <w:tr w:rsidR="009E1974" w:rsidTr="00EC160F">
        <w:tc>
          <w:tcPr>
            <w:tcW w:w="3366" w:type="pct"/>
          </w:tcPr>
          <w:p w:rsidR="009E1974" w:rsidRPr="00582290" w:rsidRDefault="009E1974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582290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851" w:type="pct"/>
          </w:tcPr>
          <w:p w:rsidR="009E1974" w:rsidRDefault="006E616A" w:rsidP="00EC160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783" w:type="pct"/>
          </w:tcPr>
          <w:p w:rsidR="009E1974" w:rsidRDefault="006E616A" w:rsidP="00471E4D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613.214</w:t>
            </w:r>
          </w:p>
        </w:tc>
      </w:tr>
    </w:tbl>
    <w:p w:rsidR="000609EC" w:rsidRDefault="000742F1">
      <w:pPr>
        <w:spacing w:after="12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 xml:space="preserve"> </w:t>
      </w:r>
      <w:r w:rsidR="000609EC">
        <w:rPr>
          <w:rFonts w:ascii="Arial" w:hAnsi="Arial"/>
          <w:lang w:val="es-MX"/>
        </w:rPr>
        <w:t xml:space="preserve"> </w:t>
      </w:r>
      <w:r w:rsidR="00D81254">
        <w:rPr>
          <w:rFonts w:ascii="Arial" w:hAnsi="Arial"/>
          <w:lang w:val="es-MX"/>
        </w:rPr>
        <w:tab/>
      </w:r>
      <w:r w:rsidR="00D81254">
        <w:rPr>
          <w:rFonts w:ascii="Arial" w:hAnsi="Arial"/>
          <w:lang w:val="es-MX"/>
        </w:rPr>
        <w:tab/>
      </w:r>
      <w:r w:rsidR="00D81254">
        <w:rPr>
          <w:rFonts w:ascii="Arial" w:hAnsi="Arial"/>
          <w:lang w:val="es-MX"/>
        </w:rPr>
        <w:tab/>
      </w:r>
    </w:p>
    <w:p w:rsidR="00D81254" w:rsidRPr="00991D82" w:rsidRDefault="00741F75" w:rsidP="009D2A00">
      <w:pPr>
        <w:spacing w:after="120"/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D81254">
        <w:rPr>
          <w:rFonts w:ascii="Arial" w:hAnsi="Arial"/>
          <w:lang w:val="es-MX"/>
        </w:rPr>
        <w:t>que el gasto ob</w:t>
      </w:r>
      <w:r w:rsidR="009D2A00">
        <w:rPr>
          <w:rFonts w:ascii="Arial" w:hAnsi="Arial"/>
          <w:lang w:val="es-MX"/>
        </w:rPr>
        <w:t>servado por incumplimiento del Artículo</w:t>
      </w:r>
      <w:r w:rsidR="00D81254">
        <w:rPr>
          <w:rFonts w:ascii="Arial" w:hAnsi="Arial"/>
          <w:lang w:val="es-MX"/>
        </w:rPr>
        <w:t xml:space="preserve"> 15 del TOCAF, mencionado en el Resultando anterior, se fundamenta en la no existencia crédito </w:t>
      </w:r>
      <w:proofErr w:type="spellStart"/>
      <w:r w:rsidR="00D81254">
        <w:rPr>
          <w:rFonts w:ascii="Arial" w:hAnsi="Arial"/>
          <w:lang w:val="es-MX"/>
        </w:rPr>
        <w:t>extrapresupuestal</w:t>
      </w:r>
      <w:proofErr w:type="spellEnd"/>
      <w:r w:rsidR="00D81254">
        <w:rPr>
          <w:rFonts w:ascii="Arial" w:hAnsi="Arial"/>
          <w:lang w:val="es-MX"/>
        </w:rPr>
        <w:t>;</w:t>
      </w:r>
    </w:p>
    <w:p w:rsidR="00F02EA7" w:rsidRDefault="00D81254" w:rsidP="009D2A00">
      <w:pPr>
        <w:spacing w:after="120"/>
        <w:ind w:firstLine="2694"/>
        <w:rPr>
          <w:rFonts w:ascii="Arial" w:hAnsi="Arial"/>
          <w:spacing w:val="-3"/>
          <w:lang w:val="es-ES_tradnl"/>
        </w:rPr>
      </w:pPr>
      <w:r w:rsidRPr="00D81254">
        <w:rPr>
          <w:rFonts w:ascii="Arial" w:hAnsi="Arial"/>
          <w:b/>
          <w:spacing w:val="-3"/>
          <w:lang w:val="es-MX"/>
        </w:rPr>
        <w:t>3)</w:t>
      </w:r>
      <w:r>
        <w:rPr>
          <w:rFonts w:ascii="Arial" w:hAnsi="Arial"/>
          <w:spacing w:val="-3"/>
          <w:lang w:val="es-MX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en l</w:t>
      </w:r>
      <w:r w:rsidR="009D2A00">
        <w:rPr>
          <w:rFonts w:ascii="Arial" w:hAnsi="Arial"/>
          <w:spacing w:val="-3"/>
          <w:lang w:val="es-ES_tradnl"/>
        </w:rPr>
        <w:t>as R</w:t>
      </w:r>
      <w:r w:rsidR="00431D37">
        <w:rPr>
          <w:rFonts w:ascii="Arial" w:hAnsi="Arial"/>
          <w:spacing w:val="-3"/>
          <w:lang w:val="es-ES_tradnl"/>
        </w:rPr>
        <w:t>esoluciones de reiteración</w:t>
      </w:r>
      <w:r w:rsidR="009E1974">
        <w:rPr>
          <w:rFonts w:ascii="Arial" w:hAnsi="Arial"/>
          <w:spacing w:val="-3"/>
          <w:lang w:val="es-ES_tradnl"/>
        </w:rPr>
        <w:t xml:space="preserve"> se establecen los fundamentos de las mismas</w:t>
      </w:r>
      <w:r w:rsidR="00F02EA7">
        <w:rPr>
          <w:rFonts w:ascii="Arial" w:hAnsi="Arial"/>
          <w:spacing w:val="-3"/>
          <w:lang w:val="es-ES_tradnl"/>
        </w:rPr>
        <w:t>;</w:t>
      </w:r>
    </w:p>
    <w:p w:rsidR="00D81254" w:rsidRDefault="000609EC" w:rsidP="009D2A00">
      <w:pPr>
        <w:tabs>
          <w:tab w:val="left" w:pos="-720"/>
        </w:tabs>
        <w:suppressAutoHyphens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CONSIDERANDO: </w:t>
      </w:r>
      <w:r w:rsidR="00741F75">
        <w:rPr>
          <w:rFonts w:ascii="Arial" w:hAnsi="Arial"/>
          <w:b/>
          <w:spacing w:val="-3"/>
          <w:lang w:val="es-ES_tradnl"/>
        </w:rPr>
        <w:t>1</w:t>
      </w:r>
      <w:r>
        <w:rPr>
          <w:rFonts w:ascii="Arial" w:hAnsi="Arial"/>
          <w:b/>
          <w:spacing w:val="-3"/>
          <w:lang w:val="es-ES_tradnl"/>
        </w:rPr>
        <w:t>)</w:t>
      </w:r>
      <w:r>
        <w:rPr>
          <w:rFonts w:ascii="Arial" w:hAnsi="Arial"/>
          <w:lang w:val="es-MX"/>
        </w:rPr>
        <w:t xml:space="preserve"> </w:t>
      </w:r>
      <w:r w:rsidR="009D2A00">
        <w:rPr>
          <w:rFonts w:ascii="Arial" w:hAnsi="Arial"/>
          <w:lang w:val="es-MX"/>
        </w:rPr>
        <w:t>que el Artículo</w:t>
      </w:r>
      <w:r w:rsidR="00D81254">
        <w:rPr>
          <w:rFonts w:ascii="Arial" w:hAnsi="Arial"/>
          <w:lang w:val="es-MX"/>
        </w:rPr>
        <w:t xml:space="preserve"> 14 del TOCAF dispone que en lo pertinente los compromisos deberán ser referidos, por su concepto e importe, a la asignación presupuestal que debe afectarse para su cumplimiento;</w:t>
      </w:r>
    </w:p>
    <w:p w:rsidR="00D81254" w:rsidRDefault="009D2A00" w:rsidP="009D2A00">
      <w:pPr>
        <w:tabs>
          <w:tab w:val="left" w:pos="-720"/>
        </w:tabs>
        <w:suppressAutoHyphens/>
        <w:ind w:firstLine="2977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 </w:t>
      </w:r>
      <w:r w:rsidR="00D81254" w:rsidRPr="00CF6DAA">
        <w:rPr>
          <w:rFonts w:ascii="Arial" w:hAnsi="Arial"/>
          <w:b/>
          <w:lang w:val="es-MX"/>
        </w:rPr>
        <w:t>2)</w:t>
      </w:r>
      <w:r w:rsidR="00D81254">
        <w:rPr>
          <w:rFonts w:ascii="Arial" w:hAnsi="Arial"/>
          <w:lang w:val="es-MX"/>
        </w:rPr>
        <w:t xml:space="preserve"> que por lo expresado en el Considerando anterior, el gasto a que se refiere el Resultando 2) es obs</w:t>
      </w:r>
      <w:r>
        <w:rPr>
          <w:rFonts w:ascii="Arial" w:hAnsi="Arial"/>
          <w:lang w:val="es-MX"/>
        </w:rPr>
        <w:t>ervable por incumplimiento del Artículo</w:t>
      </w:r>
      <w:r w:rsidR="00D81254">
        <w:rPr>
          <w:rFonts w:ascii="Arial" w:hAnsi="Arial"/>
          <w:lang w:val="es-MX"/>
        </w:rPr>
        <w:t xml:space="preserve"> 14 del TOCAF, por cuanto dicho gasto debió imputarse presupuestalmente;</w:t>
      </w:r>
    </w:p>
    <w:p w:rsidR="000609EC" w:rsidRDefault="009D2A00" w:rsidP="009D2A00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lang w:val="es-MX"/>
        </w:rPr>
        <w:t xml:space="preserve"> </w:t>
      </w:r>
      <w:r w:rsidR="00D81254" w:rsidRPr="00D81254">
        <w:rPr>
          <w:rFonts w:ascii="Arial" w:hAnsi="Arial"/>
          <w:b/>
          <w:lang w:val="es-MX"/>
        </w:rPr>
        <w:t>3)</w:t>
      </w:r>
      <w:r w:rsidR="00D81254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que el Artículo</w:t>
      </w:r>
      <w:r w:rsidR="000609EC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</w:t>
      </w:r>
      <w:r w:rsidR="0076414D">
        <w:rPr>
          <w:rFonts w:ascii="Arial" w:hAnsi="Arial"/>
          <w:lang w:val="es-MX"/>
        </w:rPr>
        <w:t>reiteración que les acuerda el Literal B) del A</w:t>
      </w:r>
      <w:r w:rsidR="000609EC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0609EC">
        <w:rPr>
          <w:rFonts w:ascii="Arial" w:hAnsi="Arial"/>
          <w:spacing w:val="-3"/>
          <w:lang w:val="es-ES_tradnl"/>
        </w:rPr>
        <w:t>;</w:t>
      </w:r>
      <w:r w:rsidR="000609EC">
        <w:rPr>
          <w:rFonts w:ascii="Arial" w:hAnsi="Arial"/>
          <w:spacing w:val="-3"/>
          <w:lang w:val="es-ES_tradnl"/>
        </w:rPr>
        <w:tab/>
      </w:r>
    </w:p>
    <w:p w:rsidR="00F02EA7" w:rsidRDefault="0076414D" w:rsidP="0076414D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spacing w:val="-3"/>
          <w:lang w:val="es-ES_tradnl"/>
        </w:rPr>
        <w:t xml:space="preserve"> </w:t>
      </w:r>
      <w:r w:rsidR="00D81254" w:rsidRPr="00D81254">
        <w:rPr>
          <w:rFonts w:ascii="Arial" w:hAnsi="Arial"/>
          <w:b/>
          <w:spacing w:val="-3"/>
          <w:lang w:val="es-ES_tradnl"/>
        </w:rPr>
        <w:t>4)</w:t>
      </w:r>
      <w:r w:rsidR="00D81254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que </w:t>
      </w:r>
      <w:r w:rsidR="009E1974">
        <w:rPr>
          <w:rFonts w:ascii="Arial" w:hAnsi="Arial"/>
          <w:spacing w:val="-3"/>
          <w:lang w:val="es-ES_tradnl"/>
        </w:rPr>
        <w:t>lo</w:t>
      </w:r>
      <w:r>
        <w:rPr>
          <w:rFonts w:ascii="Arial" w:hAnsi="Arial"/>
          <w:spacing w:val="-3"/>
          <w:lang w:val="es-ES_tradnl"/>
        </w:rPr>
        <w:t>s fundamentos expuestos en las R</w:t>
      </w:r>
      <w:r w:rsidR="009E1974">
        <w:rPr>
          <w:rFonts w:ascii="Arial" w:hAnsi="Arial"/>
          <w:spacing w:val="-3"/>
          <w:lang w:val="es-ES_tradnl"/>
        </w:rPr>
        <w:t xml:space="preserve">esoluciones de reiteración </w:t>
      </w:r>
      <w:r w:rsidR="00BF27CE">
        <w:rPr>
          <w:rFonts w:ascii="Arial" w:hAnsi="Arial"/>
          <w:spacing w:val="-3"/>
          <w:lang w:val="es-ES_tradnl"/>
        </w:rPr>
        <w:t xml:space="preserve"> no ameritan el levantamiento de las observaciones;</w:t>
      </w:r>
    </w:p>
    <w:p w:rsidR="000609EC" w:rsidRDefault="000609EC" w:rsidP="009D2A00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76414D">
        <w:rPr>
          <w:rFonts w:ascii="Arial" w:hAnsi="Arial" w:cs="Arial"/>
          <w:lang w:val="es-ES_tradnl"/>
        </w:rPr>
        <w:t>ente y a lo establecido por el Artículo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BF27CE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9E1974">
        <w:rPr>
          <w:rFonts w:ascii="Arial" w:hAnsi="Arial"/>
          <w:lang w:val="es-MX"/>
        </w:rPr>
        <w:t>o</w:t>
      </w:r>
      <w:r>
        <w:rPr>
          <w:rFonts w:ascii="Arial" w:hAnsi="Arial"/>
          <w:lang w:val="es-MX"/>
        </w:rPr>
        <w:t>n</w:t>
      </w:r>
      <w:r w:rsidR="009E1974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formulada</w:t>
      </w:r>
      <w:r w:rsidR="009E1974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662684">
        <w:rPr>
          <w:rFonts w:ascii="Arial" w:hAnsi="Arial"/>
          <w:lang w:val="es-MX"/>
        </w:rPr>
        <w:t xml:space="preserve">Tomás </w:t>
      </w:r>
      <w:proofErr w:type="spellStart"/>
      <w:r w:rsidR="00662684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 w:rsidR="00D81254">
        <w:rPr>
          <w:rFonts w:ascii="Arial" w:hAnsi="Arial"/>
          <w:lang w:val="es-MX"/>
        </w:rPr>
        <w:t xml:space="preserve">, excepto por lo </w:t>
      </w:r>
      <w:r w:rsidR="0076414D">
        <w:rPr>
          <w:rFonts w:ascii="Arial" w:hAnsi="Arial"/>
          <w:lang w:val="es-MX"/>
        </w:rPr>
        <w:t>expresado en el Considerando 2);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</w:t>
      </w:r>
      <w:r w:rsidR="0076414D">
        <w:rPr>
          <w:rFonts w:ascii="Arial" w:hAnsi="Arial"/>
        </w:rPr>
        <w:t>;</w:t>
      </w:r>
    </w:p>
    <w:p w:rsidR="000609EC" w:rsidRPr="00EC160F" w:rsidRDefault="0076414D" w:rsidP="00EC160F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Comunicar</w:t>
      </w:r>
      <w:r w:rsidR="000609EC" w:rsidRPr="00EC160F">
        <w:rPr>
          <w:rFonts w:ascii="Arial" w:hAnsi="Arial"/>
          <w:lang w:val="es-MX"/>
        </w:rPr>
        <w:t xml:space="preserve">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662684">
        <w:rPr>
          <w:rFonts w:ascii="Arial" w:hAnsi="Arial"/>
          <w:lang w:val="es-MX"/>
        </w:rPr>
        <w:t xml:space="preserve">Tomás </w:t>
      </w:r>
      <w:proofErr w:type="spellStart"/>
      <w:r w:rsidR="00662684">
        <w:rPr>
          <w:rFonts w:ascii="Arial" w:hAnsi="Arial"/>
          <w:lang w:val="es-MX"/>
        </w:rPr>
        <w:t>Gomensoro</w:t>
      </w:r>
      <w:proofErr w:type="spellEnd"/>
      <w:r w:rsidR="000609EC" w:rsidRPr="00EC160F">
        <w:rPr>
          <w:rFonts w:ascii="Arial" w:hAnsi="Arial"/>
          <w:lang w:val="es-MX"/>
        </w:rPr>
        <w:t xml:space="preserve"> 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A333E1" w:rsidRDefault="00A333E1">
      <w:pPr>
        <w:rPr>
          <w:sz w:val="20"/>
        </w:rPr>
      </w:pPr>
    </w:p>
    <w:p w:rsidR="007C78DC" w:rsidRDefault="007C78DC">
      <w:pPr>
        <w:rPr>
          <w:sz w:val="20"/>
        </w:rPr>
      </w:pPr>
    </w:p>
    <w:p w:rsidR="007C78DC" w:rsidRPr="009D2A00" w:rsidRDefault="009D2A00">
      <w:pPr>
        <w:rPr>
          <w:rFonts w:ascii="Arial" w:hAnsi="Arial" w:cs="Arial"/>
          <w:szCs w:val="24"/>
        </w:rPr>
      </w:pPr>
      <w:proofErr w:type="spellStart"/>
      <w:proofErr w:type="gramStart"/>
      <w:r w:rsidRPr="009D2A00">
        <w:rPr>
          <w:rFonts w:ascii="Arial" w:hAnsi="Arial" w:cs="Arial"/>
          <w:szCs w:val="24"/>
        </w:rPr>
        <w:t>mp</w:t>
      </w:r>
      <w:proofErr w:type="spellEnd"/>
      <w:proofErr w:type="gramEnd"/>
    </w:p>
    <w:p w:rsidR="007C78DC" w:rsidRDefault="007C78DC">
      <w:pPr>
        <w:rPr>
          <w:sz w:val="20"/>
        </w:rPr>
      </w:pPr>
    </w:p>
    <w:sectPr w:rsidR="007C78DC" w:rsidSect="00D6266E">
      <w:footerReference w:type="default" r:id="rId8"/>
      <w:pgSz w:w="11907" w:h="16840" w:code="9"/>
      <w:pgMar w:top="3289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00" w:rsidRDefault="009D2A00">
      <w:r>
        <w:separator/>
      </w:r>
    </w:p>
  </w:endnote>
  <w:endnote w:type="continuationSeparator" w:id="0">
    <w:p w:rsidR="009D2A00" w:rsidRDefault="009D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568022"/>
      <w:docPartObj>
        <w:docPartGallery w:val="Page Numbers (Bottom of Page)"/>
        <w:docPartUnique/>
      </w:docPartObj>
    </w:sdtPr>
    <w:sdtEndPr/>
    <w:sdtContent>
      <w:p w:rsidR="009D2A00" w:rsidRDefault="009D2A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66E">
          <w:rPr>
            <w:noProof/>
          </w:rPr>
          <w:t>1</w:t>
        </w:r>
        <w:r>
          <w:fldChar w:fldCharType="end"/>
        </w:r>
      </w:p>
    </w:sdtContent>
  </w:sdt>
  <w:p w:rsidR="009D2A00" w:rsidRDefault="009D2A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00" w:rsidRDefault="009D2A00">
      <w:r>
        <w:separator/>
      </w:r>
    </w:p>
  </w:footnote>
  <w:footnote w:type="continuationSeparator" w:id="0">
    <w:p w:rsidR="009D2A00" w:rsidRDefault="009D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651CF"/>
    <w:rsid w:val="000713E7"/>
    <w:rsid w:val="000742F1"/>
    <w:rsid w:val="00086101"/>
    <w:rsid w:val="00094736"/>
    <w:rsid w:val="000B60C3"/>
    <w:rsid w:val="000D702B"/>
    <w:rsid w:val="000E1834"/>
    <w:rsid w:val="00127D1E"/>
    <w:rsid w:val="00141C32"/>
    <w:rsid w:val="00184233"/>
    <w:rsid w:val="001C2710"/>
    <w:rsid w:val="00216AA0"/>
    <w:rsid w:val="00251B9F"/>
    <w:rsid w:val="00251E66"/>
    <w:rsid w:val="002D6D90"/>
    <w:rsid w:val="002E5685"/>
    <w:rsid w:val="00380253"/>
    <w:rsid w:val="003B1227"/>
    <w:rsid w:val="00424772"/>
    <w:rsid w:val="00431D37"/>
    <w:rsid w:val="0045727C"/>
    <w:rsid w:val="00471E4D"/>
    <w:rsid w:val="004C7769"/>
    <w:rsid w:val="005522E3"/>
    <w:rsid w:val="00562B66"/>
    <w:rsid w:val="00582290"/>
    <w:rsid w:val="005830F8"/>
    <w:rsid w:val="005A299A"/>
    <w:rsid w:val="005A4212"/>
    <w:rsid w:val="00630484"/>
    <w:rsid w:val="006550B1"/>
    <w:rsid w:val="00655855"/>
    <w:rsid w:val="00662684"/>
    <w:rsid w:val="006E4B28"/>
    <w:rsid w:val="006E616A"/>
    <w:rsid w:val="006F33B2"/>
    <w:rsid w:val="00702E1D"/>
    <w:rsid w:val="00717F71"/>
    <w:rsid w:val="00730354"/>
    <w:rsid w:val="00731B36"/>
    <w:rsid w:val="00741F75"/>
    <w:rsid w:val="00752138"/>
    <w:rsid w:val="0076414D"/>
    <w:rsid w:val="007C74FC"/>
    <w:rsid w:val="007C78DC"/>
    <w:rsid w:val="007F403D"/>
    <w:rsid w:val="00806B1A"/>
    <w:rsid w:val="008121D6"/>
    <w:rsid w:val="00833C27"/>
    <w:rsid w:val="0087538A"/>
    <w:rsid w:val="008849F8"/>
    <w:rsid w:val="008924ED"/>
    <w:rsid w:val="008F18C9"/>
    <w:rsid w:val="00920030"/>
    <w:rsid w:val="00927C33"/>
    <w:rsid w:val="00932524"/>
    <w:rsid w:val="00954740"/>
    <w:rsid w:val="009D2A00"/>
    <w:rsid w:val="009E1974"/>
    <w:rsid w:val="009E617B"/>
    <w:rsid w:val="00A333E1"/>
    <w:rsid w:val="00A34878"/>
    <w:rsid w:val="00A55B15"/>
    <w:rsid w:val="00A86E69"/>
    <w:rsid w:val="00A9148C"/>
    <w:rsid w:val="00AE67E0"/>
    <w:rsid w:val="00B146D0"/>
    <w:rsid w:val="00B42CB7"/>
    <w:rsid w:val="00B745DB"/>
    <w:rsid w:val="00BB4EDD"/>
    <w:rsid w:val="00BC71D5"/>
    <w:rsid w:val="00BF27CE"/>
    <w:rsid w:val="00C06DFB"/>
    <w:rsid w:val="00C43E62"/>
    <w:rsid w:val="00C858EA"/>
    <w:rsid w:val="00C96B86"/>
    <w:rsid w:val="00D17F90"/>
    <w:rsid w:val="00D6266E"/>
    <w:rsid w:val="00D65093"/>
    <w:rsid w:val="00D66F6E"/>
    <w:rsid w:val="00D81254"/>
    <w:rsid w:val="00DC441B"/>
    <w:rsid w:val="00DC724E"/>
    <w:rsid w:val="00E07404"/>
    <w:rsid w:val="00E07D65"/>
    <w:rsid w:val="00E62F0C"/>
    <w:rsid w:val="00E75254"/>
    <w:rsid w:val="00EA2D68"/>
    <w:rsid w:val="00EC160F"/>
    <w:rsid w:val="00EE0A01"/>
    <w:rsid w:val="00EE0D2C"/>
    <w:rsid w:val="00EE1016"/>
    <w:rsid w:val="00F01B00"/>
    <w:rsid w:val="00F02EA7"/>
    <w:rsid w:val="00F341AA"/>
    <w:rsid w:val="00F34AB8"/>
    <w:rsid w:val="00F432FF"/>
    <w:rsid w:val="00F5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2A0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A00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2A0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A00"/>
    <w:rPr>
      <w:rFonts w:ascii="Bookman Old Style" w:hAnsi="Bookman Old Style"/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2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13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2A0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2A00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D2A0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A00"/>
    <w:rPr>
      <w:rFonts w:ascii="Bookman Old Style" w:hAnsi="Bookman Old Style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394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7</cp:revision>
  <cp:lastPrinted>2016-09-08T18:55:00Z</cp:lastPrinted>
  <dcterms:created xsi:type="dcterms:W3CDTF">2016-09-08T16:33:00Z</dcterms:created>
  <dcterms:modified xsi:type="dcterms:W3CDTF">2016-09-08T18:55:00Z</dcterms:modified>
</cp:coreProperties>
</file>