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1A" w:rsidRPr="00231C1A" w:rsidRDefault="00231C1A" w:rsidP="00231C1A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231C1A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824FA">
        <w:rPr>
          <w:rFonts w:ascii="Arial" w:hAnsi="Arial" w:cs="Arial"/>
          <w:b/>
          <w:sz w:val="28"/>
          <w:szCs w:val="28"/>
          <w:lang w:val="es-ES_tradnl"/>
        </w:rPr>
        <w:t>3091</w:t>
      </w:r>
      <w:r w:rsidRPr="00231C1A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31C1A" w:rsidRPr="00231C1A" w:rsidRDefault="00231C1A" w:rsidP="00231C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31C1A">
        <w:rPr>
          <w:rFonts w:ascii="Helvetica" w:hAnsi="Helvetica"/>
          <w:b/>
          <w:lang w:val="es-ES_tradnl"/>
        </w:rPr>
        <w:t>RESOLUCION ADOPTADA POR EL</w:t>
      </w:r>
    </w:p>
    <w:p w:rsidR="00231C1A" w:rsidRPr="00231C1A" w:rsidRDefault="00231C1A" w:rsidP="00231C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1C1A" w:rsidRPr="00231C1A" w:rsidRDefault="00231C1A" w:rsidP="00231C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31C1A">
        <w:rPr>
          <w:rFonts w:ascii="Helvetica" w:hAnsi="Helvetica"/>
          <w:b/>
          <w:lang w:val="es-ES_tradnl"/>
        </w:rPr>
        <w:t>TRIBUNAL DE CUENTAS</w:t>
      </w:r>
    </w:p>
    <w:p w:rsidR="00231C1A" w:rsidRPr="00231C1A" w:rsidRDefault="00231C1A" w:rsidP="00231C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1C1A" w:rsidRPr="00231C1A" w:rsidRDefault="00231C1A" w:rsidP="00231C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231C1A">
        <w:rPr>
          <w:rFonts w:ascii="Helvetica" w:hAnsi="Helvetica"/>
          <w:b/>
          <w:lang w:val="es-ES_tradnl"/>
        </w:rPr>
        <w:t xml:space="preserve">EN SESION DE FECHA </w:t>
      </w:r>
      <w:r w:rsidR="00674A18">
        <w:rPr>
          <w:rFonts w:ascii="Helvetica" w:hAnsi="Helvetica"/>
          <w:b/>
          <w:lang w:val="es-ES_tradnl"/>
        </w:rPr>
        <w:t>7 DE SETIEMBRE</w:t>
      </w:r>
      <w:r w:rsidRPr="00231C1A">
        <w:rPr>
          <w:rFonts w:ascii="Helvetica" w:hAnsi="Helvetica"/>
          <w:b/>
          <w:lang w:val="es-ES_tradnl"/>
        </w:rPr>
        <w:t xml:space="preserve"> DE 2016</w:t>
      </w:r>
    </w:p>
    <w:p w:rsidR="00231C1A" w:rsidRPr="00231C1A" w:rsidRDefault="00231C1A" w:rsidP="00231C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31C1A" w:rsidRPr="00231C1A" w:rsidRDefault="00231C1A" w:rsidP="00231C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31C1A">
        <w:rPr>
          <w:rFonts w:ascii="Helvetica" w:hAnsi="Helvetica"/>
          <w:b/>
          <w:lang w:val="es-UY"/>
        </w:rPr>
        <w:t>(E. E. Nº 201</w:t>
      </w:r>
      <w:r>
        <w:rPr>
          <w:rFonts w:ascii="Helvetica" w:hAnsi="Helvetica"/>
          <w:b/>
          <w:lang w:val="es-UY"/>
        </w:rPr>
        <w:t>3</w:t>
      </w:r>
      <w:r w:rsidRPr="00231C1A">
        <w:rPr>
          <w:rFonts w:ascii="Helvetica" w:hAnsi="Helvetica"/>
          <w:b/>
          <w:lang w:val="es-UY"/>
        </w:rPr>
        <w:t>-17-1-000</w:t>
      </w:r>
      <w:r>
        <w:rPr>
          <w:rFonts w:ascii="Helvetica" w:hAnsi="Helvetica"/>
          <w:b/>
          <w:lang w:val="es-UY"/>
        </w:rPr>
        <w:t>6384</w:t>
      </w:r>
      <w:r w:rsidRPr="00231C1A">
        <w:rPr>
          <w:rFonts w:ascii="Helvetica" w:hAnsi="Helvetica"/>
          <w:b/>
          <w:lang w:val="es-UY"/>
        </w:rPr>
        <w:t xml:space="preserve">, </w:t>
      </w:r>
      <w:proofErr w:type="spellStart"/>
      <w:r w:rsidRPr="00231C1A">
        <w:rPr>
          <w:rFonts w:ascii="Helvetica" w:hAnsi="Helvetica"/>
          <w:b/>
          <w:lang w:val="es-UY"/>
        </w:rPr>
        <w:t>Ent</w:t>
      </w:r>
      <w:proofErr w:type="spellEnd"/>
      <w:r w:rsidRPr="00231C1A">
        <w:rPr>
          <w:rFonts w:ascii="Helvetica" w:hAnsi="Helvetica"/>
          <w:b/>
          <w:lang w:val="es-UY"/>
        </w:rPr>
        <w:t>. N° 4</w:t>
      </w:r>
      <w:r>
        <w:rPr>
          <w:rFonts w:ascii="Helvetica" w:hAnsi="Helvetica"/>
          <w:b/>
          <w:lang w:val="es-UY"/>
        </w:rPr>
        <w:t>156</w:t>
      </w:r>
      <w:r w:rsidRPr="00231C1A">
        <w:rPr>
          <w:rFonts w:ascii="Helvetica" w:hAnsi="Helvetica"/>
          <w:b/>
          <w:lang w:val="es-UY"/>
        </w:rPr>
        <w:t>/16)</w:t>
      </w:r>
      <w:bookmarkStart w:id="0" w:name="_GoBack"/>
      <w:bookmarkEnd w:id="0"/>
    </w:p>
    <w:p w:rsidR="00231C1A" w:rsidRDefault="00231C1A" w:rsidP="00687527">
      <w:pPr>
        <w:spacing w:line="360" w:lineRule="auto"/>
        <w:rPr>
          <w:rFonts w:ascii="Arial" w:hAnsi="Arial" w:cs="Arial"/>
          <w:b/>
        </w:rPr>
      </w:pPr>
    </w:p>
    <w:p w:rsidR="00687527" w:rsidRDefault="00687527" w:rsidP="00687527"/>
    <w:p w:rsidR="00D435AC" w:rsidRDefault="00687527" w:rsidP="001A50A3">
      <w:pPr>
        <w:spacing w:line="360" w:lineRule="auto"/>
        <w:ind w:right="-1" w:firstLine="851"/>
        <w:jc w:val="both"/>
        <w:rPr>
          <w:rFonts w:ascii="Arial" w:hAnsi="Arial"/>
          <w:b/>
          <w:spacing w:val="-3"/>
          <w:lang w:val="es-ES_tradnl"/>
        </w:rPr>
      </w:pPr>
      <w:r>
        <w:rPr>
          <w:rFonts w:ascii="Arial" w:hAnsi="Arial" w:cs="Arial"/>
          <w:b/>
          <w:szCs w:val="20"/>
          <w:lang w:val="es-MX"/>
        </w:rPr>
        <w:t>VISTO:</w:t>
      </w:r>
      <w:r>
        <w:rPr>
          <w:rFonts w:ascii="Arial" w:hAnsi="Arial" w:cs="Arial"/>
          <w:szCs w:val="20"/>
          <w:lang w:val="es-MX"/>
        </w:rPr>
        <w:t xml:space="preserve"> las actuaciones remitidas por</w:t>
      </w:r>
      <w:r w:rsidR="00D435AC">
        <w:rPr>
          <w:rFonts w:ascii="Arial" w:hAnsi="Arial" w:cs="Arial"/>
          <w:szCs w:val="20"/>
          <w:lang w:val="es-MX"/>
        </w:rPr>
        <w:t xml:space="preserve"> el Contador Delegado </w:t>
      </w:r>
      <w:r w:rsidR="00C03B9C">
        <w:rPr>
          <w:rFonts w:ascii="Arial" w:hAnsi="Arial" w:cs="Arial"/>
          <w:szCs w:val="20"/>
          <w:lang w:val="es-MX"/>
        </w:rPr>
        <w:t>en</w:t>
      </w:r>
      <w:r>
        <w:rPr>
          <w:rFonts w:ascii="Arial" w:hAnsi="Arial" w:cs="Arial"/>
          <w:szCs w:val="20"/>
          <w:lang w:val="es-MX"/>
        </w:rPr>
        <w:t xml:space="preserve"> la Intendencia de Montevideo</w:t>
      </w:r>
      <w:r w:rsidR="00D435AC">
        <w:rPr>
          <w:rFonts w:ascii="Arial" w:hAnsi="Arial" w:cs="Arial"/>
          <w:szCs w:val="20"/>
          <w:lang w:val="es-MX"/>
        </w:rPr>
        <w:t>,</w:t>
      </w:r>
      <w:r>
        <w:rPr>
          <w:rFonts w:ascii="Arial" w:hAnsi="Arial" w:cs="Arial"/>
          <w:szCs w:val="20"/>
          <w:lang w:val="es-MX"/>
        </w:rPr>
        <w:t xml:space="preserve"> relacionadas con </w:t>
      </w:r>
      <w:r w:rsidR="00D435AC">
        <w:rPr>
          <w:rFonts w:ascii="Arial" w:hAnsi="Arial" w:cs="Arial"/>
          <w:szCs w:val="20"/>
          <w:lang w:val="es-MX"/>
        </w:rPr>
        <w:t xml:space="preserve">la reiteración del gasto derivado del convenio de donación modal suscrito </w:t>
      </w:r>
      <w:r w:rsidR="002A5C92">
        <w:rPr>
          <w:rFonts w:ascii="Arial" w:hAnsi="Arial" w:cs="Arial"/>
          <w:szCs w:val="20"/>
          <w:lang w:val="es-MX"/>
        </w:rPr>
        <w:t>por</w:t>
      </w:r>
      <w:r w:rsidR="00D435AC">
        <w:rPr>
          <w:rFonts w:ascii="Arial" w:hAnsi="Arial" w:cs="Arial"/>
          <w:szCs w:val="20"/>
          <w:lang w:val="es-MX"/>
        </w:rPr>
        <w:t xml:space="preserve"> la Intendencia de Montevideo y la Sociedad San Francisco de Sales-Padres Salesianos (Movimiento Tacurú), para realizar</w:t>
      </w:r>
      <w:r>
        <w:rPr>
          <w:rFonts w:ascii="Arial" w:hAnsi="Arial" w:cs="Arial"/>
          <w:szCs w:val="20"/>
          <w:lang w:val="es-MX"/>
        </w:rPr>
        <w:t xml:space="preserve"> tareas de barrido y levante de </w:t>
      </w:r>
      <w:r w:rsidR="00D435AC">
        <w:rPr>
          <w:rFonts w:ascii="Arial" w:hAnsi="Arial" w:cs="Arial"/>
          <w:szCs w:val="20"/>
          <w:lang w:val="es-MX"/>
        </w:rPr>
        <w:t>fer</w:t>
      </w:r>
      <w:r w:rsidR="008625E4">
        <w:rPr>
          <w:rFonts w:ascii="Arial" w:hAnsi="Arial" w:cs="Arial"/>
          <w:szCs w:val="20"/>
          <w:lang w:val="es-MX"/>
        </w:rPr>
        <w:t>ias y periferias de Montevideo;</w:t>
      </w:r>
    </w:p>
    <w:p w:rsidR="00687527" w:rsidRDefault="00687527" w:rsidP="001A50A3">
      <w:pPr>
        <w:spacing w:line="360" w:lineRule="auto"/>
        <w:ind w:right="-1" w:firstLine="851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RESULTANDO: </w:t>
      </w:r>
      <w:r>
        <w:rPr>
          <w:rFonts w:ascii="Arial" w:hAnsi="Arial"/>
          <w:b/>
          <w:bCs/>
          <w:spacing w:val="-3"/>
          <w:lang w:val="es-ES_tradnl"/>
        </w:rPr>
        <w:t xml:space="preserve">1) </w:t>
      </w:r>
      <w:r w:rsidR="00D963EB">
        <w:rPr>
          <w:rFonts w:ascii="Arial" w:hAnsi="Arial"/>
          <w:spacing w:val="-3"/>
          <w:lang w:val="es-ES_tradnl"/>
        </w:rPr>
        <w:t>que mediante</w:t>
      </w:r>
      <w:r w:rsidR="00D963EB">
        <w:rPr>
          <w:rFonts w:ascii="Arial" w:hAnsi="Arial"/>
        </w:rPr>
        <w:t xml:space="preserve"> Resolución Nº 4319/13 de fecha </w:t>
      </w:r>
      <w:r w:rsidR="00D963EB" w:rsidRPr="00196015">
        <w:rPr>
          <w:rFonts w:ascii="Arial" w:hAnsi="Arial"/>
        </w:rPr>
        <w:t xml:space="preserve">23/09/013, la Intendente aprobó el texto del contrato de donación modal </w:t>
      </w:r>
      <w:r w:rsidR="00D963EB" w:rsidRPr="00196015">
        <w:rPr>
          <w:rFonts w:ascii="Arial" w:hAnsi="Arial"/>
          <w:spacing w:val="-3"/>
          <w:lang w:val="es-ES_tradnl"/>
        </w:rPr>
        <w:t xml:space="preserve">a suscribir </w:t>
      </w:r>
      <w:r w:rsidR="002A5C92">
        <w:rPr>
          <w:rFonts w:ascii="Arial" w:hAnsi="Arial"/>
          <w:spacing w:val="-3"/>
          <w:lang w:val="es-ES_tradnl"/>
        </w:rPr>
        <w:t>por</w:t>
      </w:r>
      <w:r w:rsidR="00D963EB" w:rsidRPr="00196015">
        <w:rPr>
          <w:rFonts w:ascii="Arial" w:hAnsi="Arial"/>
          <w:spacing w:val="-3"/>
          <w:lang w:val="es-ES_tradnl"/>
        </w:rPr>
        <w:t xml:space="preserve"> la Intendencia y la Sociedad de San Francisco de Sales-Padres Salesianos, </w:t>
      </w:r>
      <w:r w:rsidR="002A5C92">
        <w:rPr>
          <w:rFonts w:ascii="Arial" w:hAnsi="Arial"/>
          <w:spacing w:val="-3"/>
          <w:lang w:val="es-ES_tradnl"/>
        </w:rPr>
        <w:t>e</w:t>
      </w:r>
      <w:r w:rsidR="00906276">
        <w:rPr>
          <w:rFonts w:ascii="Arial" w:hAnsi="Arial"/>
          <w:spacing w:val="-3"/>
          <w:lang w:val="es-ES_tradnl"/>
        </w:rPr>
        <w:t xml:space="preserve">n el </w:t>
      </w:r>
      <w:r w:rsidR="00906276" w:rsidRPr="00FD3532">
        <w:rPr>
          <w:rFonts w:ascii="Arial" w:hAnsi="Arial"/>
          <w:spacing w:val="-3"/>
          <w:lang w:val="es-ES_tradnl"/>
        </w:rPr>
        <w:t>marco de l</w:t>
      </w:r>
      <w:r w:rsidRPr="00FD3532">
        <w:rPr>
          <w:rFonts w:ascii="Arial" w:hAnsi="Arial"/>
          <w:spacing w:val="-3"/>
          <w:lang w:val="es-ES_tradnl"/>
        </w:rPr>
        <w:t>as políticas sociales</w:t>
      </w:r>
      <w:r w:rsidR="00906276" w:rsidRPr="00FD3532">
        <w:rPr>
          <w:rFonts w:ascii="Arial" w:hAnsi="Arial"/>
          <w:spacing w:val="-3"/>
          <w:lang w:val="es-ES_tradnl"/>
        </w:rPr>
        <w:t xml:space="preserve"> desarrolladas por la </w:t>
      </w:r>
      <w:r w:rsidRPr="00FD3532">
        <w:rPr>
          <w:rFonts w:ascii="Arial" w:hAnsi="Arial"/>
          <w:spacing w:val="-3"/>
          <w:lang w:val="es-ES_tradnl"/>
        </w:rPr>
        <w:t>Intendencia</w:t>
      </w:r>
      <w:r w:rsidR="00906276" w:rsidRPr="00FD3532">
        <w:rPr>
          <w:rFonts w:ascii="Arial" w:hAnsi="Arial"/>
          <w:spacing w:val="-3"/>
          <w:lang w:val="es-ES_tradnl"/>
        </w:rPr>
        <w:t xml:space="preserve">, </w:t>
      </w:r>
      <w:r w:rsidRPr="00FD3532">
        <w:rPr>
          <w:rFonts w:ascii="Arial" w:hAnsi="Arial"/>
          <w:spacing w:val="-3"/>
          <w:lang w:val="es-ES_tradnl"/>
        </w:rPr>
        <w:t xml:space="preserve">con el objetivo de colaborar con sectores que presentan dificultades para su inclusión social e inclusión laboral, </w:t>
      </w:r>
      <w:r w:rsidR="00FD3532" w:rsidRPr="00FD3532">
        <w:rPr>
          <w:rFonts w:ascii="Arial" w:hAnsi="Arial"/>
          <w:spacing w:val="-3"/>
          <w:lang w:val="es-ES_tradnl"/>
        </w:rPr>
        <w:t xml:space="preserve">cubrir </w:t>
      </w:r>
      <w:r w:rsidRPr="00FD3532">
        <w:rPr>
          <w:rFonts w:ascii="Arial" w:hAnsi="Arial"/>
          <w:spacing w:val="-3"/>
          <w:lang w:val="es-ES_tradnl"/>
        </w:rPr>
        <w:t xml:space="preserve">tareas de </w:t>
      </w:r>
      <w:r w:rsidRPr="00FD3532">
        <w:rPr>
          <w:rFonts w:ascii="Arial" w:hAnsi="Arial" w:cs="Arial"/>
          <w:szCs w:val="20"/>
          <w:lang w:val="es-MX"/>
        </w:rPr>
        <w:t xml:space="preserve"> barrido y levante de ferias en diferentes zonas del Departamento</w:t>
      </w:r>
      <w:r w:rsidRPr="00FD3532">
        <w:rPr>
          <w:rFonts w:ascii="Arial" w:hAnsi="Arial"/>
          <w:spacing w:val="-3"/>
          <w:lang w:val="es-ES_tradnl"/>
        </w:rPr>
        <w:t>;</w:t>
      </w:r>
    </w:p>
    <w:p w:rsidR="00C03B9C" w:rsidRDefault="008846FD" w:rsidP="00C03B9C">
      <w:pPr>
        <w:spacing w:line="360" w:lineRule="auto"/>
        <w:ind w:right="-1" w:firstLine="2694"/>
        <w:jc w:val="both"/>
        <w:rPr>
          <w:rFonts w:ascii="Arial" w:hAnsi="Arial" w:cs="Arial"/>
        </w:rPr>
      </w:pPr>
      <w:r>
        <w:rPr>
          <w:rFonts w:ascii="Arial" w:hAnsi="Arial"/>
          <w:b/>
          <w:bCs/>
          <w:spacing w:val="-3"/>
          <w:lang w:val="es-ES_tradnl"/>
        </w:rPr>
        <w:t>2</w:t>
      </w:r>
      <w:r w:rsidR="00687527">
        <w:rPr>
          <w:rFonts w:ascii="Arial" w:hAnsi="Arial"/>
          <w:b/>
          <w:bCs/>
          <w:spacing w:val="-3"/>
          <w:lang w:val="es-ES_tradnl"/>
        </w:rPr>
        <w:t>)</w:t>
      </w:r>
      <w:r w:rsidR="00687527">
        <w:rPr>
          <w:rFonts w:ascii="Arial" w:hAnsi="Arial"/>
          <w:spacing w:val="-3"/>
          <w:lang w:val="es-ES_tradnl"/>
        </w:rPr>
        <w:t xml:space="preserve"> </w:t>
      </w:r>
      <w:r w:rsidR="00687527" w:rsidRPr="00621D74">
        <w:rPr>
          <w:rFonts w:ascii="Arial" w:hAnsi="Arial"/>
          <w:spacing w:val="-3"/>
          <w:lang w:val="es-ES_tradnl"/>
        </w:rPr>
        <w:t xml:space="preserve">que </w:t>
      </w:r>
      <w:r w:rsidR="00687527" w:rsidRPr="00621D74">
        <w:rPr>
          <w:rFonts w:ascii="Arial" w:hAnsi="Arial" w:cs="Arial"/>
        </w:rPr>
        <w:t>este Tribunal</w:t>
      </w:r>
      <w:r w:rsidR="00621D74" w:rsidRPr="00621D74">
        <w:rPr>
          <w:rFonts w:ascii="Arial" w:hAnsi="Arial" w:cs="Arial"/>
        </w:rPr>
        <w:t>, en acuerdo de</w:t>
      </w:r>
      <w:r w:rsidR="00687527" w:rsidRPr="00621D74">
        <w:rPr>
          <w:rFonts w:ascii="Arial" w:hAnsi="Arial" w:cs="Arial"/>
        </w:rPr>
        <w:t xml:space="preserve"> fecha 16</w:t>
      </w:r>
      <w:r w:rsidR="00621D74" w:rsidRPr="00621D74">
        <w:rPr>
          <w:rFonts w:ascii="Arial" w:hAnsi="Arial" w:cs="Arial"/>
        </w:rPr>
        <w:t>/10/</w:t>
      </w:r>
      <w:r w:rsidR="00687527" w:rsidRPr="00621D74">
        <w:rPr>
          <w:rFonts w:ascii="Arial" w:hAnsi="Arial" w:cs="Arial"/>
        </w:rPr>
        <w:t>013</w:t>
      </w:r>
      <w:r w:rsidR="00621D74" w:rsidRPr="00621D74">
        <w:rPr>
          <w:rFonts w:ascii="Arial" w:hAnsi="Arial" w:cs="Arial"/>
        </w:rPr>
        <w:t>,</w:t>
      </w:r>
      <w:r w:rsidR="00687527" w:rsidRPr="00621D74">
        <w:rPr>
          <w:rFonts w:ascii="Arial" w:hAnsi="Arial" w:cs="Arial"/>
        </w:rPr>
        <w:t xml:space="preserve"> observó el gasto en virtud</w:t>
      </w:r>
      <w:r w:rsidR="002A5C92">
        <w:rPr>
          <w:rFonts w:ascii="Arial" w:hAnsi="Arial" w:cs="Arial"/>
        </w:rPr>
        <w:t xml:space="preserve"> de que</w:t>
      </w:r>
      <w:r w:rsidR="00687527" w:rsidRPr="00621D74">
        <w:rPr>
          <w:rFonts w:ascii="Arial" w:hAnsi="Arial" w:cs="Arial"/>
        </w:rPr>
        <w:t xml:space="preserve">: </w:t>
      </w:r>
    </w:p>
    <w:p w:rsidR="00C03B9C" w:rsidRDefault="00B57650" w:rsidP="00C03B9C">
      <w:pPr>
        <w:spacing w:line="360" w:lineRule="auto"/>
        <w:ind w:right="-1"/>
        <w:jc w:val="both"/>
        <w:rPr>
          <w:rFonts w:ascii="Arial" w:hAnsi="Arial" w:cs="Arial"/>
          <w:lang w:val="es-MX"/>
        </w:rPr>
      </w:pPr>
      <w:r w:rsidRPr="00B57650">
        <w:rPr>
          <w:rFonts w:ascii="Arial" w:hAnsi="Arial" w:cs="Arial"/>
          <w:b/>
        </w:rPr>
        <w:t>2</w:t>
      </w:r>
      <w:r w:rsidR="00621D74" w:rsidRPr="00B57650">
        <w:rPr>
          <w:rFonts w:ascii="Arial" w:hAnsi="Arial" w:cs="Arial"/>
          <w:b/>
        </w:rPr>
        <w:t>.</w:t>
      </w:r>
      <w:r w:rsidR="00621D74" w:rsidRPr="00727ED8">
        <w:rPr>
          <w:rFonts w:ascii="Arial" w:hAnsi="Arial" w:cs="Arial"/>
          <w:b/>
        </w:rPr>
        <w:t>1)</w:t>
      </w:r>
      <w:r w:rsidR="00621D74">
        <w:rPr>
          <w:rFonts w:ascii="Arial" w:hAnsi="Arial" w:cs="Arial"/>
        </w:rPr>
        <w:t xml:space="preserve"> </w:t>
      </w:r>
      <w:r w:rsidR="00687527" w:rsidRPr="00621D74">
        <w:rPr>
          <w:rFonts w:ascii="Arial" w:hAnsi="Arial" w:cs="Arial"/>
          <w:lang w:val="es-MX"/>
        </w:rPr>
        <w:t xml:space="preserve">si bien se realizó un llamado a distintas Organizaciones No Gubernamentales, se trata de un procedimiento especial no habilitado por el </w:t>
      </w:r>
      <w:r w:rsidR="00C03B9C">
        <w:rPr>
          <w:rFonts w:ascii="Arial" w:hAnsi="Arial" w:cs="Arial"/>
          <w:lang w:val="es-MX"/>
        </w:rPr>
        <w:t>A</w:t>
      </w:r>
      <w:r w:rsidR="00687527" w:rsidRPr="00621D74">
        <w:rPr>
          <w:rFonts w:ascii="Arial" w:hAnsi="Arial" w:cs="Arial"/>
          <w:lang w:val="es-MX"/>
        </w:rPr>
        <w:t>rtículo 37 del T.O.C.A.F.</w:t>
      </w:r>
      <w:r>
        <w:rPr>
          <w:rFonts w:ascii="Arial" w:hAnsi="Arial" w:cs="Arial"/>
          <w:lang w:val="es-MX"/>
        </w:rPr>
        <w:t xml:space="preserve">; </w:t>
      </w:r>
    </w:p>
    <w:p w:rsidR="005B183D" w:rsidRDefault="00B57650" w:rsidP="00C03B9C">
      <w:pPr>
        <w:spacing w:line="360" w:lineRule="auto"/>
        <w:ind w:right="-1"/>
        <w:jc w:val="both"/>
        <w:rPr>
          <w:rFonts w:ascii="Arial" w:hAnsi="Arial" w:cs="Arial"/>
        </w:rPr>
      </w:pPr>
      <w:r w:rsidRPr="00B57650">
        <w:rPr>
          <w:rFonts w:ascii="Arial" w:hAnsi="Arial" w:cs="Arial"/>
          <w:b/>
          <w:lang w:val="es-MX"/>
        </w:rPr>
        <w:t>2</w:t>
      </w:r>
      <w:r w:rsidR="00621D74" w:rsidRPr="00727ED8">
        <w:rPr>
          <w:rFonts w:ascii="Arial" w:hAnsi="Arial" w:cs="Arial"/>
          <w:b/>
          <w:lang w:val="es-MX"/>
        </w:rPr>
        <w:t>.2)</w:t>
      </w:r>
      <w:r w:rsidR="005B183D">
        <w:rPr>
          <w:rFonts w:ascii="Arial" w:hAnsi="Arial" w:cs="Arial"/>
          <w:lang w:val="es-MX"/>
        </w:rPr>
        <w:t xml:space="preserve"> </w:t>
      </w:r>
      <w:r w:rsidR="00687527" w:rsidRPr="00621D74">
        <w:rPr>
          <w:rFonts w:ascii="Arial" w:hAnsi="Arial" w:cs="Arial"/>
          <w:lang w:val="es-MX"/>
        </w:rPr>
        <w:t>p</w:t>
      </w:r>
      <w:r w:rsidR="00687527" w:rsidRPr="00621D74">
        <w:rPr>
          <w:rFonts w:ascii="Arial" w:hAnsi="Arial" w:cs="Arial"/>
        </w:rPr>
        <w:t>ara que se configure una donación modal nuestra legislación requiere (</w:t>
      </w:r>
      <w:r w:rsidR="005B183D">
        <w:rPr>
          <w:rFonts w:ascii="Arial" w:hAnsi="Arial" w:cs="Arial"/>
        </w:rPr>
        <w:t>A</w:t>
      </w:r>
      <w:r w:rsidR="00687527" w:rsidRPr="00621D74">
        <w:rPr>
          <w:rFonts w:ascii="Arial" w:hAnsi="Arial" w:cs="Arial"/>
        </w:rPr>
        <w:t>rt</w:t>
      </w:r>
      <w:r w:rsidR="00C03B9C">
        <w:rPr>
          <w:rFonts w:ascii="Arial" w:hAnsi="Arial" w:cs="Arial"/>
        </w:rPr>
        <w:t>ículo</w:t>
      </w:r>
      <w:r w:rsidR="00687527" w:rsidRPr="00621D74">
        <w:rPr>
          <w:rFonts w:ascii="Arial" w:hAnsi="Arial" w:cs="Arial"/>
        </w:rPr>
        <w:t xml:space="preserve">s 1613 y 1615 del Código Civil) que “el donante ejerza un acto de liberalidad” y que “el modo o ganancia impuesto y apreciable en dinero no sea equivalente al valor del objeto donado”;  </w:t>
      </w:r>
    </w:p>
    <w:p w:rsidR="00C03B9C" w:rsidRDefault="00B57650" w:rsidP="00B57650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</w:t>
      </w:r>
      <w:r w:rsidR="005B183D" w:rsidRPr="00727ED8">
        <w:rPr>
          <w:rFonts w:ascii="Arial" w:hAnsi="Arial" w:cs="Arial"/>
          <w:b/>
        </w:rPr>
        <w:t>.3)</w:t>
      </w:r>
      <w:r w:rsidR="005B183D">
        <w:rPr>
          <w:rFonts w:ascii="Arial" w:hAnsi="Arial" w:cs="Arial"/>
        </w:rPr>
        <w:t xml:space="preserve"> </w:t>
      </w:r>
      <w:r w:rsidR="00687527" w:rsidRPr="00621D74">
        <w:rPr>
          <w:rFonts w:ascii="Arial" w:hAnsi="Arial" w:cs="Arial"/>
        </w:rPr>
        <w:t>el texto del convenio a suscribir desvirtúa el tipo contractual  en razón de que instrumenta una situación diferente a la prevista como tal por el Código Civil, lo que determina que la causa del contrato no sea efectuar una liberalidad, sino contratar servicios p</w:t>
      </w:r>
      <w:r w:rsidR="0043506E">
        <w:rPr>
          <w:rFonts w:ascii="Arial" w:hAnsi="Arial" w:cs="Arial"/>
        </w:rPr>
        <w:t>ersonales, revistiendo el mismo</w:t>
      </w:r>
      <w:r w:rsidR="00687527" w:rsidRPr="00621D74">
        <w:rPr>
          <w:rFonts w:ascii="Arial" w:hAnsi="Arial" w:cs="Arial"/>
        </w:rPr>
        <w:t xml:space="preserve"> las notas características del contrato de arrendamiento de servicios</w:t>
      </w:r>
      <w:r w:rsidR="00727ED8">
        <w:rPr>
          <w:rFonts w:ascii="Arial" w:hAnsi="Arial" w:cs="Arial"/>
        </w:rPr>
        <w:t>;</w:t>
      </w:r>
      <w:r w:rsidR="00687527" w:rsidRPr="00621D74">
        <w:rPr>
          <w:rFonts w:ascii="Arial" w:hAnsi="Arial" w:cs="Arial"/>
        </w:rPr>
        <w:t xml:space="preserve"> </w:t>
      </w:r>
    </w:p>
    <w:p w:rsidR="00687527" w:rsidRDefault="00B57650" w:rsidP="00B57650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lang w:val="es-MX"/>
        </w:rPr>
      </w:pPr>
      <w:r w:rsidRPr="00B57650">
        <w:rPr>
          <w:rFonts w:ascii="Arial" w:hAnsi="Arial" w:cs="Arial"/>
          <w:b/>
        </w:rPr>
        <w:t>2</w:t>
      </w:r>
      <w:r w:rsidR="00727ED8" w:rsidRPr="00727ED8">
        <w:rPr>
          <w:rFonts w:ascii="Arial" w:hAnsi="Arial" w:cs="Arial"/>
          <w:b/>
        </w:rPr>
        <w:t>.4)</w:t>
      </w:r>
      <w:r w:rsidR="00727ED8">
        <w:rPr>
          <w:rFonts w:ascii="Arial" w:hAnsi="Arial" w:cs="Arial"/>
        </w:rPr>
        <w:t xml:space="preserve"> </w:t>
      </w:r>
      <w:r w:rsidR="00687527" w:rsidRPr="00621D74">
        <w:rPr>
          <w:rFonts w:ascii="Arial" w:hAnsi="Arial" w:cs="Arial"/>
        </w:rPr>
        <w:t xml:space="preserve">en consecuencia, debió darse cumplimiento a los procedimientos de contratación administrativa establecidos por el </w:t>
      </w:r>
      <w:r w:rsidR="00C03B9C">
        <w:rPr>
          <w:rFonts w:ascii="Arial" w:hAnsi="Arial" w:cs="Arial"/>
        </w:rPr>
        <w:t>A</w:t>
      </w:r>
      <w:r w:rsidR="00687527" w:rsidRPr="00621D74">
        <w:rPr>
          <w:rFonts w:ascii="Arial" w:hAnsi="Arial" w:cs="Arial"/>
        </w:rPr>
        <w:t>rtículo 33 del T.O.C.A.F., ajustándose a los principios de publicidad e igualdad de los oferentes para</w:t>
      </w:r>
      <w:r>
        <w:rPr>
          <w:rFonts w:ascii="Arial" w:hAnsi="Arial" w:cs="Arial"/>
        </w:rPr>
        <w:t xml:space="preserve"> la selección del </w:t>
      </w:r>
      <w:proofErr w:type="spellStart"/>
      <w:r>
        <w:rPr>
          <w:rFonts w:ascii="Arial" w:hAnsi="Arial" w:cs="Arial"/>
        </w:rPr>
        <w:t>co</w:t>
      </w:r>
      <w:proofErr w:type="spellEnd"/>
      <w:r w:rsidR="0043506E">
        <w:rPr>
          <w:rFonts w:ascii="Arial" w:hAnsi="Arial" w:cs="Arial"/>
        </w:rPr>
        <w:t>-</w:t>
      </w:r>
      <w:r>
        <w:rPr>
          <w:rFonts w:ascii="Arial" w:hAnsi="Arial" w:cs="Arial"/>
        </w:rPr>
        <w:t>contratante. M</w:t>
      </w:r>
      <w:r w:rsidR="0043506E">
        <w:rPr>
          <w:rFonts w:ascii="Arial" w:hAnsi="Arial" w:cs="Arial"/>
        </w:rPr>
        <w:t xml:space="preserve">ediante </w:t>
      </w:r>
      <w:r w:rsidR="00687527" w:rsidRPr="00727ED8">
        <w:rPr>
          <w:rFonts w:ascii="Arial" w:hAnsi="Arial" w:cs="Arial"/>
        </w:rPr>
        <w:t>Resolución Nº 5183/13 de fecha 11</w:t>
      </w:r>
      <w:r w:rsidR="00727ED8" w:rsidRPr="00727ED8">
        <w:rPr>
          <w:rFonts w:ascii="Arial" w:hAnsi="Arial" w:cs="Arial"/>
        </w:rPr>
        <w:t>/</w:t>
      </w:r>
      <w:r w:rsidR="00687527" w:rsidRPr="00727ED8">
        <w:rPr>
          <w:rFonts w:ascii="Arial" w:hAnsi="Arial" w:cs="Arial"/>
        </w:rPr>
        <w:t>11</w:t>
      </w:r>
      <w:r w:rsidR="00727ED8" w:rsidRPr="00727ED8">
        <w:rPr>
          <w:rFonts w:ascii="Arial" w:hAnsi="Arial" w:cs="Arial"/>
        </w:rPr>
        <w:t>/0</w:t>
      </w:r>
      <w:r w:rsidR="00687527" w:rsidRPr="00727ED8">
        <w:rPr>
          <w:rFonts w:ascii="Arial" w:hAnsi="Arial" w:cs="Arial"/>
        </w:rPr>
        <w:t>13</w:t>
      </w:r>
      <w:r w:rsidR="00727ED8" w:rsidRPr="00727ED8">
        <w:rPr>
          <w:rFonts w:ascii="Arial" w:hAnsi="Arial" w:cs="Arial"/>
        </w:rPr>
        <w:t xml:space="preserve">, el </w:t>
      </w:r>
      <w:r w:rsidR="001A50A3">
        <w:rPr>
          <w:rFonts w:ascii="Arial" w:hAnsi="Arial" w:cs="Arial"/>
        </w:rPr>
        <w:t>O</w:t>
      </w:r>
      <w:r w:rsidR="00727ED8" w:rsidRPr="00727ED8">
        <w:rPr>
          <w:rFonts w:ascii="Arial" w:hAnsi="Arial" w:cs="Arial"/>
        </w:rPr>
        <w:t>rdenador</w:t>
      </w:r>
      <w:r w:rsidR="00687527" w:rsidRPr="00727ED8">
        <w:rPr>
          <w:rFonts w:ascii="Arial" w:hAnsi="Arial" w:cs="Arial"/>
        </w:rPr>
        <w:t xml:space="preserve"> dispuso reiterar el gasto</w:t>
      </w:r>
      <w:r w:rsidR="000A52F1">
        <w:rPr>
          <w:rFonts w:ascii="Arial" w:hAnsi="Arial" w:cs="Arial"/>
        </w:rPr>
        <w:t>;</w:t>
      </w:r>
      <w:r w:rsidR="00687527" w:rsidRPr="00727ED8">
        <w:rPr>
          <w:rFonts w:ascii="Arial" w:hAnsi="Arial" w:cs="Arial"/>
        </w:rPr>
        <w:t xml:space="preserve"> </w:t>
      </w:r>
    </w:p>
    <w:p w:rsidR="00302000" w:rsidRDefault="00B57650" w:rsidP="00C03B9C">
      <w:pPr>
        <w:spacing w:line="360" w:lineRule="auto"/>
        <w:ind w:firstLine="2694"/>
        <w:jc w:val="both"/>
        <w:rPr>
          <w:rFonts w:ascii="Arial" w:hAnsi="Arial"/>
          <w:lang w:val="es-ES_tradnl"/>
        </w:rPr>
      </w:pPr>
      <w:r>
        <w:rPr>
          <w:rFonts w:ascii="Arial" w:hAnsi="Arial"/>
          <w:b/>
          <w:bCs/>
          <w:lang w:val="es-ES_tradnl"/>
        </w:rPr>
        <w:t>3)</w:t>
      </w:r>
      <w:r w:rsidR="0027039F" w:rsidRPr="0027039F">
        <w:rPr>
          <w:rFonts w:ascii="Arial" w:hAnsi="Arial"/>
          <w:lang w:val="es-ES_tradnl"/>
        </w:rPr>
        <w:t xml:space="preserve"> que </w:t>
      </w:r>
      <w:r w:rsidR="00B84F9F">
        <w:rPr>
          <w:rFonts w:ascii="Arial" w:hAnsi="Arial"/>
          <w:lang w:val="es-ES_tradnl"/>
        </w:rPr>
        <w:t xml:space="preserve">en el mismo marco contractual, </w:t>
      </w:r>
      <w:r w:rsidR="0027039F">
        <w:rPr>
          <w:rFonts w:ascii="Arial" w:hAnsi="Arial"/>
          <w:lang w:val="es-ES_tradnl"/>
        </w:rPr>
        <w:t xml:space="preserve">el Ejecutivo Departamental, </w:t>
      </w:r>
      <w:r w:rsidR="0027039F" w:rsidRPr="0027039F">
        <w:rPr>
          <w:rFonts w:ascii="Arial" w:hAnsi="Arial"/>
          <w:lang w:val="es-ES_tradnl"/>
        </w:rPr>
        <w:t>mediante</w:t>
      </w:r>
      <w:r w:rsidR="0027039F">
        <w:rPr>
          <w:rFonts w:ascii="Arial" w:hAnsi="Arial"/>
        </w:rPr>
        <w:t xml:space="preserve"> Resolución Nº 1512</w:t>
      </w:r>
      <w:r w:rsidR="0027039F" w:rsidRPr="0027039F">
        <w:rPr>
          <w:rFonts w:ascii="Arial" w:hAnsi="Arial"/>
        </w:rPr>
        <w:t>/1</w:t>
      </w:r>
      <w:r w:rsidR="0027039F">
        <w:rPr>
          <w:rFonts w:ascii="Arial" w:hAnsi="Arial"/>
        </w:rPr>
        <w:t>6</w:t>
      </w:r>
      <w:r w:rsidR="0027039F" w:rsidRPr="0027039F">
        <w:rPr>
          <w:rFonts w:ascii="Arial" w:hAnsi="Arial"/>
        </w:rPr>
        <w:t xml:space="preserve"> de fecha </w:t>
      </w:r>
      <w:r w:rsidR="0027039F">
        <w:rPr>
          <w:rFonts w:ascii="Arial" w:hAnsi="Arial"/>
        </w:rPr>
        <w:t>1</w:t>
      </w:r>
      <w:r w:rsidR="0027039F" w:rsidRPr="0027039F">
        <w:rPr>
          <w:rFonts w:ascii="Arial" w:hAnsi="Arial"/>
        </w:rPr>
        <w:t>3/0</w:t>
      </w:r>
      <w:r w:rsidR="0027039F">
        <w:rPr>
          <w:rFonts w:ascii="Arial" w:hAnsi="Arial"/>
        </w:rPr>
        <w:t>4</w:t>
      </w:r>
      <w:r w:rsidR="0027039F" w:rsidRPr="0027039F">
        <w:rPr>
          <w:rFonts w:ascii="Arial" w:hAnsi="Arial"/>
        </w:rPr>
        <w:t>/01</w:t>
      </w:r>
      <w:r w:rsidR="0027039F">
        <w:rPr>
          <w:rFonts w:ascii="Arial" w:hAnsi="Arial"/>
        </w:rPr>
        <w:t>6</w:t>
      </w:r>
      <w:r w:rsidR="0027039F" w:rsidRPr="0027039F">
        <w:rPr>
          <w:rFonts w:ascii="Arial" w:hAnsi="Arial"/>
        </w:rPr>
        <w:t>,</w:t>
      </w:r>
      <w:r w:rsidR="0027039F">
        <w:rPr>
          <w:rFonts w:ascii="Arial" w:hAnsi="Arial"/>
        </w:rPr>
        <w:t xml:space="preserve"> aprobó</w:t>
      </w:r>
      <w:r w:rsidR="000A52F1">
        <w:rPr>
          <w:rFonts w:ascii="Arial" w:hAnsi="Arial"/>
        </w:rPr>
        <w:t xml:space="preserve"> un nuevo</w:t>
      </w:r>
      <w:r w:rsidR="0027039F">
        <w:rPr>
          <w:rFonts w:ascii="Arial" w:hAnsi="Arial"/>
        </w:rPr>
        <w:t xml:space="preserve"> proyecto de contrato de donación modal a suscribir </w:t>
      </w:r>
      <w:r w:rsidR="0043506E">
        <w:rPr>
          <w:rFonts w:ascii="Arial" w:hAnsi="Arial"/>
        </w:rPr>
        <w:t>por</w:t>
      </w:r>
      <w:r w:rsidR="0027039F">
        <w:rPr>
          <w:rFonts w:ascii="Arial" w:hAnsi="Arial"/>
        </w:rPr>
        <w:t xml:space="preserve"> </w:t>
      </w:r>
      <w:r w:rsidR="0027039F" w:rsidRPr="0027039F">
        <w:rPr>
          <w:rFonts w:ascii="Arial" w:hAnsi="Arial"/>
          <w:lang w:val="es-ES_tradnl"/>
        </w:rPr>
        <w:t>la Intendencia y la Sociedad San Francisco de Sales-Padres Salesianos,</w:t>
      </w:r>
      <w:r>
        <w:rPr>
          <w:rFonts w:ascii="Arial" w:hAnsi="Arial"/>
          <w:lang w:val="es-ES_tradnl"/>
        </w:rPr>
        <w:t xml:space="preserve"> y por el término de</w:t>
      </w:r>
      <w:r w:rsidR="00DB004E">
        <w:rPr>
          <w:rFonts w:ascii="Arial" w:hAnsi="Arial"/>
          <w:lang w:val="es-ES_tradnl"/>
        </w:rPr>
        <w:t xml:space="preserve"> </w:t>
      </w:r>
      <w:r w:rsidR="00497CE9">
        <w:rPr>
          <w:rFonts w:ascii="Arial" w:hAnsi="Arial"/>
          <w:lang w:val="es-ES_tradnl"/>
        </w:rPr>
        <w:t>6 meses a contar desde el 9/01/016, pudiendo ser renovado por única vez por un plazo equivalente</w:t>
      </w:r>
      <w:r w:rsidR="00DB004E">
        <w:rPr>
          <w:rFonts w:ascii="Arial" w:hAnsi="Arial"/>
          <w:lang w:val="es-ES_tradnl"/>
        </w:rPr>
        <w:t>;</w:t>
      </w:r>
    </w:p>
    <w:p w:rsidR="009267F0" w:rsidRDefault="00B57650" w:rsidP="00C03B9C">
      <w:pPr>
        <w:spacing w:line="360" w:lineRule="auto"/>
        <w:ind w:firstLine="2694"/>
        <w:jc w:val="both"/>
        <w:rPr>
          <w:rFonts w:ascii="Arial" w:hAnsi="Arial"/>
          <w:lang w:val="es-ES_tradnl"/>
        </w:rPr>
      </w:pPr>
      <w:r w:rsidRPr="00C03B9C">
        <w:rPr>
          <w:rFonts w:ascii="Arial" w:hAnsi="Arial"/>
          <w:b/>
          <w:lang w:val="es-ES_tradnl"/>
        </w:rPr>
        <w:t>4)</w:t>
      </w:r>
      <w:r>
        <w:rPr>
          <w:rFonts w:ascii="Arial" w:hAnsi="Arial"/>
          <w:lang w:val="es-ES_tradnl"/>
        </w:rPr>
        <w:t xml:space="preserve"> </w:t>
      </w:r>
      <w:r w:rsidR="009267F0">
        <w:rPr>
          <w:rFonts w:ascii="Arial" w:hAnsi="Arial"/>
          <w:lang w:val="es-ES_tradnl"/>
        </w:rPr>
        <w:t>que con fecha 3/05/016 la Contadora Delegada observ</w:t>
      </w:r>
      <w:r>
        <w:rPr>
          <w:rFonts w:ascii="Arial" w:hAnsi="Arial"/>
          <w:lang w:val="es-ES_tradnl"/>
        </w:rPr>
        <w:t>ó</w:t>
      </w:r>
      <w:r w:rsidR="009267F0">
        <w:rPr>
          <w:rFonts w:ascii="Arial" w:hAnsi="Arial"/>
          <w:lang w:val="es-ES_tradnl"/>
        </w:rPr>
        <w:t xml:space="preserve"> el gasto por contraven</w:t>
      </w:r>
      <w:r w:rsidR="00CE44D2">
        <w:rPr>
          <w:rFonts w:ascii="Arial" w:hAnsi="Arial"/>
          <w:lang w:val="es-ES_tradnl"/>
        </w:rPr>
        <w:t>ir</w:t>
      </w:r>
      <w:r w:rsidR="009267F0">
        <w:rPr>
          <w:rFonts w:ascii="Arial" w:hAnsi="Arial"/>
          <w:lang w:val="es-ES_tradnl"/>
        </w:rPr>
        <w:t xml:space="preserve"> </w:t>
      </w:r>
      <w:r w:rsidR="00CE44D2">
        <w:rPr>
          <w:rFonts w:ascii="Arial" w:hAnsi="Arial"/>
          <w:lang w:val="es-ES_tradnl"/>
        </w:rPr>
        <w:t xml:space="preserve">el </w:t>
      </w:r>
      <w:r w:rsidR="00C03B9C">
        <w:rPr>
          <w:rFonts w:ascii="Arial" w:hAnsi="Arial"/>
          <w:lang w:val="es-ES_tradnl"/>
        </w:rPr>
        <w:t>Artículo</w:t>
      </w:r>
      <w:r w:rsidR="009267F0">
        <w:rPr>
          <w:rFonts w:ascii="Arial" w:hAnsi="Arial"/>
          <w:lang w:val="es-ES_tradnl"/>
        </w:rPr>
        <w:t xml:space="preserve"> 211 </w:t>
      </w:r>
      <w:r w:rsidR="00C03B9C">
        <w:rPr>
          <w:rFonts w:ascii="Arial" w:hAnsi="Arial"/>
          <w:lang w:val="es-ES_tradnl"/>
        </w:rPr>
        <w:t>L</w:t>
      </w:r>
      <w:r w:rsidR="00CE44D2">
        <w:rPr>
          <w:rFonts w:ascii="Arial" w:hAnsi="Arial"/>
          <w:lang w:val="es-ES_tradnl"/>
        </w:rPr>
        <w:t>iteral</w:t>
      </w:r>
      <w:r w:rsidR="009267F0">
        <w:rPr>
          <w:rFonts w:ascii="Arial" w:hAnsi="Arial"/>
          <w:lang w:val="es-ES_tradnl"/>
        </w:rPr>
        <w:t xml:space="preserve"> B</w:t>
      </w:r>
      <w:r w:rsidR="00C03B9C">
        <w:rPr>
          <w:rFonts w:ascii="Arial" w:hAnsi="Arial"/>
          <w:lang w:val="es-ES_tradnl"/>
        </w:rPr>
        <w:t>)</w:t>
      </w:r>
      <w:r w:rsidR="009267F0">
        <w:rPr>
          <w:rFonts w:ascii="Arial" w:hAnsi="Arial"/>
          <w:lang w:val="es-ES_tradnl"/>
        </w:rPr>
        <w:t xml:space="preserve"> de la Constitución de la República, ya que las actuaciones contaban con principio de contratació</w:t>
      </w:r>
      <w:r w:rsidR="00C03B9C">
        <w:rPr>
          <w:rFonts w:ascii="Arial" w:hAnsi="Arial"/>
          <w:lang w:val="es-ES_tradnl"/>
        </w:rPr>
        <w:t>n, y el Artículo</w:t>
      </w:r>
      <w:r w:rsidR="00B835E0">
        <w:rPr>
          <w:rFonts w:ascii="Arial" w:hAnsi="Arial"/>
          <w:lang w:val="es-ES_tradnl"/>
        </w:rPr>
        <w:t xml:space="preserve"> 33 T.O.C.A.F., al no realizarse la convocatoria a un proce</w:t>
      </w:r>
      <w:r w:rsidR="008625E4">
        <w:rPr>
          <w:rFonts w:ascii="Arial" w:hAnsi="Arial"/>
          <w:lang w:val="es-ES_tradnl"/>
        </w:rPr>
        <w:t>dimiento de índole competitiva;</w:t>
      </w:r>
    </w:p>
    <w:p w:rsidR="0027039F" w:rsidRPr="002C4524" w:rsidRDefault="00B57650" w:rsidP="00C03B9C">
      <w:pPr>
        <w:spacing w:line="360" w:lineRule="auto"/>
        <w:ind w:firstLine="2694"/>
        <w:jc w:val="both"/>
        <w:rPr>
          <w:rFonts w:ascii="Arial" w:hAnsi="Arial"/>
        </w:rPr>
      </w:pPr>
      <w:r>
        <w:rPr>
          <w:rFonts w:ascii="Arial" w:hAnsi="Arial"/>
          <w:b/>
          <w:lang w:val="es-ES_tradnl"/>
        </w:rPr>
        <w:t>5)</w:t>
      </w:r>
      <w:r w:rsidR="00B835E0" w:rsidRPr="00B835E0">
        <w:rPr>
          <w:rFonts w:ascii="Arial" w:hAnsi="Arial"/>
          <w:b/>
          <w:lang w:val="es-ES_tradnl"/>
        </w:rPr>
        <w:t xml:space="preserve"> </w:t>
      </w:r>
      <w:r w:rsidR="002C4524">
        <w:rPr>
          <w:rFonts w:ascii="Arial" w:hAnsi="Arial"/>
          <w:spacing w:val="-3"/>
          <w:lang w:val="es-ES_tradnl"/>
        </w:rPr>
        <w:t>que mediante</w:t>
      </w:r>
      <w:r w:rsidR="002C4524">
        <w:rPr>
          <w:rFonts w:ascii="Arial" w:hAnsi="Arial"/>
        </w:rPr>
        <w:t xml:space="preserve"> Resolución Nº 2035/16, de fecha 9</w:t>
      </w:r>
      <w:r w:rsidR="002C4524" w:rsidRPr="00196015">
        <w:rPr>
          <w:rFonts w:ascii="Arial" w:hAnsi="Arial"/>
        </w:rPr>
        <w:t>/0</w:t>
      </w:r>
      <w:r w:rsidR="002C4524">
        <w:rPr>
          <w:rFonts w:ascii="Arial" w:hAnsi="Arial"/>
        </w:rPr>
        <w:t>5</w:t>
      </w:r>
      <w:r w:rsidR="002C4524" w:rsidRPr="00196015">
        <w:rPr>
          <w:rFonts w:ascii="Arial" w:hAnsi="Arial"/>
        </w:rPr>
        <w:t>/01</w:t>
      </w:r>
      <w:r w:rsidR="002C4524">
        <w:rPr>
          <w:rFonts w:ascii="Arial" w:hAnsi="Arial"/>
        </w:rPr>
        <w:t>6</w:t>
      </w:r>
      <w:r w:rsidR="002C4524" w:rsidRPr="00196015">
        <w:rPr>
          <w:rFonts w:ascii="Arial" w:hAnsi="Arial"/>
        </w:rPr>
        <w:t xml:space="preserve">, </w:t>
      </w:r>
      <w:r w:rsidR="0043506E">
        <w:rPr>
          <w:rFonts w:ascii="Arial" w:hAnsi="Arial"/>
        </w:rPr>
        <w:t>del Ejecutivo Departamental</w:t>
      </w:r>
      <w:r w:rsidR="002C4524">
        <w:rPr>
          <w:rFonts w:ascii="Arial" w:hAnsi="Arial"/>
        </w:rPr>
        <w:t xml:space="preserve"> reiteró el gasto emergente de la Resolución Nº 1512</w:t>
      </w:r>
      <w:r w:rsidR="002C4524" w:rsidRPr="0027039F">
        <w:rPr>
          <w:rFonts w:ascii="Arial" w:hAnsi="Arial"/>
        </w:rPr>
        <w:t>/1</w:t>
      </w:r>
      <w:r w:rsidR="002C4524">
        <w:rPr>
          <w:rFonts w:ascii="Arial" w:hAnsi="Arial"/>
        </w:rPr>
        <w:t>6</w:t>
      </w:r>
      <w:r w:rsidR="002C4524" w:rsidRPr="0027039F">
        <w:rPr>
          <w:rFonts w:ascii="Arial" w:hAnsi="Arial"/>
        </w:rPr>
        <w:t xml:space="preserve"> de fecha </w:t>
      </w:r>
      <w:r w:rsidR="002C4524">
        <w:rPr>
          <w:rFonts w:ascii="Arial" w:hAnsi="Arial"/>
        </w:rPr>
        <w:t>1</w:t>
      </w:r>
      <w:r w:rsidR="002C4524" w:rsidRPr="0027039F">
        <w:rPr>
          <w:rFonts w:ascii="Arial" w:hAnsi="Arial"/>
        </w:rPr>
        <w:t>3/0</w:t>
      </w:r>
      <w:r w:rsidR="002C4524">
        <w:rPr>
          <w:rFonts w:ascii="Arial" w:hAnsi="Arial"/>
        </w:rPr>
        <w:t>4</w:t>
      </w:r>
      <w:r w:rsidR="002C4524" w:rsidRPr="0027039F">
        <w:rPr>
          <w:rFonts w:ascii="Arial" w:hAnsi="Arial"/>
        </w:rPr>
        <w:t>/01</w:t>
      </w:r>
      <w:r w:rsidR="002C4524">
        <w:rPr>
          <w:rFonts w:ascii="Arial" w:hAnsi="Arial"/>
        </w:rPr>
        <w:t xml:space="preserve">6, </w:t>
      </w:r>
      <w:r w:rsidR="002C4524">
        <w:rPr>
          <w:rFonts w:ascii="Arial" w:hAnsi="Arial"/>
          <w:spacing w:val="-3"/>
          <w:lang w:val="es-ES_tradnl"/>
        </w:rPr>
        <w:t>en virtud de que la actuación de la Administración se a</w:t>
      </w:r>
      <w:r w:rsidR="00C03B9C">
        <w:rPr>
          <w:rFonts w:ascii="Arial" w:hAnsi="Arial"/>
          <w:spacing w:val="-3"/>
          <w:lang w:val="es-ES_tradnl"/>
        </w:rPr>
        <w:t>justa a las previsiones del Artículo</w:t>
      </w:r>
      <w:r w:rsidR="002C4524">
        <w:rPr>
          <w:rFonts w:ascii="Arial" w:hAnsi="Arial"/>
          <w:spacing w:val="-3"/>
          <w:lang w:val="es-ES_tradnl"/>
        </w:rPr>
        <w:t xml:space="preserve"> 149 del Decr</w:t>
      </w:r>
      <w:r w:rsidR="00CE44D2">
        <w:rPr>
          <w:rFonts w:ascii="Arial" w:hAnsi="Arial"/>
          <w:spacing w:val="-3"/>
          <w:lang w:val="es-ES_tradnl"/>
        </w:rPr>
        <w:t>eto</w:t>
      </w:r>
      <w:r w:rsidR="002C4524">
        <w:rPr>
          <w:rFonts w:ascii="Arial" w:hAnsi="Arial"/>
          <w:spacing w:val="-3"/>
          <w:lang w:val="es-ES_tradnl"/>
        </w:rPr>
        <w:t xml:space="preserve">. 26.949 de fecha 14/12/995, que faculta a la Intendencia de Montevideo a celebrar convenios o contrataciones con Asociaciones, Instituciones Sociales u otras Organizaciones No Gubernamentales sin fines de lucro, a través de regímenes y procedimientos </w:t>
      </w:r>
      <w:r w:rsidR="002C4524">
        <w:rPr>
          <w:rFonts w:ascii="Arial" w:hAnsi="Arial"/>
          <w:spacing w:val="-3"/>
          <w:lang w:val="es-ES_tradnl"/>
        </w:rPr>
        <w:lastRenderedPageBreak/>
        <w:t>especiales cuando las características del mercado o de los bienes o servicios que se requieran lo hagan conv</w:t>
      </w:r>
      <w:r w:rsidR="008625E4">
        <w:rPr>
          <w:rFonts w:ascii="Arial" w:hAnsi="Arial"/>
          <w:spacing w:val="-3"/>
          <w:lang w:val="es-ES_tradnl"/>
        </w:rPr>
        <w:t>eniente para la Administración;</w:t>
      </w:r>
    </w:p>
    <w:p w:rsidR="00687527" w:rsidRPr="002C4524" w:rsidRDefault="00687527" w:rsidP="00C03B9C">
      <w:pPr>
        <w:spacing w:line="360" w:lineRule="auto"/>
        <w:ind w:firstLine="851"/>
        <w:jc w:val="both"/>
        <w:rPr>
          <w:rFonts w:ascii="Arial" w:hAnsi="Arial"/>
          <w:lang w:val="es-MX"/>
        </w:rPr>
      </w:pPr>
      <w:r w:rsidRPr="00196015">
        <w:rPr>
          <w:rFonts w:ascii="Arial" w:hAnsi="Arial"/>
          <w:b/>
          <w:bCs/>
          <w:szCs w:val="20"/>
        </w:rPr>
        <w:t>CONSIDERANDO</w:t>
      </w:r>
      <w:r w:rsidRPr="00196015">
        <w:rPr>
          <w:rFonts w:ascii="Arial" w:hAnsi="Arial"/>
          <w:szCs w:val="20"/>
        </w:rPr>
        <w:t xml:space="preserve">: </w:t>
      </w:r>
      <w:r w:rsidRPr="00196015">
        <w:rPr>
          <w:rFonts w:ascii="Arial" w:hAnsi="Arial"/>
          <w:b/>
        </w:rPr>
        <w:t>1</w:t>
      </w:r>
      <w:r w:rsidRPr="002C4524">
        <w:rPr>
          <w:rFonts w:ascii="Arial" w:hAnsi="Arial"/>
          <w:b/>
        </w:rPr>
        <w:t>)</w:t>
      </w:r>
      <w:r w:rsidRPr="002C4524">
        <w:rPr>
          <w:rFonts w:ascii="Arial" w:hAnsi="Arial"/>
        </w:rPr>
        <w:t xml:space="preserve"> </w:t>
      </w:r>
      <w:r w:rsidRPr="002C4524">
        <w:rPr>
          <w:rFonts w:ascii="Arial" w:hAnsi="Arial"/>
          <w:lang w:val="es-MX"/>
        </w:rPr>
        <w:t>que el Art</w:t>
      </w:r>
      <w:r w:rsidR="00C03B9C">
        <w:rPr>
          <w:rFonts w:ascii="Arial" w:hAnsi="Arial"/>
          <w:lang w:val="es-MX"/>
        </w:rPr>
        <w:t>ículo</w:t>
      </w:r>
      <w:r w:rsidRPr="002C4524">
        <w:rPr>
          <w:rFonts w:ascii="Arial" w:hAnsi="Arial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</w:t>
      </w:r>
      <w:r w:rsidR="00A74BD3">
        <w:rPr>
          <w:rFonts w:ascii="Arial" w:hAnsi="Arial"/>
          <w:lang w:val="es-MX"/>
        </w:rPr>
        <w:t>o</w:t>
      </w:r>
      <w:r w:rsidRPr="002C4524">
        <w:rPr>
          <w:rFonts w:ascii="Arial" w:hAnsi="Arial"/>
          <w:lang w:val="es-MX"/>
        </w:rPr>
        <w:t xml:space="preserve"> pago; </w:t>
      </w:r>
    </w:p>
    <w:p w:rsidR="002C4524" w:rsidRPr="002C4524" w:rsidRDefault="00687527" w:rsidP="00687527">
      <w:pPr>
        <w:spacing w:line="360" w:lineRule="auto"/>
        <w:ind w:firstLine="708"/>
        <w:jc w:val="both"/>
        <w:rPr>
          <w:rFonts w:ascii="Arial" w:hAnsi="Arial"/>
          <w:lang w:val="es-MX"/>
        </w:rPr>
      </w:pPr>
      <w:r w:rsidRPr="002C4524">
        <w:rPr>
          <w:rFonts w:ascii="Arial" w:hAnsi="Arial"/>
          <w:lang w:val="es-MX"/>
        </w:rPr>
        <w:t xml:space="preserve">                         </w:t>
      </w:r>
      <w:r w:rsidR="002C4524" w:rsidRPr="002C4524">
        <w:rPr>
          <w:rFonts w:ascii="Arial" w:hAnsi="Arial"/>
          <w:lang w:val="es-MX"/>
        </w:rPr>
        <w:t xml:space="preserve">       </w:t>
      </w:r>
      <w:r w:rsidRPr="002C4524">
        <w:rPr>
          <w:rFonts w:ascii="Arial" w:hAnsi="Arial"/>
          <w:b/>
          <w:bCs/>
          <w:lang w:val="es-MX"/>
        </w:rPr>
        <w:t xml:space="preserve">2) </w:t>
      </w:r>
      <w:r w:rsidRPr="002C4524">
        <w:rPr>
          <w:rFonts w:ascii="Arial" w:hAnsi="Arial"/>
          <w:lang w:val="es-MX"/>
        </w:rPr>
        <w:t xml:space="preserve">que </w:t>
      </w:r>
      <w:r w:rsidR="002C4524" w:rsidRPr="002C4524">
        <w:rPr>
          <w:rFonts w:ascii="Arial" w:hAnsi="Arial"/>
          <w:lang w:val="es-MX"/>
        </w:rPr>
        <w:t xml:space="preserve">los fundamentos de la Administración para proceder a la contratación de referencia no enervan las observaciones formuladas en su oportunidad por la Contadora Delegada, manteniéndose por tanto </w:t>
      </w:r>
      <w:r w:rsidR="00924F3A">
        <w:rPr>
          <w:rFonts w:ascii="Arial" w:hAnsi="Arial"/>
          <w:lang w:val="es-MX"/>
        </w:rPr>
        <w:t>los extremos que las motivaron;</w:t>
      </w:r>
    </w:p>
    <w:p w:rsidR="00687527" w:rsidRPr="002C4524" w:rsidRDefault="00687527" w:rsidP="00687527">
      <w:pPr>
        <w:spacing w:line="360" w:lineRule="auto"/>
        <w:ind w:firstLine="708"/>
        <w:jc w:val="both"/>
        <w:rPr>
          <w:rFonts w:ascii="Arial" w:hAnsi="Arial"/>
          <w:szCs w:val="20"/>
        </w:rPr>
      </w:pPr>
      <w:r w:rsidRPr="002C4524">
        <w:rPr>
          <w:rFonts w:ascii="Arial" w:hAnsi="Arial"/>
          <w:lang w:val="es-MX"/>
        </w:rPr>
        <w:t xml:space="preserve"> </w:t>
      </w:r>
      <w:r w:rsidRPr="002C4524">
        <w:rPr>
          <w:rFonts w:ascii="Arial" w:hAnsi="Arial"/>
          <w:b/>
          <w:bCs/>
          <w:szCs w:val="20"/>
        </w:rPr>
        <w:t xml:space="preserve">ATENTO: </w:t>
      </w:r>
      <w:r w:rsidRPr="002C4524">
        <w:rPr>
          <w:rFonts w:ascii="Arial" w:hAnsi="Arial"/>
          <w:szCs w:val="20"/>
        </w:rPr>
        <w:t>a lo expuesto, y a lo dispuesto por el Artículo 211 Literal B) de la Constitución de la República;</w:t>
      </w:r>
    </w:p>
    <w:p w:rsidR="00687527" w:rsidRDefault="00687527" w:rsidP="00687527">
      <w:pPr>
        <w:keepNext/>
        <w:spacing w:line="360" w:lineRule="auto"/>
        <w:jc w:val="center"/>
        <w:outlineLvl w:val="1"/>
        <w:rPr>
          <w:rFonts w:ascii="Arial" w:hAnsi="Arial"/>
          <w:b/>
          <w:bCs/>
          <w:szCs w:val="20"/>
        </w:rPr>
      </w:pPr>
      <w:r w:rsidRPr="00196015">
        <w:rPr>
          <w:rFonts w:ascii="Arial" w:hAnsi="Arial"/>
          <w:b/>
          <w:bCs/>
          <w:szCs w:val="20"/>
        </w:rPr>
        <w:t>EL TRIBUNAL ACUERDA</w:t>
      </w:r>
    </w:p>
    <w:p w:rsidR="00687527" w:rsidRPr="002159DD" w:rsidRDefault="00687527" w:rsidP="00C03B9C">
      <w:pPr>
        <w:spacing w:line="360" w:lineRule="auto"/>
        <w:ind w:left="284" w:hanging="284"/>
        <w:jc w:val="both"/>
        <w:rPr>
          <w:rFonts w:ascii="Arial" w:hAnsi="Arial"/>
          <w:szCs w:val="20"/>
          <w:lang w:val="es-MX"/>
        </w:rPr>
      </w:pPr>
      <w:r w:rsidRPr="002159DD">
        <w:rPr>
          <w:rFonts w:ascii="Arial" w:hAnsi="Arial"/>
          <w:b/>
          <w:szCs w:val="20"/>
          <w:lang w:val="es-MX"/>
        </w:rPr>
        <w:t>1)</w:t>
      </w:r>
      <w:r w:rsidRPr="002159DD">
        <w:rPr>
          <w:rFonts w:ascii="Arial" w:hAnsi="Arial"/>
          <w:szCs w:val="20"/>
          <w:lang w:val="es-MX"/>
        </w:rPr>
        <w:t xml:space="preserve">  </w:t>
      </w:r>
      <w:r w:rsidR="002C4524" w:rsidRPr="002159DD">
        <w:rPr>
          <w:rFonts w:ascii="Arial" w:hAnsi="Arial"/>
          <w:szCs w:val="20"/>
          <w:lang w:val="es-MX"/>
        </w:rPr>
        <w:t>Ratificar y m</w:t>
      </w:r>
      <w:r w:rsidRPr="002159DD">
        <w:rPr>
          <w:rFonts w:ascii="Arial" w:hAnsi="Arial"/>
          <w:szCs w:val="20"/>
          <w:lang w:val="es-MX"/>
        </w:rPr>
        <w:t xml:space="preserve">antener la observación formulada </w:t>
      </w:r>
      <w:r w:rsidR="002C4524" w:rsidRPr="002159DD">
        <w:rPr>
          <w:rFonts w:ascii="Arial" w:hAnsi="Arial"/>
          <w:szCs w:val="20"/>
          <w:lang w:val="es-MX"/>
        </w:rPr>
        <w:t>por la Contadora con fecha</w:t>
      </w:r>
      <w:r w:rsidRPr="002159DD">
        <w:rPr>
          <w:rFonts w:ascii="Arial" w:hAnsi="Arial"/>
          <w:szCs w:val="20"/>
          <w:lang w:val="es-MX"/>
        </w:rPr>
        <w:t xml:space="preserve"> </w:t>
      </w:r>
      <w:r w:rsidR="002159DD" w:rsidRPr="002159DD">
        <w:rPr>
          <w:rFonts w:ascii="Arial" w:hAnsi="Arial"/>
          <w:szCs w:val="20"/>
          <w:lang w:val="es-MX"/>
        </w:rPr>
        <w:t>3</w:t>
      </w:r>
      <w:r w:rsidRPr="002159DD">
        <w:rPr>
          <w:rFonts w:ascii="Arial" w:hAnsi="Arial"/>
          <w:szCs w:val="20"/>
          <w:lang w:val="es-MX"/>
        </w:rPr>
        <w:t>/0</w:t>
      </w:r>
      <w:r w:rsidR="002159DD" w:rsidRPr="002159DD">
        <w:rPr>
          <w:rFonts w:ascii="Arial" w:hAnsi="Arial"/>
          <w:szCs w:val="20"/>
          <w:lang w:val="es-MX"/>
        </w:rPr>
        <w:t>5</w:t>
      </w:r>
      <w:r w:rsidRPr="002159DD">
        <w:rPr>
          <w:rFonts w:ascii="Arial" w:hAnsi="Arial"/>
          <w:szCs w:val="20"/>
          <w:lang w:val="es-MX"/>
        </w:rPr>
        <w:t>/</w:t>
      </w:r>
      <w:r w:rsidR="002159DD" w:rsidRPr="002159DD">
        <w:rPr>
          <w:rFonts w:ascii="Arial" w:hAnsi="Arial"/>
          <w:szCs w:val="20"/>
          <w:lang w:val="es-MX"/>
        </w:rPr>
        <w:t>0</w:t>
      </w:r>
      <w:r w:rsidRPr="002159DD">
        <w:rPr>
          <w:rFonts w:ascii="Arial" w:hAnsi="Arial"/>
          <w:szCs w:val="20"/>
          <w:lang w:val="es-MX"/>
        </w:rPr>
        <w:t>1</w:t>
      </w:r>
      <w:r w:rsidR="002159DD" w:rsidRPr="002159DD">
        <w:rPr>
          <w:rFonts w:ascii="Arial" w:hAnsi="Arial"/>
          <w:szCs w:val="20"/>
          <w:lang w:val="es-MX"/>
        </w:rPr>
        <w:t>6</w:t>
      </w:r>
      <w:r w:rsidRPr="002159DD">
        <w:rPr>
          <w:rFonts w:ascii="Arial" w:hAnsi="Arial"/>
          <w:szCs w:val="20"/>
          <w:lang w:val="es-MX"/>
        </w:rPr>
        <w:t>;</w:t>
      </w:r>
    </w:p>
    <w:p w:rsidR="00687527" w:rsidRPr="002159DD" w:rsidRDefault="00687527" w:rsidP="00687527">
      <w:pPr>
        <w:spacing w:line="360" w:lineRule="auto"/>
        <w:jc w:val="both"/>
        <w:rPr>
          <w:rFonts w:ascii="Arial" w:hAnsi="Arial"/>
          <w:szCs w:val="20"/>
          <w:lang w:val="es-MX"/>
        </w:rPr>
      </w:pPr>
      <w:r w:rsidRPr="002159DD">
        <w:rPr>
          <w:rFonts w:ascii="Arial" w:hAnsi="Arial"/>
          <w:b/>
          <w:szCs w:val="20"/>
          <w:lang w:val="es-MX"/>
        </w:rPr>
        <w:t>2)</w:t>
      </w:r>
      <w:r w:rsidRPr="002159DD">
        <w:rPr>
          <w:rFonts w:ascii="Arial" w:hAnsi="Arial"/>
          <w:szCs w:val="20"/>
          <w:lang w:val="es-MX"/>
        </w:rPr>
        <w:t xml:space="preserve"> Dar cuenta a la Junta Departamental de Montevideo; y</w:t>
      </w:r>
    </w:p>
    <w:p w:rsidR="00687527" w:rsidRPr="002159DD" w:rsidRDefault="00687527" w:rsidP="00687527">
      <w:pPr>
        <w:spacing w:line="360" w:lineRule="auto"/>
        <w:jc w:val="both"/>
        <w:rPr>
          <w:rFonts w:ascii="Arial" w:hAnsi="Arial"/>
          <w:szCs w:val="20"/>
          <w:lang w:val="es-MX"/>
        </w:rPr>
      </w:pPr>
      <w:r w:rsidRPr="002159DD">
        <w:rPr>
          <w:rFonts w:ascii="Arial" w:hAnsi="Arial"/>
          <w:b/>
          <w:szCs w:val="20"/>
          <w:lang w:val="es-MX"/>
        </w:rPr>
        <w:t>3)</w:t>
      </w:r>
      <w:r w:rsidRPr="002159DD">
        <w:rPr>
          <w:rFonts w:ascii="Arial" w:hAnsi="Arial"/>
          <w:szCs w:val="20"/>
          <w:lang w:val="es-MX"/>
        </w:rPr>
        <w:t xml:space="preserve"> Devolver las actuaciones.</w:t>
      </w:r>
    </w:p>
    <w:p w:rsidR="002159DD" w:rsidRDefault="002159DD" w:rsidP="00687527">
      <w:pPr>
        <w:spacing w:line="360" w:lineRule="auto"/>
        <w:jc w:val="both"/>
        <w:rPr>
          <w:rFonts w:ascii="Arial" w:hAnsi="Arial"/>
          <w:lang w:val="es-MX"/>
        </w:rPr>
      </w:pPr>
    </w:p>
    <w:p w:rsidR="00687527" w:rsidRDefault="00924F3A" w:rsidP="00687527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p w:rsidR="0027039F" w:rsidRPr="00D435AC" w:rsidRDefault="0027039F">
      <w:pPr>
        <w:rPr>
          <w:lang w:val="es-MX"/>
        </w:rPr>
      </w:pPr>
    </w:p>
    <w:sectPr w:rsidR="0027039F" w:rsidRPr="00D435AC" w:rsidSect="007A255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27"/>
    <w:rsid w:val="000A52F1"/>
    <w:rsid w:val="000F1344"/>
    <w:rsid w:val="001824FA"/>
    <w:rsid w:val="00196015"/>
    <w:rsid w:val="001A50A3"/>
    <w:rsid w:val="002159DD"/>
    <w:rsid w:val="00231C1A"/>
    <w:rsid w:val="0027039F"/>
    <w:rsid w:val="00287A71"/>
    <w:rsid w:val="002A5C92"/>
    <w:rsid w:val="002C4524"/>
    <w:rsid w:val="00302000"/>
    <w:rsid w:val="003D2D76"/>
    <w:rsid w:val="0043506E"/>
    <w:rsid w:val="00497CE9"/>
    <w:rsid w:val="005A3A0B"/>
    <w:rsid w:val="005B183D"/>
    <w:rsid w:val="005E5F12"/>
    <w:rsid w:val="00621D74"/>
    <w:rsid w:val="00674A18"/>
    <w:rsid w:val="00687527"/>
    <w:rsid w:val="00710E55"/>
    <w:rsid w:val="00727ED8"/>
    <w:rsid w:val="007A2551"/>
    <w:rsid w:val="007E0A28"/>
    <w:rsid w:val="008625E4"/>
    <w:rsid w:val="008846FD"/>
    <w:rsid w:val="00884E1D"/>
    <w:rsid w:val="00906276"/>
    <w:rsid w:val="0091030A"/>
    <w:rsid w:val="00924F3A"/>
    <w:rsid w:val="009267F0"/>
    <w:rsid w:val="00A74BD3"/>
    <w:rsid w:val="00B57650"/>
    <w:rsid w:val="00B835E0"/>
    <w:rsid w:val="00B84F9F"/>
    <w:rsid w:val="00C03B9C"/>
    <w:rsid w:val="00CA14F8"/>
    <w:rsid w:val="00CC7603"/>
    <w:rsid w:val="00CE44D2"/>
    <w:rsid w:val="00D435AC"/>
    <w:rsid w:val="00D80890"/>
    <w:rsid w:val="00D963EB"/>
    <w:rsid w:val="00DB004E"/>
    <w:rsid w:val="00FB34F7"/>
    <w:rsid w:val="00FD3532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D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D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7527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752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styleId="Hipervnculo">
    <w:name w:val="Hyperlink"/>
    <w:unhideWhenUsed/>
    <w:rsid w:val="0068752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1D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D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10</cp:revision>
  <cp:lastPrinted>2016-09-09T18:00:00Z</cp:lastPrinted>
  <dcterms:created xsi:type="dcterms:W3CDTF">2016-09-09T14:24:00Z</dcterms:created>
  <dcterms:modified xsi:type="dcterms:W3CDTF">2016-09-09T18:00:00Z</dcterms:modified>
</cp:coreProperties>
</file>