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9BB" w:rsidRPr="00786EEB" w:rsidRDefault="008529BB" w:rsidP="00126D96">
      <w:pPr>
        <w:tabs>
          <w:tab w:val="center" w:pos="4253"/>
        </w:tabs>
        <w:suppressAutoHyphens/>
        <w:jc w:val="right"/>
        <w:rPr>
          <w:b/>
          <w:sz w:val="28"/>
          <w:szCs w:val="28"/>
          <w:lang w:val="es-ES_tradnl"/>
        </w:rPr>
      </w:pPr>
      <w:r w:rsidRPr="00786EEB">
        <w:rPr>
          <w:b/>
          <w:sz w:val="28"/>
          <w:szCs w:val="28"/>
          <w:lang w:val="es-ES_tradnl"/>
        </w:rPr>
        <w:t xml:space="preserve">RES. </w:t>
      </w:r>
      <w:r>
        <w:rPr>
          <w:b/>
          <w:sz w:val="28"/>
          <w:szCs w:val="28"/>
          <w:lang w:val="es-ES_tradnl"/>
        </w:rPr>
        <w:t>2629</w:t>
      </w:r>
      <w:r w:rsidRPr="00786EEB">
        <w:rPr>
          <w:b/>
          <w:sz w:val="28"/>
          <w:szCs w:val="28"/>
          <w:lang w:val="es-ES_tradnl"/>
        </w:rPr>
        <w:t>/16</w:t>
      </w:r>
    </w:p>
    <w:p w:rsidR="008529BB" w:rsidRDefault="008529BB" w:rsidP="008529BB">
      <w:pPr>
        <w:tabs>
          <w:tab w:val="center" w:pos="4253"/>
        </w:tabs>
        <w:suppressAutoHyphens/>
        <w:jc w:val="right"/>
        <w:rPr>
          <w:b/>
          <w:lang w:val="es-ES_tradnl"/>
        </w:rPr>
      </w:pPr>
    </w:p>
    <w:p w:rsidR="008529BB" w:rsidRPr="00762B34" w:rsidRDefault="008529BB">
      <w:pPr>
        <w:tabs>
          <w:tab w:val="center" w:pos="4253"/>
        </w:tabs>
        <w:suppressAutoHyphens/>
        <w:jc w:val="center"/>
        <w:rPr>
          <w:b/>
          <w:lang w:val="es-ES_tradnl"/>
        </w:rPr>
      </w:pPr>
      <w:r w:rsidRPr="00762B34">
        <w:rPr>
          <w:b/>
          <w:lang w:val="es-ES_tradnl"/>
        </w:rPr>
        <w:t>RESOLUCION ADOPTADA POR EL</w:t>
      </w:r>
    </w:p>
    <w:p w:rsidR="008529BB" w:rsidRPr="00762B34" w:rsidRDefault="008529BB">
      <w:pPr>
        <w:tabs>
          <w:tab w:val="left" w:pos="-720"/>
        </w:tabs>
        <w:suppressAutoHyphens/>
        <w:jc w:val="center"/>
        <w:rPr>
          <w:b/>
          <w:lang w:val="es-ES_tradnl"/>
        </w:rPr>
      </w:pPr>
    </w:p>
    <w:p w:rsidR="008529BB" w:rsidRPr="00762B34" w:rsidRDefault="008529BB">
      <w:pPr>
        <w:tabs>
          <w:tab w:val="center" w:pos="4253"/>
        </w:tabs>
        <w:suppressAutoHyphens/>
        <w:jc w:val="center"/>
        <w:rPr>
          <w:b/>
          <w:lang w:val="es-ES_tradnl"/>
        </w:rPr>
      </w:pPr>
      <w:r w:rsidRPr="00762B34">
        <w:rPr>
          <w:b/>
          <w:lang w:val="es-ES_tradnl"/>
        </w:rPr>
        <w:t>TRIBUNAL DE CUENTAS</w:t>
      </w:r>
    </w:p>
    <w:p w:rsidR="008529BB" w:rsidRPr="00762B34" w:rsidRDefault="008529BB">
      <w:pPr>
        <w:tabs>
          <w:tab w:val="left" w:pos="-720"/>
        </w:tabs>
        <w:suppressAutoHyphens/>
        <w:jc w:val="center"/>
        <w:rPr>
          <w:b/>
          <w:lang w:val="es-ES_tradnl"/>
        </w:rPr>
      </w:pPr>
    </w:p>
    <w:p w:rsidR="008529BB" w:rsidRPr="00762B34" w:rsidRDefault="008529BB">
      <w:pPr>
        <w:tabs>
          <w:tab w:val="center" w:pos="4253"/>
        </w:tabs>
        <w:suppressAutoHyphens/>
        <w:jc w:val="center"/>
        <w:rPr>
          <w:b/>
          <w:lang w:val="es-ES_tradnl"/>
        </w:rPr>
      </w:pPr>
      <w:r w:rsidRPr="00762B34">
        <w:rPr>
          <w:b/>
          <w:lang w:val="es-ES_tradnl"/>
        </w:rPr>
        <w:t xml:space="preserve">EN SESION DE FECHA </w:t>
      </w:r>
      <w:r>
        <w:rPr>
          <w:rFonts w:ascii="Helvetica" w:hAnsi="Helvetica"/>
          <w:b/>
          <w:lang w:val="es-ES_tradnl"/>
        </w:rPr>
        <w:t>27 DE JULIO DE 2016</w:t>
      </w:r>
    </w:p>
    <w:p w:rsidR="008529BB" w:rsidRPr="00762B34" w:rsidRDefault="008529BB">
      <w:pPr>
        <w:tabs>
          <w:tab w:val="center" w:pos="4253"/>
        </w:tabs>
        <w:suppressAutoHyphens/>
        <w:jc w:val="center"/>
        <w:rPr>
          <w:b/>
          <w:lang w:val="es-ES_tradnl"/>
        </w:rPr>
      </w:pPr>
    </w:p>
    <w:p w:rsidR="008529BB" w:rsidRPr="004074DD" w:rsidRDefault="008529BB">
      <w:pPr>
        <w:tabs>
          <w:tab w:val="center" w:pos="4253"/>
        </w:tabs>
        <w:suppressAutoHyphens/>
        <w:jc w:val="center"/>
        <w:rPr>
          <w:b/>
          <w:lang w:val="es-UY"/>
        </w:rPr>
      </w:pPr>
      <w:r w:rsidRPr="004074DD">
        <w:rPr>
          <w:b/>
          <w:lang w:val="es-UY"/>
        </w:rPr>
        <w:t>(E. E. Nº</w:t>
      </w:r>
      <w:r w:rsidRPr="008529BB">
        <w:rPr>
          <w:b/>
        </w:rPr>
        <w:t>2014-17-1-0005155</w:t>
      </w:r>
      <w:r w:rsidRPr="004074DD">
        <w:rPr>
          <w:b/>
          <w:lang w:val="es-UY"/>
        </w:rPr>
        <w:t xml:space="preserve">, </w:t>
      </w:r>
      <w:proofErr w:type="spellStart"/>
      <w:r w:rsidRPr="004074DD">
        <w:rPr>
          <w:b/>
          <w:lang w:val="es-UY"/>
        </w:rPr>
        <w:t>Ent.N°</w:t>
      </w:r>
      <w:proofErr w:type="spellEnd"/>
      <w:r w:rsidRPr="004074DD">
        <w:rPr>
          <w:b/>
          <w:lang w:val="es-UY"/>
        </w:rPr>
        <w:t xml:space="preserve"> </w:t>
      </w:r>
      <w:r w:rsidRPr="008529BB">
        <w:rPr>
          <w:b/>
          <w:spacing w:val="-3"/>
          <w:lang w:val="es-ES_tradnl"/>
        </w:rPr>
        <w:t>3526/16</w:t>
      </w:r>
      <w:r w:rsidRPr="004074DD">
        <w:rPr>
          <w:b/>
          <w:lang w:val="es-UY"/>
        </w:rPr>
        <w:t>)</w:t>
      </w:r>
    </w:p>
    <w:p w:rsidR="00776EC0" w:rsidRDefault="00776EC0" w:rsidP="008529BB">
      <w:pPr>
        <w:suppressAutoHyphens/>
        <w:spacing w:line="360" w:lineRule="auto"/>
        <w:rPr>
          <w:b/>
          <w:bCs/>
          <w:spacing w:val="-3"/>
          <w:lang w:val="es-ES_tradnl"/>
        </w:rPr>
      </w:pPr>
    </w:p>
    <w:p w:rsidR="00776EC0" w:rsidRDefault="00776EC0" w:rsidP="008529BB">
      <w:pPr>
        <w:tabs>
          <w:tab w:val="left" w:pos="-720"/>
        </w:tabs>
        <w:suppressAutoHyphens/>
        <w:spacing w:line="360" w:lineRule="auto"/>
        <w:ind w:firstLine="851"/>
        <w:jc w:val="both"/>
      </w:pPr>
      <w:r>
        <w:rPr>
          <w:b/>
          <w:bCs/>
          <w:spacing w:val="-3"/>
          <w:lang w:val="es-ES_tradnl"/>
        </w:rPr>
        <w:t>VISTO:</w:t>
      </w:r>
      <w:r>
        <w:rPr>
          <w:spacing w:val="-3"/>
          <w:lang w:val="es-ES_tradnl"/>
        </w:rPr>
        <w:t xml:space="preserve"> estos antecedentes remitidos por la </w:t>
      </w:r>
      <w:r>
        <w:t>Administración Nacional de Combustibles, Alcohol y Portland (ANCAP)</w:t>
      </w:r>
      <w:r>
        <w:rPr>
          <w:spacing w:val="-3"/>
          <w:lang w:val="es-ES_tradnl"/>
        </w:rPr>
        <w:t>, relacionados con el  acuerdo transaccional a celebrar con TEYMA U</w:t>
      </w:r>
      <w:r w:rsidR="004074DD">
        <w:rPr>
          <w:spacing w:val="-3"/>
          <w:lang w:val="es-ES_tradnl"/>
        </w:rPr>
        <w:t>ruguay</w:t>
      </w:r>
      <w:r>
        <w:rPr>
          <w:spacing w:val="-3"/>
          <w:lang w:val="es-ES_tradnl"/>
        </w:rPr>
        <w:t xml:space="preserve"> S.A.</w:t>
      </w:r>
      <w:r>
        <w:t>;</w:t>
      </w:r>
    </w:p>
    <w:p w:rsidR="00776EC0" w:rsidRDefault="00776EC0" w:rsidP="008529BB">
      <w:pPr>
        <w:tabs>
          <w:tab w:val="left" w:pos="-720"/>
        </w:tabs>
        <w:suppressAutoHyphens/>
        <w:spacing w:line="360" w:lineRule="auto"/>
        <w:ind w:firstLine="851"/>
        <w:jc w:val="both"/>
      </w:pPr>
      <w:r>
        <w:rPr>
          <w:b/>
          <w:bCs/>
        </w:rPr>
        <w:t>RESULTANDO: 1)</w:t>
      </w:r>
      <w:r>
        <w:t xml:space="preserve"> que por Resolución del Directorio Nº 861/07/2012 de fecha 20/7/12, se adjudicó a la </w:t>
      </w:r>
      <w:r w:rsidR="004074DD">
        <w:t>F</w:t>
      </w:r>
      <w:r>
        <w:t xml:space="preserve">irma TEYMA </w:t>
      </w:r>
      <w:r w:rsidR="004074DD">
        <w:rPr>
          <w:spacing w:val="-3"/>
          <w:lang w:val="es-ES_tradnl"/>
        </w:rPr>
        <w:t>Uruguay</w:t>
      </w:r>
      <w:r>
        <w:t xml:space="preserve"> S.A., la Licitación Pública Internacional Nº 2600001200, para la contratación del montaje </w:t>
      </w:r>
      <w:bookmarkStart w:id="0" w:name="_GoBack"/>
      <w:bookmarkEnd w:id="0"/>
      <w:r>
        <w:t>industrial del equipamiento para la modernización y ampliación de capacidad de producción de Clinker de la Planta de Fabricación de Cemento Portland en Minas, Departamento de Lavalleja;</w:t>
      </w:r>
    </w:p>
    <w:p w:rsidR="00776EC0" w:rsidRDefault="00776EC0" w:rsidP="008529BB">
      <w:pPr>
        <w:tabs>
          <w:tab w:val="left" w:pos="-720"/>
        </w:tabs>
        <w:suppressAutoHyphens/>
        <w:spacing w:line="360" w:lineRule="auto"/>
        <w:ind w:firstLine="2694"/>
        <w:jc w:val="both"/>
      </w:pPr>
      <w:r>
        <w:rPr>
          <w:b/>
          <w:bCs/>
        </w:rPr>
        <w:t>2)</w:t>
      </w:r>
      <w:r>
        <w:t xml:space="preserve"> que este Tribunal, en Sesión de fecha 12/9/12 acor</w:t>
      </w:r>
      <w:r w:rsidR="004074DD">
        <w:t>dó cometer al Contador Delegado</w:t>
      </w:r>
      <w:r>
        <w:t xml:space="preserve"> la intervención del gasto emergente de dicha contratación;</w:t>
      </w:r>
    </w:p>
    <w:p w:rsidR="00776EC0" w:rsidRDefault="00776EC0" w:rsidP="008529BB">
      <w:pPr>
        <w:tabs>
          <w:tab w:val="left" w:pos="-720"/>
        </w:tabs>
        <w:suppressAutoHyphens/>
        <w:spacing w:line="360" w:lineRule="auto"/>
        <w:ind w:firstLine="2694"/>
        <w:jc w:val="both"/>
      </w:pPr>
      <w:r>
        <w:rPr>
          <w:b/>
          <w:bCs/>
        </w:rPr>
        <w:t>3)</w:t>
      </w:r>
      <w:r>
        <w:t xml:space="preserve"> que por Resolución del Directorio Nº 869/6/2014 de fecha 26/6/14 se dispuso la ampliación de la </w:t>
      </w:r>
      <w:r w:rsidR="004074DD">
        <w:t>L</w:t>
      </w:r>
      <w:r>
        <w:t>icitación mencionada, acordando este Tribunal por Resolución del 20/08/14, cometer a la Contadora Delegada la intervención del gasto;</w:t>
      </w:r>
    </w:p>
    <w:p w:rsidR="00776EC0" w:rsidRDefault="00776EC0" w:rsidP="008529BB">
      <w:pPr>
        <w:tabs>
          <w:tab w:val="left" w:pos="-720"/>
        </w:tabs>
        <w:suppressAutoHyphens/>
        <w:spacing w:line="360" w:lineRule="auto"/>
        <w:ind w:firstLine="2694"/>
        <w:jc w:val="both"/>
      </w:pPr>
      <w:r>
        <w:rPr>
          <w:b/>
          <w:bCs/>
        </w:rPr>
        <w:t>4)</w:t>
      </w:r>
      <w:r>
        <w:t xml:space="preserve"> que por Resolución Nº 122/2/2015 del 12/2/15, el Directorio  dispuso ampliar nuevamente la </w:t>
      </w:r>
      <w:r w:rsidR="004074DD">
        <w:t>L</w:t>
      </w:r>
      <w:r>
        <w:t>icitación en cuestión, acordándose por este</w:t>
      </w:r>
      <w:r w:rsidR="004074DD">
        <w:t xml:space="preserve"> Tribunal en Sesión del 18/3/15</w:t>
      </w:r>
      <w:r>
        <w:t xml:space="preserve"> cometer al Contador Delegado la intervención del gasto emergente de la nueva ampliación;</w:t>
      </w:r>
    </w:p>
    <w:p w:rsidR="00776EC0" w:rsidRDefault="00776EC0" w:rsidP="008529BB">
      <w:pPr>
        <w:tabs>
          <w:tab w:val="left" w:pos="-720"/>
        </w:tabs>
        <w:suppressAutoHyphens/>
        <w:spacing w:line="360" w:lineRule="auto"/>
        <w:ind w:firstLine="2694"/>
        <w:jc w:val="both"/>
      </w:pPr>
      <w:r>
        <w:rPr>
          <w:b/>
          <w:bCs/>
        </w:rPr>
        <w:t xml:space="preserve">5) </w:t>
      </w:r>
      <w:r>
        <w:t>que en el marco de la referida licitación, la empresa TEYMA U</w:t>
      </w:r>
      <w:r w:rsidR="004074DD">
        <w:t>ruguay</w:t>
      </w:r>
      <w:r>
        <w:t xml:space="preserve"> S.A. present</w:t>
      </w:r>
      <w:r w:rsidR="004074DD">
        <w:t>ó</w:t>
      </w:r>
      <w:r>
        <w:t xml:space="preserve">  varias notas, en las cuales  reclama el pago de </w:t>
      </w:r>
      <w:r>
        <w:lastRenderedPageBreak/>
        <w:t>costos indirectos como consecuencia de una mayor permanencia en la</w:t>
      </w:r>
      <w:r w:rsidR="00BC4CB8">
        <w:t>s</w:t>
      </w:r>
      <w:r>
        <w:t xml:space="preserve"> obras, lo cual, según  señala, se debió principalmente a la  modificación al comienzo de los trabajos de montaje mecánico en la torre intercambiadora, mayor volumen de estructura metálica, mayor volumen de equipos montados, incidencia de gestiones de compra, adicionales de obra y revisión general del proyecto ejecutivo. En definitiva y en síntesis, el reclamo -que implica </w:t>
      </w:r>
      <w:r w:rsidR="00BC4CB8">
        <w:t xml:space="preserve">un pago total de $ 85:423.490- </w:t>
      </w:r>
      <w:r>
        <w:t xml:space="preserve">tiene su base en tres aspectos principales; </w:t>
      </w:r>
      <w:r w:rsidR="00BC4CB8">
        <w:t xml:space="preserve">                    </w:t>
      </w:r>
      <w:r>
        <w:rPr>
          <w:b/>
          <w:bCs/>
        </w:rPr>
        <w:t>a)</w:t>
      </w:r>
      <w:r>
        <w:t xml:space="preserve"> sobrecostos originados por una mayor permanencia en  la obra desde enero de 2014 a febrero 2015; </w:t>
      </w:r>
      <w:r>
        <w:rPr>
          <w:b/>
          <w:bCs/>
        </w:rPr>
        <w:t>b)</w:t>
      </w:r>
      <w:r>
        <w:t xml:space="preserve"> costos por intereses financieros devengados por la financiación de los sobrecostos antes mencionados, </w:t>
      </w:r>
      <w:r>
        <w:rPr>
          <w:b/>
          <w:bCs/>
        </w:rPr>
        <w:t>c)</w:t>
      </w:r>
      <w:r>
        <w:t xml:space="preserve"> intereses por demoras en el pago de Certificados de Avance de Obras, aprobados por la Dirección de Obra, desde setiembre 2014 a marzo 2015;</w:t>
      </w:r>
    </w:p>
    <w:p w:rsidR="00776EC0" w:rsidRDefault="00776EC0" w:rsidP="008529BB">
      <w:pPr>
        <w:tabs>
          <w:tab w:val="left" w:pos="-720"/>
        </w:tabs>
        <w:suppressAutoHyphens/>
        <w:spacing w:line="360" w:lineRule="auto"/>
        <w:ind w:firstLine="2694"/>
        <w:jc w:val="both"/>
      </w:pPr>
      <w:r w:rsidRPr="008529BB">
        <w:rPr>
          <w:b/>
        </w:rPr>
        <w:t>6</w:t>
      </w:r>
      <w:r w:rsidRPr="008529BB">
        <w:rPr>
          <w:b/>
          <w:bCs/>
        </w:rPr>
        <w:t>)</w:t>
      </w:r>
      <w:r w:rsidR="00BC4CB8">
        <w:t xml:space="preserve"> que la Gerencia Portland </w:t>
      </w:r>
      <w:r>
        <w:t xml:space="preserve">estimó, tras analizar el reclamo, que corresponde el pago a la adjudicataria de la suma total de </w:t>
      </w:r>
      <w:r w:rsidR="00BC4CB8">
        <w:t xml:space="preserve">           </w:t>
      </w:r>
      <w:r>
        <w:t>$ 54</w:t>
      </w:r>
      <w:r w:rsidR="00BC4CB8">
        <w:t xml:space="preserve">:620.103, ofrecimiento </w:t>
      </w:r>
      <w:r>
        <w:t>que luego de diversas instancias de negociación, fue aceptad</w:t>
      </w:r>
      <w:r w:rsidR="00BC4CB8">
        <w:t>o</w:t>
      </w:r>
      <w:r>
        <w:t xml:space="preserve"> por la reclamante; </w:t>
      </w:r>
    </w:p>
    <w:p w:rsidR="00776EC0" w:rsidRDefault="00776EC0" w:rsidP="008529BB">
      <w:pPr>
        <w:tabs>
          <w:tab w:val="left" w:pos="-720"/>
        </w:tabs>
        <w:suppressAutoHyphens/>
        <w:spacing w:line="360" w:lineRule="auto"/>
        <w:ind w:firstLine="2694"/>
        <w:jc w:val="both"/>
      </w:pPr>
      <w:r w:rsidRPr="008529BB">
        <w:rPr>
          <w:b/>
          <w:bCs/>
        </w:rPr>
        <w:t>7)</w:t>
      </w:r>
      <w:r w:rsidRPr="008529BB">
        <w:t xml:space="preserve"> que por su parte, se indica que existe un contrato de compra, </w:t>
      </w:r>
      <w:r>
        <w:t>distribución y comercialización entre ANCAP y la empresa Cementos del Plata S.A., según el cual esta última tiene a su cargo la distribución, comercialización y venta de los productos elaborados por la Gerencia de Portland. En ese marco, se informa que  la empresa TEYMA U</w:t>
      </w:r>
      <w:r w:rsidR="00BC4CB8">
        <w:t xml:space="preserve">ruguay S.A. adeuda al 3/6/2016 a </w:t>
      </w:r>
      <w:r>
        <w:t xml:space="preserve">Cementos del Plata S.A. la suma de </w:t>
      </w:r>
      <w:r w:rsidR="00BC4CB8">
        <w:t xml:space="preserve">     </w:t>
      </w:r>
      <w:r>
        <w:t>U$S 1</w:t>
      </w:r>
      <w:r w:rsidR="00BC4CB8">
        <w:t>:</w:t>
      </w:r>
      <w:r>
        <w:t xml:space="preserve">024.627,26, por concepto de facturas impagas, referidas a compras de Portland, </w:t>
      </w:r>
    </w:p>
    <w:p w:rsidR="00C342E7" w:rsidRDefault="00776EC0" w:rsidP="00C342E7">
      <w:pPr>
        <w:tabs>
          <w:tab w:val="left" w:pos="-720"/>
        </w:tabs>
        <w:suppressAutoHyphens/>
        <w:spacing w:line="360" w:lineRule="auto"/>
        <w:ind w:firstLine="2694"/>
        <w:jc w:val="both"/>
      </w:pPr>
      <w:r w:rsidRPr="008529BB">
        <w:rPr>
          <w:b/>
        </w:rPr>
        <w:t>8</w:t>
      </w:r>
      <w:r w:rsidRPr="008529BB">
        <w:rPr>
          <w:b/>
          <w:bCs/>
        </w:rPr>
        <w:t>)</w:t>
      </w:r>
      <w:r>
        <w:t xml:space="preserve"> q</w:t>
      </w:r>
      <w:r w:rsidR="00BC4CB8">
        <w:t xml:space="preserve">ue se remite en la oportunidad </w:t>
      </w:r>
      <w:r>
        <w:t xml:space="preserve">un proyecto de transacción que cuenta con la conformidad de los servicios jurídicos  </w:t>
      </w:r>
      <w:r w:rsidR="00BC4CB8">
        <w:t>-según informe del 28/6/16-</w:t>
      </w:r>
      <w:r>
        <w:t xml:space="preserve"> cuyo objeto es dirimir con la empresa reclamante todos los reclamos y litigios derivados o que puedan derivar a consecuencia de la </w:t>
      </w:r>
      <w:r w:rsidR="00BC4CB8">
        <w:t>L</w:t>
      </w:r>
      <w:r>
        <w:t>icitación mencionada</w:t>
      </w:r>
      <w:r w:rsidR="00BC4CB8">
        <w:t xml:space="preserve">, y </w:t>
      </w:r>
      <w:r>
        <w:t xml:space="preserve">en la cual se acuerda que : </w:t>
      </w:r>
      <w:r>
        <w:rPr>
          <w:b/>
          <w:bCs/>
        </w:rPr>
        <w:t>a)</w:t>
      </w:r>
      <w:r w:rsidR="00BC4CB8">
        <w:t xml:space="preserve"> ANCAP pagará a TEYMA </w:t>
      </w:r>
      <w:r>
        <w:t>U</w:t>
      </w:r>
      <w:r w:rsidR="00BC4CB8">
        <w:t>ruguay</w:t>
      </w:r>
      <w:r>
        <w:t xml:space="preserve"> S.A. la suma total y definitiva de $ 54</w:t>
      </w:r>
      <w:r w:rsidR="00BC4CB8">
        <w:t>:</w:t>
      </w:r>
      <w:r>
        <w:t xml:space="preserve">620.103 por concepto </w:t>
      </w:r>
      <w:r>
        <w:lastRenderedPageBreak/>
        <w:t xml:space="preserve">de indemnización de daños vinculados a la Licitación Pública Internacional Nº 2600001200; </w:t>
      </w:r>
    </w:p>
    <w:p w:rsidR="00776EC0" w:rsidRDefault="00776EC0">
      <w:pPr>
        <w:tabs>
          <w:tab w:val="left" w:pos="-720"/>
        </w:tabs>
        <w:suppressAutoHyphens/>
        <w:spacing w:line="360" w:lineRule="auto"/>
        <w:jc w:val="both"/>
      </w:pPr>
      <w:r>
        <w:rPr>
          <w:b/>
          <w:bCs/>
        </w:rPr>
        <w:t>b)</w:t>
      </w:r>
      <w:r>
        <w:t xml:space="preserve"> TEYMA U</w:t>
      </w:r>
      <w:r w:rsidR="004827A6">
        <w:t>ruguay</w:t>
      </w:r>
      <w:r>
        <w:t xml:space="preserve"> S.A. desiste del reclamo de intereses por atraso en el pago de facturas y los intereses derivados por el financiamiento externo para afrontar sus obligaciones en marco de la referida </w:t>
      </w:r>
      <w:r w:rsidR="004827A6">
        <w:t>L</w:t>
      </w:r>
      <w:r>
        <w:t>icitación;</w:t>
      </w:r>
    </w:p>
    <w:p w:rsidR="00776EC0" w:rsidRDefault="00776EC0">
      <w:pPr>
        <w:tabs>
          <w:tab w:val="left" w:pos="-720"/>
        </w:tabs>
        <w:suppressAutoHyphens/>
        <w:spacing w:line="360" w:lineRule="auto"/>
        <w:jc w:val="both"/>
      </w:pPr>
      <w:r>
        <w:rPr>
          <w:b/>
          <w:bCs/>
        </w:rPr>
        <w:t>c)</w:t>
      </w:r>
      <w:r w:rsidR="00C342E7">
        <w:rPr>
          <w:b/>
          <w:bCs/>
        </w:rPr>
        <w:t xml:space="preserve"> </w:t>
      </w:r>
      <w:r>
        <w:t>TEYMA U</w:t>
      </w:r>
      <w:r w:rsidR="004827A6">
        <w:t>ruguay</w:t>
      </w:r>
      <w:r>
        <w:t xml:space="preserve"> S.A. se obliga a suscribir en forma simultánea un contrato donde cede el crédito que deriva de la transacción, a favor de la empresa Cementos del Plata S.A</w:t>
      </w:r>
      <w:r w:rsidR="004827A6">
        <w:t>.</w:t>
      </w:r>
      <w:r>
        <w:t>:</w:t>
      </w:r>
    </w:p>
    <w:p w:rsidR="00C342E7" w:rsidRDefault="00776EC0">
      <w:pPr>
        <w:tabs>
          <w:tab w:val="left" w:pos="-720"/>
        </w:tabs>
        <w:suppressAutoHyphens/>
        <w:spacing w:line="360" w:lineRule="auto"/>
        <w:jc w:val="both"/>
      </w:pPr>
      <w:r>
        <w:t xml:space="preserve"> </w:t>
      </w:r>
      <w:r w:rsidRPr="004827A6">
        <w:rPr>
          <w:b/>
        </w:rPr>
        <w:t>d)</w:t>
      </w:r>
      <w:r>
        <w:t xml:space="preserve">  en cuant</w:t>
      </w:r>
      <w:r w:rsidR="004827A6">
        <w:t xml:space="preserve">o a la forma de pago, el monto </w:t>
      </w:r>
      <w:r>
        <w:t>será abonado por ANCAP en cuotas del mismo monto y en la misma oportunidad en que TEYMA U</w:t>
      </w:r>
      <w:r w:rsidR="004827A6">
        <w:t>ruguay</w:t>
      </w:r>
      <w:r>
        <w:t xml:space="preserve"> S.A. cancele sus compras de portland con Cementos del Plata S.A., y si al 31/12/16 existiera aún un saldo, ANCAP abonará el mismo a los treinta días, mediante transferencia bancaria a la cuenta que TEYMA U</w:t>
      </w:r>
      <w:r w:rsidR="004827A6">
        <w:t>ruguay</w:t>
      </w:r>
      <w:r>
        <w:t xml:space="preserve"> S.A. señale;</w:t>
      </w:r>
    </w:p>
    <w:p w:rsidR="00776EC0" w:rsidRDefault="00776EC0" w:rsidP="00C342E7">
      <w:pPr>
        <w:tabs>
          <w:tab w:val="left" w:pos="-720"/>
        </w:tabs>
        <w:suppressAutoHyphens/>
        <w:spacing w:line="360" w:lineRule="auto"/>
        <w:ind w:firstLine="2694"/>
        <w:jc w:val="both"/>
      </w:pPr>
      <w:r>
        <w:t xml:space="preserve">  </w:t>
      </w:r>
      <w:r w:rsidRPr="00C342E7">
        <w:rPr>
          <w:b/>
        </w:rPr>
        <w:t>9</w:t>
      </w:r>
      <w:r w:rsidRPr="00C342E7">
        <w:rPr>
          <w:b/>
          <w:bCs/>
        </w:rPr>
        <w:t>)</w:t>
      </w:r>
      <w:r>
        <w:t xml:space="preserve"> que por Resolución del Directorio Nº 460/16 dictada el 30/6/16, por la cual se  dispone: </w:t>
      </w:r>
      <w:r w:rsidRPr="004827A6">
        <w:rPr>
          <w:b/>
        </w:rPr>
        <w:t>a)</w:t>
      </w:r>
      <w:r>
        <w:t xml:space="preserve"> la autorización, condicionada a la previa intervención de este Tribunal, de la suscripción del acuerdo transaccional referido,  mandatando asimismo a los representantes de ANCAP en Cementos del Plata S.A. a los efectos de negociar y suscribir la cesión del crédito que se genera con la suscripción del acuerdo remitido</w:t>
      </w:r>
      <w:r w:rsidR="004827A6">
        <w:t>;</w:t>
      </w:r>
      <w:r>
        <w:t xml:space="preserve"> y </w:t>
      </w:r>
      <w:r w:rsidRPr="004827A6">
        <w:rPr>
          <w:b/>
        </w:rPr>
        <w:t>b)</w:t>
      </w:r>
      <w:r>
        <w:t xml:space="preserve"> el pase de las actuaciones a los servicios jurídicos a efectos de que se informe res</w:t>
      </w:r>
      <w:r w:rsidR="004827A6">
        <w:t xml:space="preserve">pecto a las acciones a seguir, </w:t>
      </w:r>
      <w:r>
        <w:t>en cuanto a la eventual responsabilidad de la empresa FL Smith -encargada de la ingeniería y el suministro de los equipos- en virtud su posible incidencia en los hechos que desencadenaron el reclamo planteado por TEYMA U</w:t>
      </w:r>
      <w:r w:rsidR="004827A6">
        <w:t>ruguay</w:t>
      </w:r>
      <w:r>
        <w:t xml:space="preserve"> S.A.:  </w:t>
      </w:r>
    </w:p>
    <w:p w:rsidR="00776EC0" w:rsidRDefault="00776EC0" w:rsidP="00C342E7">
      <w:pPr>
        <w:tabs>
          <w:tab w:val="left" w:pos="-720"/>
        </w:tabs>
        <w:suppressAutoHyphens/>
        <w:spacing w:line="360" w:lineRule="auto"/>
        <w:ind w:firstLine="851"/>
        <w:jc w:val="both"/>
        <w:rPr>
          <w:spacing w:val="-3"/>
          <w:lang w:val="es-ES_tradnl"/>
        </w:rPr>
      </w:pPr>
      <w:r>
        <w:rPr>
          <w:b/>
          <w:bCs/>
          <w:spacing w:val="-3"/>
          <w:lang w:val="es-ES_tradnl"/>
        </w:rPr>
        <w:t xml:space="preserve">CONSIDERANDO: </w:t>
      </w:r>
      <w:r>
        <w:rPr>
          <w:spacing w:val="-3"/>
          <w:lang w:val="es-ES_tradnl"/>
        </w:rPr>
        <w:t xml:space="preserve"> que por </w:t>
      </w:r>
      <w:r w:rsidR="004827A6">
        <w:rPr>
          <w:spacing w:val="-3"/>
          <w:lang w:val="es-ES_tradnl"/>
        </w:rPr>
        <w:t>R</w:t>
      </w:r>
      <w:r>
        <w:rPr>
          <w:spacing w:val="-3"/>
          <w:lang w:val="es-ES_tradnl"/>
        </w:rPr>
        <w:t>esolución del Tribunal de Cuentas, de</w:t>
      </w:r>
      <w:r>
        <w:rPr>
          <w:b/>
          <w:bCs/>
          <w:spacing w:val="-3"/>
          <w:lang w:val="es-ES_tradnl"/>
        </w:rPr>
        <w:t xml:space="preserve"> </w:t>
      </w:r>
      <w:r>
        <w:rPr>
          <w:spacing w:val="-3"/>
          <w:lang w:val="es-ES_tradnl"/>
        </w:rPr>
        <w:t xml:space="preserve">fecha 18 de junio de 2008 en la redacción dada por el </w:t>
      </w:r>
      <w:r w:rsidR="004827A6">
        <w:rPr>
          <w:spacing w:val="-3"/>
          <w:lang w:val="es-ES_tradnl"/>
        </w:rPr>
        <w:t>A</w:t>
      </w:r>
      <w:r>
        <w:rPr>
          <w:spacing w:val="-3"/>
          <w:lang w:val="es-ES_tradnl"/>
        </w:rPr>
        <w:t>rtículo 2 de la Resolución de este Tribunal de 23 de diciembre de 2009, se dispuso que se deben remitir al mismo, para su intervención, todos los gastos emergentes de transacciones  extrajudiciales y laudos  arbitrales, cualquiera sea su monto;</w:t>
      </w:r>
    </w:p>
    <w:p w:rsidR="00776EC0" w:rsidRDefault="00776EC0">
      <w:pPr>
        <w:tabs>
          <w:tab w:val="left" w:pos="-720"/>
        </w:tabs>
        <w:suppressAutoHyphens/>
        <w:spacing w:line="360" w:lineRule="auto"/>
        <w:jc w:val="both"/>
        <w:rPr>
          <w:spacing w:val="-3"/>
          <w:lang w:val="es-ES_tradnl"/>
        </w:rPr>
      </w:pPr>
    </w:p>
    <w:p w:rsidR="00776EC0" w:rsidRDefault="00776EC0" w:rsidP="00C342E7">
      <w:pPr>
        <w:tabs>
          <w:tab w:val="left" w:pos="-720"/>
        </w:tabs>
        <w:suppressAutoHyphens/>
        <w:spacing w:line="360" w:lineRule="auto"/>
        <w:ind w:firstLine="851"/>
        <w:jc w:val="both"/>
        <w:rPr>
          <w:spacing w:val="-3"/>
          <w:lang w:val="es-ES_tradnl"/>
        </w:rPr>
      </w:pPr>
      <w:r>
        <w:rPr>
          <w:b/>
          <w:bCs/>
          <w:spacing w:val="-3"/>
          <w:lang w:val="es-ES_tradnl"/>
        </w:rPr>
        <w:lastRenderedPageBreak/>
        <w:t>ATENTO:</w:t>
      </w:r>
      <w:r>
        <w:rPr>
          <w:spacing w:val="-3"/>
          <w:lang w:val="es-ES_tradnl"/>
        </w:rPr>
        <w:t xml:space="preserve"> a lo precedentemente expuesto, a lo dispuesto por el </w:t>
      </w:r>
      <w:r w:rsidR="00C342E7">
        <w:rPr>
          <w:spacing w:val="-3"/>
          <w:lang w:val="es-ES_tradnl"/>
        </w:rPr>
        <w:t>Artículo 211 L</w:t>
      </w:r>
      <w:r>
        <w:rPr>
          <w:spacing w:val="-3"/>
          <w:lang w:val="es-ES_tradnl"/>
        </w:rPr>
        <w:t>it</w:t>
      </w:r>
      <w:r w:rsidR="00C342E7">
        <w:rPr>
          <w:spacing w:val="-3"/>
          <w:lang w:val="es-ES_tradnl"/>
        </w:rPr>
        <w:t>eral</w:t>
      </w:r>
      <w:r>
        <w:rPr>
          <w:spacing w:val="-3"/>
          <w:lang w:val="es-ES_tradnl"/>
        </w:rPr>
        <w:t xml:space="preserve"> B) de la Constitución de la República y </w:t>
      </w:r>
      <w:r w:rsidR="00C342E7">
        <w:rPr>
          <w:spacing w:val="-3"/>
          <w:lang w:val="es-ES_tradnl"/>
        </w:rPr>
        <w:t>A</w:t>
      </w:r>
      <w:r>
        <w:rPr>
          <w:spacing w:val="-3"/>
          <w:lang w:val="es-ES_tradnl"/>
        </w:rPr>
        <w:t>rt</w:t>
      </w:r>
      <w:r w:rsidR="00C342E7">
        <w:rPr>
          <w:spacing w:val="-3"/>
          <w:lang w:val="es-ES_tradnl"/>
        </w:rPr>
        <w:t>ículos  2</w:t>
      </w:r>
      <w:r w:rsidR="0092684D">
        <w:rPr>
          <w:spacing w:val="-3"/>
          <w:lang w:val="es-ES_tradnl"/>
        </w:rPr>
        <w:t>.</w:t>
      </w:r>
      <w:r w:rsidR="00C342E7">
        <w:rPr>
          <w:spacing w:val="-3"/>
          <w:lang w:val="es-ES_tradnl"/>
        </w:rPr>
        <w:t xml:space="preserve">147 y ss. </w:t>
      </w:r>
      <w:proofErr w:type="gramStart"/>
      <w:r w:rsidR="00C342E7">
        <w:rPr>
          <w:spacing w:val="-3"/>
          <w:lang w:val="es-ES_tradnl"/>
        </w:rPr>
        <w:t>del</w:t>
      </w:r>
      <w:proofErr w:type="gramEnd"/>
      <w:r w:rsidR="00C342E7">
        <w:rPr>
          <w:spacing w:val="-3"/>
          <w:lang w:val="es-ES_tradnl"/>
        </w:rPr>
        <w:t xml:space="preserve"> Código</w:t>
      </w:r>
      <w:r>
        <w:rPr>
          <w:spacing w:val="-3"/>
          <w:lang w:val="es-ES_tradnl"/>
        </w:rPr>
        <w:t xml:space="preserve"> Civil;</w:t>
      </w:r>
    </w:p>
    <w:p w:rsidR="00776EC0" w:rsidRDefault="00776EC0">
      <w:pPr>
        <w:pStyle w:val="Ttulo1"/>
        <w:rPr>
          <w:rFonts w:ascii="Arial" w:hAnsi="Arial" w:cs="Arial"/>
        </w:rPr>
      </w:pPr>
      <w:r>
        <w:rPr>
          <w:rFonts w:ascii="Arial" w:hAnsi="Arial" w:cs="Arial"/>
        </w:rPr>
        <w:t>EL TRIBUNAL ACUERDA</w:t>
      </w:r>
    </w:p>
    <w:p w:rsidR="00776EC0" w:rsidRDefault="00776EC0">
      <w:pPr>
        <w:tabs>
          <w:tab w:val="left" w:pos="-720"/>
        </w:tabs>
        <w:suppressAutoHyphens/>
        <w:spacing w:line="360" w:lineRule="auto"/>
        <w:jc w:val="both"/>
        <w:rPr>
          <w:spacing w:val="-3"/>
          <w:lang w:val="es-ES_tradnl"/>
        </w:rPr>
      </w:pPr>
      <w:r>
        <w:rPr>
          <w:b/>
          <w:bCs/>
          <w:lang w:val="es-ES_tradnl"/>
        </w:rPr>
        <w:t>1)</w:t>
      </w:r>
      <w:r>
        <w:rPr>
          <w:spacing w:val="-3"/>
          <w:lang w:val="es-ES_tradnl"/>
        </w:rPr>
        <w:t xml:space="preserve"> Cometer al Contador Delegado la intervención del gasto remitido</w:t>
      </w:r>
      <w:r>
        <w:t>,</w:t>
      </w:r>
      <w:r>
        <w:rPr>
          <w:spacing w:val="-3"/>
          <w:lang w:val="es-ES_tradnl"/>
        </w:rPr>
        <w:t xml:space="preserve"> previo control de su imputación con cargo a </w:t>
      </w:r>
      <w:r w:rsidR="0092684D">
        <w:rPr>
          <w:spacing w:val="-3"/>
          <w:lang w:val="es-ES_tradnl"/>
        </w:rPr>
        <w:t>G</w:t>
      </w:r>
      <w:r>
        <w:rPr>
          <w:spacing w:val="-3"/>
          <w:lang w:val="es-ES_tradnl"/>
        </w:rPr>
        <w:t>rupo adecuado con disponibilidad suficiente;</w:t>
      </w:r>
    </w:p>
    <w:p w:rsidR="00776EC0" w:rsidRDefault="00776EC0">
      <w:pPr>
        <w:tabs>
          <w:tab w:val="left" w:pos="-720"/>
        </w:tabs>
        <w:suppressAutoHyphens/>
        <w:spacing w:line="360" w:lineRule="auto"/>
        <w:jc w:val="both"/>
        <w:rPr>
          <w:spacing w:val="-3"/>
          <w:lang w:val="es-ES_tradnl"/>
        </w:rPr>
      </w:pPr>
      <w:r>
        <w:rPr>
          <w:b/>
          <w:bCs/>
          <w:spacing w:val="-3"/>
          <w:lang w:val="es-ES_tradnl"/>
        </w:rPr>
        <w:t>2)</w:t>
      </w:r>
      <w:r>
        <w:rPr>
          <w:spacing w:val="-3"/>
          <w:lang w:val="es-ES_tradnl"/>
        </w:rPr>
        <w:t xml:space="preserve">  Comunicar al Contador Delegado; y</w:t>
      </w:r>
    </w:p>
    <w:p w:rsidR="00776EC0" w:rsidRDefault="00776EC0">
      <w:pPr>
        <w:tabs>
          <w:tab w:val="left" w:pos="-720"/>
        </w:tabs>
        <w:suppressAutoHyphens/>
        <w:spacing w:line="360" w:lineRule="auto"/>
        <w:jc w:val="both"/>
        <w:rPr>
          <w:spacing w:val="-3"/>
          <w:lang w:val="es-ES_tradnl"/>
        </w:rPr>
      </w:pPr>
      <w:r>
        <w:rPr>
          <w:b/>
          <w:bCs/>
          <w:spacing w:val="-3"/>
          <w:lang w:val="es-ES_tradnl"/>
        </w:rPr>
        <w:t>3)</w:t>
      </w:r>
      <w:r w:rsidR="0092684D">
        <w:rPr>
          <w:spacing w:val="-3"/>
          <w:lang w:val="es-ES_tradnl"/>
        </w:rPr>
        <w:t xml:space="preserve">  Devolver las actuaciones.</w:t>
      </w:r>
    </w:p>
    <w:p w:rsidR="00776EC0" w:rsidRDefault="00776EC0">
      <w:pPr>
        <w:tabs>
          <w:tab w:val="left" w:pos="-720"/>
        </w:tabs>
        <w:suppressAutoHyphens/>
        <w:spacing w:line="360" w:lineRule="auto"/>
        <w:jc w:val="both"/>
        <w:rPr>
          <w:spacing w:val="-3"/>
          <w:highlight w:val="yellow"/>
          <w:lang w:val="es-ES_tradnl"/>
        </w:rPr>
      </w:pPr>
    </w:p>
    <w:p w:rsidR="00EB347F" w:rsidRDefault="00EB347F">
      <w:pPr>
        <w:tabs>
          <w:tab w:val="left" w:pos="-720"/>
        </w:tabs>
        <w:suppressAutoHyphens/>
        <w:spacing w:line="360" w:lineRule="auto"/>
        <w:jc w:val="both"/>
        <w:rPr>
          <w:spacing w:val="-3"/>
          <w:highlight w:val="yellow"/>
          <w:lang w:val="es-ES_tradnl"/>
        </w:rPr>
      </w:pPr>
    </w:p>
    <w:p w:rsidR="00EB347F" w:rsidRPr="00EB347F" w:rsidRDefault="00EB347F">
      <w:pPr>
        <w:tabs>
          <w:tab w:val="left" w:pos="-720"/>
        </w:tabs>
        <w:suppressAutoHyphens/>
        <w:spacing w:line="360" w:lineRule="auto"/>
        <w:jc w:val="both"/>
        <w:rPr>
          <w:spacing w:val="-3"/>
          <w:sz w:val="20"/>
          <w:szCs w:val="20"/>
          <w:lang w:val="es-ES_tradnl"/>
        </w:rPr>
      </w:pPr>
      <w:r w:rsidRPr="00EB347F">
        <w:rPr>
          <w:spacing w:val="-3"/>
          <w:sz w:val="20"/>
          <w:szCs w:val="20"/>
          <w:lang w:val="es-ES_tradnl"/>
        </w:rPr>
        <w:t>CLC</w:t>
      </w:r>
    </w:p>
    <w:p w:rsidR="00776EC0" w:rsidRDefault="00776EC0">
      <w:pPr>
        <w:tabs>
          <w:tab w:val="left" w:pos="-720"/>
        </w:tabs>
        <w:suppressAutoHyphens/>
        <w:spacing w:line="360" w:lineRule="auto"/>
        <w:jc w:val="right"/>
        <w:rPr>
          <w:highlight w:val="yellow"/>
          <w:lang w:val="es-ES_tradnl"/>
        </w:rPr>
      </w:pPr>
    </w:p>
    <w:p w:rsidR="00776EC0" w:rsidRDefault="00776EC0">
      <w:pPr>
        <w:tabs>
          <w:tab w:val="left" w:pos="-720"/>
        </w:tabs>
        <w:suppressAutoHyphens/>
        <w:spacing w:line="360" w:lineRule="auto"/>
        <w:jc w:val="right"/>
        <w:rPr>
          <w:lang w:val="es-ES_tradnl"/>
        </w:rPr>
      </w:pPr>
    </w:p>
    <w:sectPr w:rsidR="00776EC0" w:rsidSect="00FD19A6">
      <w:headerReference w:type="default" r:id="rId9"/>
      <w:footerReference w:type="default" r:id="rId10"/>
      <w:pgSz w:w="11907" w:h="16840" w:code="9"/>
      <w:pgMar w:top="3402" w:right="1701" w:bottom="1134" w:left="1701" w:header="0" w:footer="0" w:gutter="0"/>
      <w:paperSrc w:first="4" w:other="4"/>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9BB" w:rsidRDefault="008529BB">
      <w:r>
        <w:separator/>
      </w:r>
    </w:p>
  </w:endnote>
  <w:endnote w:type="continuationSeparator" w:id="0">
    <w:p w:rsidR="008529BB" w:rsidRDefault="0085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9BB" w:rsidRDefault="008529BB">
    <w:pPr>
      <w:pStyle w:val="Piedepgina"/>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D19A6">
      <w:rPr>
        <w:rStyle w:val="Nmerodepgina"/>
        <w:noProof/>
      </w:rPr>
      <w:t>1</w:t>
    </w:r>
    <w:r>
      <w:rPr>
        <w:rStyle w:val="Nmerodepgina"/>
      </w:rPr>
      <w:fldChar w:fldCharType="end"/>
    </w:r>
  </w:p>
  <w:p w:rsidR="008529BB" w:rsidRDefault="008529BB">
    <w:pPr>
      <w:pStyle w:val="Piedepgin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9BB" w:rsidRDefault="008529BB">
      <w:r>
        <w:separator/>
      </w:r>
    </w:p>
  </w:footnote>
  <w:footnote w:type="continuationSeparator" w:id="0">
    <w:p w:rsidR="008529BB" w:rsidRDefault="00852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9BB" w:rsidRDefault="00FD19A6">
    <w:pPr>
      <w:suppressAutoHyphens/>
      <w:jc w:val="both"/>
      <w:rPr>
        <w:rFonts w:ascii="Times New Roman" w:hAnsi="Times New Roman" w:cs="Times New Roman"/>
      </w:rPr>
    </w:pPr>
    <w:r>
      <w:rPr>
        <w:noProof/>
        <w:lang w:val="en-US" w:eastAsia="en-US"/>
      </w:rPr>
      <w:pict>
        <v:rect id="Rectángulo 1" o:spid="_x0000_s2049" style="position:absolute;left:0;text-align:left;margin-left:85pt;margin-top:0;width:421.8pt;height:12pt;z-index:251660288;visibility:visible;mso-position-horizontal-relative:page" o:allowincell="f" filled="f" stroked="f" strokeweight="0">
          <v:textbox inset="0,0,0,0">
            <w:txbxContent>
              <w:p w:rsidR="008529BB" w:rsidRDefault="008529BB">
                <w:pPr>
                  <w:tabs>
                    <w:tab w:val="center" w:pos="4218"/>
                    <w:tab w:val="right" w:pos="8436"/>
                  </w:tabs>
                  <w:rPr>
                    <w:rFonts w:ascii="Times New Roman" w:hAnsi="Times New Roman" w:cs="Times New Roman"/>
                    <w:spacing w:val="-3"/>
                    <w:lang w:val="es-ES_tradnl"/>
                  </w:rPr>
                </w:pPr>
                <w:r>
                  <w:rPr>
                    <w:rFonts w:ascii="Times New Roman" w:hAnsi="Times New Roman" w:cs="Times New Roman"/>
                  </w:rPr>
                  <w:tab/>
                </w:r>
                <w:r>
                  <w:rPr>
                    <w:rFonts w:ascii="Times New Roman" w:hAnsi="Times New Roman" w:cs="Times New Roman"/>
                  </w:rPr>
                  <w:tab/>
                </w:r>
              </w:p>
            </w:txbxContent>
          </v:textbox>
          <w10:wrap anchorx="page"/>
        </v:rect>
      </w:pict>
    </w:r>
  </w:p>
  <w:p w:rsidR="008529BB" w:rsidRDefault="008529BB">
    <w:pPr>
      <w:suppressAutoHyphens/>
      <w:spacing w:after="140" w:line="100" w:lineRule="exact"/>
      <w:jc w:val="both"/>
      <w:rPr>
        <w:rFonts w:ascii="Times New Roman" w:hAnsi="Times New Roman" w:cs="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C3D03"/>
    <w:multiLevelType w:val="singleLevel"/>
    <w:tmpl w:val="ED12739E"/>
    <w:lvl w:ilvl="0">
      <w:start w:val="1"/>
      <w:numFmt w:val="decimal"/>
      <w:lvlText w:val="%1)"/>
      <w:lvlJc w:val="left"/>
      <w:pPr>
        <w:tabs>
          <w:tab w:val="num" w:pos="360"/>
        </w:tabs>
        <w:ind w:left="360" w:hanging="360"/>
      </w:pPr>
      <w:rPr>
        <w:rFonts w:ascii="Times New Roman" w:hAnsi="Times New Roman" w:cs="Times New Roman"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defaultTabStop w:val="708"/>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EC0"/>
    <w:rsid w:val="00126D96"/>
    <w:rsid w:val="004074DD"/>
    <w:rsid w:val="004827A6"/>
    <w:rsid w:val="00776EC0"/>
    <w:rsid w:val="008529BB"/>
    <w:rsid w:val="0092684D"/>
    <w:rsid w:val="00BC0A48"/>
    <w:rsid w:val="00BC4CB8"/>
    <w:rsid w:val="00C342E7"/>
    <w:rsid w:val="00C75698"/>
    <w:rsid w:val="00EB347F"/>
    <w:rsid w:val="00FD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link w:val="Ttulo1Car"/>
    <w:uiPriority w:val="99"/>
    <w:qFormat/>
    <w:pPr>
      <w:keepNext/>
      <w:widowControl w:val="0"/>
      <w:tabs>
        <w:tab w:val="center" w:pos="4218"/>
      </w:tabs>
      <w:suppressAutoHyphens/>
      <w:spacing w:line="360" w:lineRule="auto"/>
      <w:jc w:val="center"/>
      <w:outlineLvl w:val="0"/>
    </w:pPr>
    <w:rPr>
      <w:rFonts w:ascii="Bookman Old Style" w:hAnsi="Bookman Old Style" w:cs="Bookman Old Style"/>
      <w:b/>
      <w:bCs/>
      <w:spacing w:val="-3"/>
      <w:lang w:val="es-ES_tradnl"/>
    </w:rPr>
  </w:style>
  <w:style w:type="paragraph" w:styleId="Ttulo2">
    <w:name w:val="heading 2"/>
    <w:basedOn w:val="Normal"/>
    <w:next w:val="Normal"/>
    <w:link w:val="Ttulo2Car"/>
    <w:uiPriority w:val="99"/>
    <w:qFormat/>
    <w:pPr>
      <w:keepNext/>
      <w:suppressAutoHyphens/>
      <w:spacing w:line="360" w:lineRule="auto"/>
      <w:jc w:val="both"/>
      <w:outlineLvl w:val="1"/>
    </w:pPr>
    <w:rPr>
      <w:b/>
      <w:bCs/>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Bookman Old Style" w:hAnsi="Bookman Old Style" w:cs="Bookman Old Style"/>
      <w:b/>
      <w:bCs/>
      <w:spacing w:val="-3"/>
      <w:sz w:val="24"/>
      <w:szCs w:val="24"/>
      <w:lang w:val="es-ES_tradnl" w:eastAsia="es-ES"/>
    </w:rPr>
  </w:style>
  <w:style w:type="character" w:customStyle="1" w:styleId="Ttulo2Car">
    <w:name w:val="Título 2 Car"/>
    <w:basedOn w:val="Fuentedeprrafopredeter"/>
    <w:link w:val="Ttulo2"/>
    <w:uiPriority w:val="99"/>
    <w:rPr>
      <w:rFonts w:ascii="Arial" w:hAnsi="Arial" w:cs="Arial"/>
      <w:b/>
      <w:bCs/>
      <w:spacing w:val="-3"/>
      <w:sz w:val="24"/>
      <w:szCs w:val="24"/>
      <w:lang w:val="es-ES_tradnl" w:eastAsia="es-ES"/>
    </w:rPr>
  </w:style>
  <w:style w:type="paragraph" w:styleId="Piedepgina">
    <w:name w:val="footer"/>
    <w:basedOn w:val="Normal"/>
    <w:link w:val="PiedepginaCar"/>
    <w:uiPriority w:val="99"/>
    <w:pPr>
      <w:widowControl w:val="0"/>
      <w:tabs>
        <w:tab w:val="center" w:pos="4252"/>
        <w:tab w:val="right" w:pos="8504"/>
      </w:tabs>
    </w:pPr>
    <w:rPr>
      <w:rFonts w:ascii="Courier New" w:hAnsi="Courier New" w:cs="Courier New"/>
    </w:rPr>
  </w:style>
  <w:style w:type="character" w:customStyle="1" w:styleId="PiedepginaCar">
    <w:name w:val="Pie de página Car"/>
    <w:basedOn w:val="Fuentedeprrafopredeter"/>
    <w:link w:val="Piedepgina"/>
    <w:uiPriority w:val="99"/>
    <w:rPr>
      <w:rFonts w:ascii="Courier New" w:hAnsi="Courier New" w:cs="Courier New"/>
      <w:sz w:val="24"/>
      <w:szCs w:val="24"/>
      <w:lang w:eastAsia="es-ES"/>
    </w:rPr>
  </w:style>
  <w:style w:type="character" w:styleId="Nmerodepgina">
    <w:name w:val="page number"/>
    <w:basedOn w:val="Fuentedeprrafopredeter"/>
    <w:uiPriority w:val="99"/>
    <w:rPr>
      <w:rFonts w:ascii="Times New Roman" w:hAnsi="Times New Roman" w:cs="Times New Roman"/>
    </w:rPr>
  </w:style>
  <w:style w:type="paragraph" w:styleId="Textoindependiente2">
    <w:name w:val="Body Text 2"/>
    <w:basedOn w:val="Normal"/>
    <w:link w:val="Textoindependiente2Car"/>
    <w:uiPriority w:val="99"/>
    <w:pPr>
      <w:tabs>
        <w:tab w:val="left" w:pos="-720"/>
      </w:tabs>
      <w:suppressAutoHyphens/>
      <w:spacing w:line="360" w:lineRule="auto"/>
      <w:jc w:val="right"/>
    </w:pPr>
    <w:rPr>
      <w:spacing w:val="-3"/>
      <w:lang w:val="es-ES_tradnl"/>
    </w:rPr>
  </w:style>
  <w:style w:type="character" w:customStyle="1" w:styleId="Textoindependiente2Car">
    <w:name w:val="Texto independiente 2 Car"/>
    <w:basedOn w:val="Fuentedeprrafopredeter"/>
    <w:link w:val="Textoindependiente2"/>
    <w:uiPriority w:val="99"/>
    <w:rPr>
      <w:rFonts w:ascii="Arial" w:hAnsi="Arial" w:cs="Arial"/>
      <w:spacing w:val="-3"/>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20E69-2336-431C-A0B3-CE38F1C61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915</Words>
  <Characters>5036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CARPETA Nº 2014-17-1-0005155</vt:lpstr>
    </vt:vector>
  </TitlesOfParts>
  <Company>Tribunal de Cuentas</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2014-17-1-0005155</dc:title>
  <dc:creator>FEDERICO MUCCINELLI</dc:creator>
  <cp:lastModifiedBy>Tribunal1</cp:lastModifiedBy>
  <cp:revision>11</cp:revision>
  <cp:lastPrinted>2016-08-02T19:42:00Z</cp:lastPrinted>
  <dcterms:created xsi:type="dcterms:W3CDTF">2016-08-02T15:53:00Z</dcterms:created>
  <dcterms:modified xsi:type="dcterms:W3CDTF">2016-08-02T19:42:00Z</dcterms:modified>
</cp:coreProperties>
</file>