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99" w:rsidRPr="008A6871" w:rsidRDefault="008A2799" w:rsidP="00292093">
      <w:pPr>
        <w:tabs>
          <w:tab w:val="center" w:pos="4253"/>
        </w:tabs>
        <w:suppressAutoHyphens/>
        <w:jc w:val="right"/>
        <w:rPr>
          <w:rFonts w:ascii="Arial" w:hAnsi="Arial" w:cs="Arial"/>
          <w:b/>
          <w:lang w:val="es-ES_tradnl"/>
        </w:rPr>
      </w:pPr>
      <w:r w:rsidRPr="008A6871">
        <w:rPr>
          <w:rFonts w:ascii="Arial" w:hAnsi="Arial" w:cs="Arial"/>
          <w:b/>
          <w:lang w:val="es-ES_tradnl"/>
        </w:rPr>
        <w:t xml:space="preserve">RES. </w:t>
      </w:r>
      <w:r>
        <w:rPr>
          <w:rFonts w:ascii="Arial" w:hAnsi="Arial" w:cs="Arial"/>
          <w:b/>
          <w:lang w:val="es-ES_tradnl"/>
        </w:rPr>
        <w:t>2533</w:t>
      </w:r>
      <w:r w:rsidRPr="008A6871">
        <w:rPr>
          <w:rFonts w:ascii="Arial" w:hAnsi="Arial" w:cs="Arial"/>
          <w:b/>
          <w:lang w:val="es-ES_tradnl"/>
        </w:rPr>
        <w:t>/16</w:t>
      </w:r>
    </w:p>
    <w:p w:rsidR="008A2799" w:rsidRDefault="008A2799">
      <w:pPr>
        <w:tabs>
          <w:tab w:val="center" w:pos="4253"/>
        </w:tabs>
        <w:suppressAutoHyphens/>
        <w:jc w:val="center"/>
        <w:rPr>
          <w:rFonts w:ascii="Arial" w:hAnsi="Arial" w:cs="Arial"/>
          <w:b/>
          <w:lang w:val="es-ES_tradnl"/>
        </w:rPr>
      </w:pPr>
    </w:p>
    <w:p w:rsidR="008A2799" w:rsidRPr="004746D1" w:rsidRDefault="008A2799">
      <w:pPr>
        <w:tabs>
          <w:tab w:val="center" w:pos="4253"/>
        </w:tabs>
        <w:suppressAutoHyphens/>
        <w:jc w:val="center"/>
        <w:rPr>
          <w:rFonts w:ascii="Arial" w:hAnsi="Arial" w:cs="Arial"/>
          <w:b/>
          <w:lang w:val="es-ES_tradnl"/>
        </w:rPr>
      </w:pPr>
      <w:r w:rsidRPr="004746D1">
        <w:rPr>
          <w:rFonts w:ascii="Arial" w:hAnsi="Arial" w:cs="Arial"/>
          <w:b/>
          <w:lang w:val="es-ES_tradnl"/>
        </w:rPr>
        <w:t>RESOLUCION ADOPTADA POR EL</w:t>
      </w:r>
    </w:p>
    <w:p w:rsidR="008A2799" w:rsidRPr="004746D1" w:rsidRDefault="008A2799">
      <w:pPr>
        <w:tabs>
          <w:tab w:val="left" w:pos="-720"/>
        </w:tabs>
        <w:suppressAutoHyphens/>
        <w:jc w:val="center"/>
        <w:rPr>
          <w:rFonts w:ascii="Arial" w:hAnsi="Arial" w:cs="Arial"/>
          <w:b/>
          <w:lang w:val="es-ES_tradnl"/>
        </w:rPr>
      </w:pPr>
    </w:p>
    <w:p w:rsidR="008A2799" w:rsidRPr="004746D1" w:rsidRDefault="008A2799">
      <w:pPr>
        <w:tabs>
          <w:tab w:val="center" w:pos="4253"/>
        </w:tabs>
        <w:suppressAutoHyphens/>
        <w:jc w:val="center"/>
        <w:rPr>
          <w:rFonts w:ascii="Arial" w:hAnsi="Arial" w:cs="Arial"/>
          <w:b/>
          <w:lang w:val="es-ES_tradnl"/>
        </w:rPr>
      </w:pPr>
      <w:r w:rsidRPr="004746D1">
        <w:rPr>
          <w:rFonts w:ascii="Arial" w:hAnsi="Arial" w:cs="Arial"/>
          <w:b/>
          <w:lang w:val="es-ES_tradnl"/>
        </w:rPr>
        <w:t>TRIBUNAL DE CUENTAS</w:t>
      </w:r>
    </w:p>
    <w:p w:rsidR="008A2799" w:rsidRPr="004746D1" w:rsidRDefault="008A2799">
      <w:pPr>
        <w:tabs>
          <w:tab w:val="left" w:pos="-720"/>
        </w:tabs>
        <w:suppressAutoHyphens/>
        <w:jc w:val="center"/>
        <w:rPr>
          <w:rFonts w:ascii="Arial" w:hAnsi="Arial" w:cs="Arial"/>
          <w:b/>
          <w:lang w:val="es-ES_tradnl"/>
        </w:rPr>
      </w:pPr>
    </w:p>
    <w:p w:rsidR="008A2799" w:rsidRPr="004746D1" w:rsidRDefault="008A2799">
      <w:pPr>
        <w:tabs>
          <w:tab w:val="center" w:pos="4253"/>
        </w:tabs>
        <w:suppressAutoHyphens/>
        <w:jc w:val="center"/>
        <w:rPr>
          <w:rFonts w:ascii="Arial" w:hAnsi="Arial" w:cs="Arial"/>
          <w:b/>
          <w:lang w:val="es-ES_tradnl"/>
        </w:rPr>
      </w:pPr>
      <w:r w:rsidRPr="004746D1">
        <w:rPr>
          <w:rFonts w:ascii="Arial" w:hAnsi="Arial" w:cs="Arial"/>
          <w:b/>
          <w:lang w:val="es-ES_tradnl"/>
        </w:rPr>
        <w:t xml:space="preserve">EN SESION DE FECHA </w:t>
      </w:r>
      <w:r>
        <w:rPr>
          <w:rFonts w:ascii="Arial" w:hAnsi="Arial" w:cs="Arial"/>
          <w:b/>
          <w:lang w:val="es-ES_tradnl"/>
        </w:rPr>
        <w:t>20</w:t>
      </w:r>
      <w:r w:rsidRPr="00D20F97">
        <w:rPr>
          <w:rFonts w:ascii="Arial" w:hAnsi="Arial" w:cs="Arial"/>
          <w:b/>
          <w:lang w:val="es-ES_tradnl"/>
        </w:rPr>
        <w:t xml:space="preserve"> DE </w:t>
      </w:r>
      <w:r>
        <w:rPr>
          <w:rFonts w:ascii="Arial" w:hAnsi="Arial" w:cs="Arial"/>
          <w:b/>
          <w:lang w:val="es-ES_tradnl"/>
        </w:rPr>
        <w:t>JULIO</w:t>
      </w:r>
      <w:r w:rsidRPr="00D20F97">
        <w:rPr>
          <w:rFonts w:ascii="Arial" w:hAnsi="Arial" w:cs="Arial"/>
          <w:b/>
          <w:lang w:val="es-ES_tradnl"/>
        </w:rPr>
        <w:t xml:space="preserve"> DE 2016</w:t>
      </w:r>
    </w:p>
    <w:p w:rsidR="008A2799" w:rsidRPr="004746D1" w:rsidRDefault="008A2799">
      <w:pPr>
        <w:tabs>
          <w:tab w:val="center" w:pos="4253"/>
        </w:tabs>
        <w:suppressAutoHyphens/>
        <w:jc w:val="center"/>
        <w:rPr>
          <w:rFonts w:ascii="Arial" w:hAnsi="Arial" w:cs="Arial"/>
          <w:b/>
          <w:lang w:val="es-ES_tradnl"/>
        </w:rPr>
      </w:pPr>
    </w:p>
    <w:p w:rsidR="008A2799" w:rsidRPr="004746D1" w:rsidRDefault="008A2799">
      <w:pPr>
        <w:tabs>
          <w:tab w:val="center" w:pos="4253"/>
        </w:tabs>
        <w:suppressAutoHyphens/>
        <w:jc w:val="center"/>
        <w:rPr>
          <w:rFonts w:ascii="Arial" w:hAnsi="Arial" w:cs="Arial"/>
          <w:b/>
          <w:lang w:val="es-ES_tradnl"/>
        </w:rPr>
      </w:pPr>
      <w:r>
        <w:rPr>
          <w:rFonts w:ascii="Arial" w:hAnsi="Arial" w:cs="Arial"/>
          <w:b/>
          <w:lang w:val="es-ES_tradnl"/>
        </w:rPr>
        <w:t>(E.E. Nº 2013-17-1-0004001</w:t>
      </w:r>
      <w:r w:rsidRPr="004746D1">
        <w:rPr>
          <w:rFonts w:ascii="Arial" w:hAnsi="Arial" w:cs="Arial"/>
          <w:b/>
          <w:lang w:val="es-ES_tradnl"/>
        </w:rPr>
        <w:t xml:space="preserve">, </w:t>
      </w:r>
      <w:proofErr w:type="spellStart"/>
      <w:r w:rsidRPr="004746D1">
        <w:rPr>
          <w:rFonts w:ascii="Arial" w:hAnsi="Arial" w:cs="Arial"/>
          <w:b/>
          <w:lang w:val="es-ES_tradnl"/>
        </w:rPr>
        <w:t>E</w:t>
      </w:r>
      <w:r>
        <w:rPr>
          <w:rFonts w:ascii="Arial" w:hAnsi="Arial" w:cs="Arial"/>
          <w:b/>
          <w:lang w:val="es-ES_tradnl"/>
        </w:rPr>
        <w:t>nt</w:t>
      </w:r>
      <w:proofErr w:type="spellEnd"/>
      <w:r w:rsidRPr="004746D1">
        <w:rPr>
          <w:rFonts w:ascii="Arial" w:hAnsi="Arial" w:cs="Arial"/>
          <w:b/>
          <w:lang w:val="es-ES_tradnl"/>
        </w:rPr>
        <w:t>.</w:t>
      </w:r>
      <w:r>
        <w:rPr>
          <w:rFonts w:ascii="Arial" w:hAnsi="Arial" w:cs="Arial"/>
          <w:b/>
          <w:lang w:val="es-ES_tradnl"/>
        </w:rPr>
        <w:t xml:space="preserve"> N°3403</w:t>
      </w:r>
      <w:r w:rsidRPr="004746D1">
        <w:rPr>
          <w:rFonts w:ascii="Arial" w:hAnsi="Arial" w:cs="Arial"/>
          <w:b/>
          <w:lang w:val="es-ES_tradnl"/>
        </w:rPr>
        <w:t>/</w:t>
      </w:r>
      <w:r>
        <w:rPr>
          <w:rFonts w:ascii="Arial" w:hAnsi="Arial" w:cs="Arial"/>
          <w:b/>
          <w:lang w:val="es-ES_tradnl"/>
        </w:rPr>
        <w:t>16</w:t>
      </w:r>
      <w:r w:rsidRPr="004746D1">
        <w:rPr>
          <w:rFonts w:ascii="Arial" w:hAnsi="Arial" w:cs="Arial"/>
          <w:b/>
          <w:lang w:val="es-ES_tradnl"/>
        </w:rPr>
        <w:t>)</w:t>
      </w:r>
    </w:p>
    <w:p w:rsidR="008A2799" w:rsidRPr="004746D1" w:rsidRDefault="008A2799">
      <w:pPr>
        <w:tabs>
          <w:tab w:val="center" w:pos="4253"/>
        </w:tabs>
        <w:suppressAutoHyphens/>
        <w:jc w:val="center"/>
        <w:rPr>
          <w:rFonts w:ascii="Arial" w:hAnsi="Arial" w:cs="Arial"/>
          <w:spacing w:val="-3"/>
          <w:lang w:val="es-ES_tradnl"/>
        </w:rPr>
      </w:pPr>
    </w:p>
    <w:p w:rsidR="008A2799" w:rsidRPr="004746D1" w:rsidRDefault="008A2799" w:rsidP="004746D1">
      <w:pPr>
        <w:tabs>
          <w:tab w:val="center" w:pos="4253"/>
        </w:tabs>
        <w:suppressAutoHyphens/>
        <w:jc w:val="right"/>
        <w:rPr>
          <w:rFonts w:ascii="Arial" w:hAnsi="Arial" w:cs="Arial"/>
          <w:spacing w:val="-3"/>
          <w:lang w:val="es-ES_tradnl"/>
        </w:rPr>
      </w:pPr>
    </w:p>
    <w:p w:rsidR="008A2799" w:rsidRDefault="008A2799" w:rsidP="008A2799">
      <w:pPr>
        <w:spacing w:line="360" w:lineRule="auto"/>
        <w:ind w:firstLine="851"/>
        <w:jc w:val="both"/>
        <w:rPr>
          <w:rFonts w:ascii="Arial" w:hAnsi="Arial" w:cs="Arial"/>
        </w:rPr>
      </w:pPr>
      <w:bookmarkStart w:id="0" w:name="_GoBack"/>
      <w:bookmarkEnd w:id="0"/>
      <w:r>
        <w:rPr>
          <w:rFonts w:ascii="Arial" w:hAnsi="Arial" w:cs="Arial"/>
          <w:b/>
        </w:rPr>
        <w:t>VISTO:</w:t>
      </w:r>
      <w:r>
        <w:rPr>
          <w:rFonts w:ascii="Arial" w:hAnsi="Arial" w:cs="Arial"/>
        </w:rPr>
        <w:t xml:space="preserve"> estas actuaciones remitidas por la Universidad de la República relacionadas con el proyecto de prórroga del Contrato de Fideicomiso de Administración realizado con la Corporación Nacional para el Desarrollo el 12 de octubre de 2012;</w:t>
      </w:r>
    </w:p>
    <w:p w:rsidR="008A2799" w:rsidRDefault="008A2799" w:rsidP="008A2799">
      <w:pPr>
        <w:spacing w:line="360" w:lineRule="auto"/>
        <w:ind w:firstLine="851"/>
        <w:jc w:val="both"/>
        <w:rPr>
          <w:rFonts w:ascii="Arial" w:hAnsi="Arial" w:cs="Arial"/>
        </w:rPr>
      </w:pPr>
      <w:r>
        <w:rPr>
          <w:rFonts w:ascii="Arial" w:hAnsi="Arial" w:cs="Arial"/>
          <w:b/>
        </w:rPr>
        <w:t>RESULTANDO:</w:t>
      </w:r>
      <w:r>
        <w:rPr>
          <w:rFonts w:ascii="Arial" w:hAnsi="Arial" w:cs="Arial"/>
        </w:rPr>
        <w:t xml:space="preserve"> </w:t>
      </w:r>
      <w:r>
        <w:rPr>
          <w:rFonts w:ascii="Arial" w:hAnsi="Arial" w:cs="Arial"/>
          <w:b/>
          <w:bCs/>
        </w:rPr>
        <w:t>1)</w:t>
      </w:r>
      <w:r>
        <w:rPr>
          <w:rFonts w:ascii="Arial" w:hAnsi="Arial" w:cs="Arial"/>
        </w:rPr>
        <w:t xml:space="preserve"> que ambos Organismos suscribieron un Contrato de Fideicomiso de Administración por el cual la Universidad de la República en calidad de fideicomitente-beneficiario otorgó a la Corporación Nacional para el Desarrollo, designado fiduciario, la administración de los bienes afectados a un patrimonio </w:t>
      </w:r>
      <w:proofErr w:type="spellStart"/>
      <w:r>
        <w:rPr>
          <w:rFonts w:ascii="Arial" w:hAnsi="Arial" w:cs="Arial"/>
        </w:rPr>
        <w:t>fideicomitido</w:t>
      </w:r>
      <w:proofErr w:type="spellEnd"/>
      <w:r>
        <w:rPr>
          <w:rFonts w:ascii="Arial" w:hAnsi="Arial" w:cs="Arial"/>
        </w:rPr>
        <w:t xml:space="preserve"> para contribuir a la ejecución del Plan de Obras de Mediano y Largo Plazo de la UDELAR, mediante el diseño y la construcción de la infraestructura edilicia, de acuerdo con las directivas de la Universidad, por un plazo de 4 años, prorrogable por 5 años adicionales por acuerdo escrito por las partes;</w:t>
      </w:r>
    </w:p>
    <w:p w:rsidR="008A2799" w:rsidRDefault="008A2799" w:rsidP="008A2799">
      <w:pPr>
        <w:spacing w:line="360" w:lineRule="auto"/>
        <w:ind w:firstLine="2694"/>
        <w:jc w:val="both"/>
        <w:rPr>
          <w:rFonts w:ascii="Arial" w:hAnsi="Arial" w:cs="Arial"/>
        </w:rPr>
      </w:pPr>
      <w:r w:rsidRPr="00EF623E">
        <w:rPr>
          <w:rFonts w:ascii="Arial" w:hAnsi="Arial" w:cs="Arial"/>
          <w:b/>
          <w:iCs/>
        </w:rPr>
        <w:t>2)</w:t>
      </w:r>
      <w:r>
        <w:rPr>
          <w:b/>
          <w:bCs/>
        </w:rPr>
        <w:t xml:space="preserve"> </w:t>
      </w:r>
      <w:r w:rsidRPr="00EF623E">
        <w:rPr>
          <w:rFonts w:ascii="Arial" w:hAnsi="Arial" w:cs="Arial"/>
        </w:rPr>
        <w:t>que este T</w:t>
      </w:r>
      <w:r>
        <w:rPr>
          <w:rFonts w:ascii="Arial" w:hAnsi="Arial" w:cs="Arial"/>
        </w:rPr>
        <w:t>ribunal en S</w:t>
      </w:r>
      <w:r w:rsidRPr="00EF623E">
        <w:rPr>
          <w:rFonts w:ascii="Arial" w:hAnsi="Arial" w:cs="Arial"/>
        </w:rPr>
        <w:t>esión de fecha 30 de diciembre de 2013 acordó no formular observaciones al aporte a realizar por la UDELAR al patrimonio  fiduciario para el Desarrollo para el Plan de Obras de Mediano y Largo Plazo – UDELAR</w:t>
      </w:r>
      <w:r>
        <w:rPr>
          <w:rFonts w:ascii="Arial" w:hAnsi="Arial" w:cs="Arial"/>
        </w:rPr>
        <w:t>,</w:t>
      </w:r>
      <w:r w:rsidRPr="00EF623E">
        <w:rPr>
          <w:rFonts w:ascii="Arial" w:hAnsi="Arial" w:cs="Arial"/>
        </w:rPr>
        <w:t xml:space="preserve"> y cometer al Contador Delegado</w:t>
      </w:r>
      <w:r>
        <w:rPr>
          <w:rFonts w:ascii="Arial" w:hAnsi="Arial" w:cs="Arial"/>
        </w:rPr>
        <w:t>,</w:t>
      </w:r>
      <w:r w:rsidRPr="00EF623E">
        <w:rPr>
          <w:rFonts w:ascii="Arial" w:hAnsi="Arial" w:cs="Arial"/>
        </w:rPr>
        <w:t xml:space="preserve"> previo control de la imputación correspondiente a </w:t>
      </w:r>
      <w:r>
        <w:rPr>
          <w:rFonts w:ascii="Arial" w:hAnsi="Arial" w:cs="Arial"/>
        </w:rPr>
        <w:t>G</w:t>
      </w:r>
      <w:r w:rsidRPr="00EF623E">
        <w:rPr>
          <w:rFonts w:ascii="Arial" w:hAnsi="Arial" w:cs="Arial"/>
        </w:rPr>
        <w:t xml:space="preserve">rupo adecuado con disponibilidad suficiente, la intervención del </w:t>
      </w:r>
      <w:r>
        <w:rPr>
          <w:rFonts w:ascii="Arial" w:hAnsi="Arial" w:cs="Arial"/>
        </w:rPr>
        <w:t>gasto por hasta la suma de $ 30:</w:t>
      </w:r>
      <w:r w:rsidRPr="00EF623E">
        <w:rPr>
          <w:rFonts w:ascii="Arial" w:hAnsi="Arial" w:cs="Arial"/>
        </w:rPr>
        <w:t>000.000;</w:t>
      </w:r>
    </w:p>
    <w:p w:rsidR="008A2799" w:rsidRDefault="008A2799" w:rsidP="008A2799">
      <w:pPr>
        <w:spacing w:line="360" w:lineRule="auto"/>
        <w:ind w:firstLine="2694"/>
        <w:jc w:val="both"/>
        <w:rPr>
          <w:rFonts w:ascii="Arial" w:hAnsi="Arial" w:cs="Arial"/>
        </w:rPr>
      </w:pPr>
      <w:r>
        <w:rPr>
          <w:rFonts w:ascii="Arial" w:hAnsi="Arial" w:cs="Arial"/>
          <w:b/>
        </w:rPr>
        <w:t xml:space="preserve">3) </w:t>
      </w:r>
      <w:r>
        <w:rPr>
          <w:rFonts w:ascii="Arial" w:hAnsi="Arial" w:cs="Arial"/>
        </w:rPr>
        <w:t>que con fecha 22 de julio de 2015, este Tribunal acordó no formular observaciones a la ampliación del Contrato de Fideicomiso por un monto máximo de $ 44:600.000;</w:t>
      </w:r>
    </w:p>
    <w:p w:rsidR="008A2799" w:rsidRDefault="008A2799" w:rsidP="008A2799">
      <w:pPr>
        <w:spacing w:line="360" w:lineRule="auto"/>
        <w:ind w:firstLine="2694"/>
        <w:jc w:val="both"/>
        <w:rPr>
          <w:rFonts w:ascii="Arial" w:hAnsi="Arial" w:cs="Arial"/>
        </w:rPr>
      </w:pPr>
      <w:r>
        <w:rPr>
          <w:rFonts w:ascii="Arial" w:hAnsi="Arial" w:cs="Arial"/>
          <w:b/>
        </w:rPr>
        <w:lastRenderedPageBreak/>
        <w:t>4)</w:t>
      </w:r>
      <w:r>
        <w:rPr>
          <w:rFonts w:ascii="Arial" w:hAnsi="Arial" w:cs="Arial"/>
        </w:rPr>
        <w:t xml:space="preserve"> que en esta oportunidad la Universidad de la República remite Proyecto de Modificación del Contrato de Fideicomiso, en virtud del cual, de acuerdo con la redacción dada a la Cláusula décima, el contrato se mantendrá vigente y válido hasta el 31 de diciembre de 2020;</w:t>
      </w:r>
    </w:p>
    <w:p w:rsidR="008A2799" w:rsidRDefault="008A2799" w:rsidP="008A2799">
      <w:pPr>
        <w:spacing w:line="360" w:lineRule="auto"/>
        <w:ind w:firstLine="851"/>
        <w:jc w:val="both"/>
        <w:rPr>
          <w:rFonts w:ascii="Arial" w:hAnsi="Arial" w:cs="Arial"/>
        </w:rPr>
      </w:pPr>
      <w:r>
        <w:rPr>
          <w:rFonts w:ascii="Arial" w:hAnsi="Arial" w:cs="Arial"/>
          <w:b/>
        </w:rPr>
        <w:t>CONSIDERANDO</w:t>
      </w:r>
      <w:r>
        <w:rPr>
          <w:rFonts w:ascii="Arial" w:hAnsi="Arial" w:cs="Arial"/>
        </w:rPr>
        <w:t xml:space="preserve">: </w:t>
      </w:r>
      <w:r>
        <w:rPr>
          <w:rFonts w:ascii="Arial" w:hAnsi="Arial" w:cs="Arial"/>
          <w:b/>
          <w:bCs/>
        </w:rPr>
        <w:t>1)</w:t>
      </w:r>
      <w:r>
        <w:rPr>
          <w:rFonts w:ascii="Arial" w:hAnsi="Arial" w:cs="Arial"/>
        </w:rPr>
        <w:t xml:space="preserve">  que el Artículo 253 de la Ley Nº 18.834  faculta a la UDELAR a acordar, en un plazo de hasta ciento ochenta días desde el inicio de cada Ejercicio, la administración de los créditos presupuestales de inversión correspondientes al Programa 352 – “Plan de Obras de Mediano y Largo Plazo con la Corporación Nacional para el Desarrollo”.  En dicho caso la Corporación Nacional para el Desarrollo se ajustará estrictamente a las directivas de la UDELAR y realizará todas las contrataciones mediante procedimientos competitivos que aseguren el cumplimiento de los principios de publicidad e igualdad de los oferentes, y sin perjuicio de lo establecido en el Articulo 132 del TOCAF;</w:t>
      </w:r>
    </w:p>
    <w:p w:rsidR="008A2799" w:rsidRDefault="008A2799" w:rsidP="008A2799">
      <w:pPr>
        <w:spacing w:line="360" w:lineRule="auto"/>
        <w:ind w:firstLine="2977"/>
        <w:jc w:val="both"/>
        <w:rPr>
          <w:rFonts w:ascii="Arial" w:hAnsi="Arial" w:cs="Arial"/>
          <w:bCs/>
        </w:rPr>
      </w:pPr>
      <w:r>
        <w:rPr>
          <w:rFonts w:ascii="Arial" w:hAnsi="Arial" w:cs="Arial"/>
          <w:b/>
          <w:bCs/>
        </w:rPr>
        <w:t xml:space="preserve">2) </w:t>
      </w:r>
      <w:r>
        <w:rPr>
          <w:rFonts w:ascii="Arial" w:hAnsi="Arial" w:cs="Arial"/>
          <w:bCs/>
        </w:rPr>
        <w:t xml:space="preserve">que de acuerdo con lo dispuesto por el Artículo 11 de la Ley Nº 15.785 de fecha 4 de diciembre de 1985, en la redacción dada por el Artículo 34 de la Ley Nº 18602 de fecha 21 de septiembre de 2009, compete a la CND </w:t>
      </w:r>
      <w:r>
        <w:rPr>
          <w:rFonts w:ascii="Arial" w:hAnsi="Arial" w:cs="Arial"/>
          <w:bCs/>
          <w:i/>
          <w:iCs/>
        </w:rPr>
        <w:t>“ejercer como administrador y/o fiduciario de proyectos vinculados al desarrollo y mantenimiento de infraestructura financiados con recursos públicos, préstamos o donaciones nacionales o internaciones”</w:t>
      </w:r>
      <w:r>
        <w:rPr>
          <w:rFonts w:ascii="Arial" w:hAnsi="Arial" w:cs="Arial"/>
          <w:bCs/>
        </w:rPr>
        <w:t xml:space="preserve"> (Literal B), </w:t>
      </w:r>
      <w:r>
        <w:rPr>
          <w:rFonts w:ascii="Arial" w:hAnsi="Arial" w:cs="Arial"/>
          <w:bCs/>
          <w:i/>
          <w:iCs/>
        </w:rPr>
        <w:t xml:space="preserve">“constituir sociedades comerciales, consorcios y/o fideicomisos con Entes autónomos y Servicios descentralizados a los efectos de la realización de obras de infraestructura  o prestación de servicios” </w:t>
      </w:r>
      <w:r>
        <w:rPr>
          <w:rFonts w:ascii="Arial" w:hAnsi="Arial" w:cs="Arial"/>
          <w:bCs/>
        </w:rPr>
        <w:t xml:space="preserve">(Literal C), y </w:t>
      </w:r>
      <w:r>
        <w:rPr>
          <w:rFonts w:ascii="Arial" w:hAnsi="Arial" w:cs="Arial"/>
          <w:bCs/>
          <w:i/>
          <w:iCs/>
        </w:rPr>
        <w:t xml:space="preserve">“prestar servicios de administración de fondos, de recursos humanos o de administración contable y financiera, siempre y cuando los mismos no puedan ser prestados por otras personas públicas en razón de sus cometidos” </w:t>
      </w:r>
      <w:r>
        <w:rPr>
          <w:rFonts w:ascii="Arial" w:hAnsi="Arial" w:cs="Arial"/>
          <w:bCs/>
        </w:rPr>
        <w:t>(Literal E);</w:t>
      </w:r>
    </w:p>
    <w:p w:rsidR="008A2799" w:rsidRDefault="008A2799" w:rsidP="008A2799">
      <w:pPr>
        <w:spacing w:line="360" w:lineRule="auto"/>
        <w:ind w:firstLine="2977"/>
        <w:jc w:val="both"/>
        <w:rPr>
          <w:rFonts w:ascii="Arial" w:hAnsi="Arial" w:cs="Arial"/>
          <w:i/>
          <w:iCs/>
        </w:rPr>
      </w:pPr>
      <w:r>
        <w:rPr>
          <w:rFonts w:ascii="Arial" w:hAnsi="Arial" w:cs="Arial"/>
          <w:b/>
          <w:bCs/>
        </w:rPr>
        <w:t>3)</w:t>
      </w:r>
      <w:r>
        <w:rPr>
          <w:rFonts w:ascii="Arial" w:hAnsi="Arial" w:cs="Arial"/>
        </w:rPr>
        <w:t xml:space="preserve"> que la Cláusula décima del Contrato original  establece que:  “</w:t>
      </w:r>
      <w:r>
        <w:rPr>
          <w:rFonts w:ascii="Arial" w:hAnsi="Arial" w:cs="Arial"/>
          <w:i/>
          <w:iCs/>
        </w:rPr>
        <w:t xml:space="preserve">el Contrato se mantendrá vigente y válido por un plazo de cuatro años prorrogable por cinco años adicionales en caso de acuerdo celebrado por escrito entre las partes, a contar a partir de este otorgamiento. </w:t>
      </w:r>
      <w:r>
        <w:rPr>
          <w:rFonts w:ascii="Arial" w:hAnsi="Arial" w:cs="Arial"/>
          <w:i/>
          <w:iCs/>
        </w:rPr>
        <w:lastRenderedPageBreak/>
        <w:t>En todos los casos el Fideicomiso se mantendrá vigente hasta tanto se cancelen la totalidad de las obligaciones asumidas, y según lo dispuesto en la Cláusula vigésimo tercera (Extinción y Liquidación del Fideicomiso)”;</w:t>
      </w:r>
    </w:p>
    <w:p w:rsidR="008A2799" w:rsidRPr="001022C0" w:rsidRDefault="008A2799" w:rsidP="008A2799">
      <w:pPr>
        <w:spacing w:line="360" w:lineRule="auto"/>
        <w:ind w:firstLine="2977"/>
        <w:jc w:val="both"/>
        <w:rPr>
          <w:rFonts w:ascii="Arial" w:hAnsi="Arial" w:cs="Arial"/>
        </w:rPr>
      </w:pPr>
      <w:r w:rsidRPr="001022C0">
        <w:rPr>
          <w:rFonts w:ascii="Arial" w:hAnsi="Arial" w:cs="Arial"/>
          <w:b/>
          <w:bCs/>
        </w:rPr>
        <w:t>4)</w:t>
      </w:r>
      <w:r w:rsidRPr="001022C0">
        <w:rPr>
          <w:rFonts w:ascii="Arial" w:hAnsi="Arial" w:cs="Arial"/>
        </w:rPr>
        <w:t xml:space="preserve"> que en consecuencia, la modificación del contrato proyectada encuadra en la normativa legal vigente, en tanto su prórroga por el plazo de cinco años está prevista en la </w:t>
      </w:r>
      <w:r>
        <w:rPr>
          <w:rFonts w:ascii="Arial" w:hAnsi="Arial" w:cs="Arial"/>
        </w:rPr>
        <w:t>C</w:t>
      </w:r>
      <w:r w:rsidRPr="001022C0">
        <w:rPr>
          <w:rFonts w:ascii="Arial" w:hAnsi="Arial" w:cs="Arial"/>
        </w:rPr>
        <w:t xml:space="preserve">láusula décima del </w:t>
      </w:r>
      <w:r>
        <w:rPr>
          <w:rFonts w:ascii="Arial" w:hAnsi="Arial" w:cs="Arial"/>
        </w:rPr>
        <w:t>C</w:t>
      </w:r>
      <w:r w:rsidRPr="001022C0">
        <w:rPr>
          <w:rFonts w:ascii="Arial" w:hAnsi="Arial" w:cs="Arial"/>
        </w:rPr>
        <w:t>ontrato original, el cual fue sometido a consideración de este Tribunal oportuna</w:t>
      </w:r>
      <w:r>
        <w:rPr>
          <w:rFonts w:ascii="Arial" w:hAnsi="Arial" w:cs="Arial"/>
        </w:rPr>
        <w:t>mente sin merecer observaciones</w:t>
      </w:r>
      <w:r w:rsidRPr="001022C0">
        <w:rPr>
          <w:rFonts w:ascii="Arial" w:hAnsi="Arial" w:cs="Arial"/>
        </w:rPr>
        <w:t>;</w:t>
      </w:r>
    </w:p>
    <w:p w:rsidR="008A2799" w:rsidRDefault="008A2799" w:rsidP="008A2799">
      <w:pPr>
        <w:spacing w:line="360" w:lineRule="auto"/>
        <w:ind w:firstLine="851"/>
        <w:jc w:val="both"/>
        <w:rPr>
          <w:rFonts w:ascii="Arial" w:hAnsi="Arial" w:cs="Arial"/>
        </w:rPr>
      </w:pPr>
      <w:r>
        <w:rPr>
          <w:rFonts w:ascii="Arial" w:hAnsi="Arial" w:cs="Arial"/>
          <w:b/>
          <w:bCs/>
        </w:rPr>
        <w:t>ATENTO:</w:t>
      </w:r>
      <w:r>
        <w:rPr>
          <w:rFonts w:ascii="Arial" w:hAnsi="Arial" w:cs="Arial"/>
        </w:rPr>
        <w:t xml:space="preserve"> a lo dispuesto por el Artículo 211 Literal B) de la Constitución de la República;</w:t>
      </w:r>
    </w:p>
    <w:p w:rsidR="008A2799" w:rsidRDefault="008A2799" w:rsidP="008A2799">
      <w:pPr>
        <w:pStyle w:val="Ttulo2"/>
        <w:jc w:val="center"/>
        <w:rPr>
          <w:i w:val="0"/>
          <w:iCs w:val="0"/>
        </w:rPr>
      </w:pPr>
      <w:r>
        <w:rPr>
          <w:i w:val="0"/>
          <w:iCs w:val="0"/>
        </w:rPr>
        <w:t>EL TRIBUNAL ACUERDA</w:t>
      </w:r>
    </w:p>
    <w:p w:rsidR="008A2799" w:rsidRDefault="008A2799" w:rsidP="008A2799">
      <w:pPr>
        <w:numPr>
          <w:ilvl w:val="0"/>
          <w:numId w:val="1"/>
        </w:numPr>
        <w:tabs>
          <w:tab w:val="clear" w:pos="1495"/>
        </w:tabs>
        <w:spacing w:line="360" w:lineRule="auto"/>
        <w:ind w:left="284" w:hanging="284"/>
        <w:jc w:val="both"/>
        <w:rPr>
          <w:rFonts w:ascii="Arial" w:hAnsi="Arial" w:cs="Arial"/>
        </w:rPr>
      </w:pPr>
      <w:r>
        <w:rPr>
          <w:rFonts w:ascii="Arial" w:hAnsi="Arial" w:cs="Arial"/>
        </w:rPr>
        <w:t xml:space="preserve">No formular observaciones al Proyecto de Prórroga del Contrato de Fideicomiso de Administración del Plan de Obras de Mediano y Largo Plazo - UDELAR; </w:t>
      </w:r>
    </w:p>
    <w:p w:rsidR="008A2799" w:rsidRDefault="008A2799" w:rsidP="008A2799">
      <w:pPr>
        <w:numPr>
          <w:ilvl w:val="0"/>
          <w:numId w:val="1"/>
        </w:numPr>
        <w:tabs>
          <w:tab w:val="clear" w:pos="1495"/>
        </w:tabs>
        <w:spacing w:line="360" w:lineRule="auto"/>
        <w:ind w:left="284" w:hanging="284"/>
        <w:jc w:val="both"/>
        <w:rPr>
          <w:rFonts w:ascii="Arial" w:hAnsi="Arial" w:cs="Arial"/>
        </w:rPr>
      </w:pPr>
      <w:r>
        <w:rPr>
          <w:rFonts w:ascii="Arial" w:hAnsi="Arial" w:cs="Arial"/>
        </w:rPr>
        <w:t xml:space="preserve">Comunicar a la Contadora Delegada; y </w:t>
      </w:r>
    </w:p>
    <w:p w:rsidR="008A2799" w:rsidRPr="00BF4924" w:rsidRDefault="008A2799" w:rsidP="008A2799">
      <w:pPr>
        <w:numPr>
          <w:ilvl w:val="0"/>
          <w:numId w:val="1"/>
        </w:numPr>
        <w:tabs>
          <w:tab w:val="clear" w:pos="1495"/>
          <w:tab w:val="num" w:pos="284"/>
        </w:tabs>
        <w:spacing w:line="360" w:lineRule="auto"/>
        <w:ind w:hanging="1495"/>
        <w:jc w:val="both"/>
        <w:rPr>
          <w:rFonts w:ascii="Arial" w:hAnsi="Arial" w:cs="Arial"/>
          <w:b/>
          <w:bCs/>
          <w:sz w:val="20"/>
        </w:rPr>
      </w:pPr>
      <w:r>
        <w:rPr>
          <w:rFonts w:ascii="Arial" w:hAnsi="Arial" w:cs="Arial"/>
        </w:rPr>
        <w:t>Devolver las actuaciones.</w:t>
      </w:r>
    </w:p>
    <w:p w:rsidR="00954F16" w:rsidRDefault="00954F16"/>
    <w:sectPr w:rsidR="00954F16" w:rsidSect="00F35DEB">
      <w:pgSz w:w="11906" w:h="16838"/>
      <w:pgMar w:top="283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33E13"/>
    <w:multiLevelType w:val="hybridMultilevel"/>
    <w:tmpl w:val="46AA51F6"/>
    <w:lvl w:ilvl="0" w:tplc="DADE2302">
      <w:start w:val="1"/>
      <w:numFmt w:val="decimal"/>
      <w:lvlText w:val="%1)"/>
      <w:lvlJc w:val="left"/>
      <w:pPr>
        <w:tabs>
          <w:tab w:val="num" w:pos="1495"/>
        </w:tabs>
        <w:ind w:left="1495"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99"/>
    <w:rsid w:val="003A2BBE"/>
    <w:rsid w:val="008A2799"/>
    <w:rsid w:val="00954F16"/>
    <w:rsid w:val="00F35D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9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8A2799"/>
    <w:pPr>
      <w:keepNext/>
      <w:autoSpaceDE w:val="0"/>
      <w:autoSpaceDN w:val="0"/>
      <w:adjustRightInd w:val="0"/>
      <w:spacing w:line="360" w:lineRule="auto"/>
      <w:jc w:val="both"/>
      <w:outlineLvl w:val="1"/>
    </w:pPr>
    <w:rPr>
      <w:rFonts w:ascii="Arial" w:hAnsi="Arial" w:cs="Arial"/>
      <w:b/>
      <w:bCs/>
      <w: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A2799"/>
    <w:rPr>
      <w:rFonts w:ascii="Arial" w:eastAsia="Times New Roman" w:hAnsi="Arial" w:cs="Arial"/>
      <w:b/>
      <w:bCs/>
      <w:i/>
      <w:iCs/>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9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8A2799"/>
    <w:pPr>
      <w:keepNext/>
      <w:autoSpaceDE w:val="0"/>
      <w:autoSpaceDN w:val="0"/>
      <w:adjustRightInd w:val="0"/>
      <w:spacing w:line="360" w:lineRule="auto"/>
      <w:jc w:val="both"/>
      <w:outlineLvl w:val="1"/>
    </w:pPr>
    <w:rPr>
      <w:rFonts w:ascii="Arial" w:hAnsi="Arial" w:cs="Arial"/>
      <w:b/>
      <w:bCs/>
      <w: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A2799"/>
    <w:rPr>
      <w:rFonts w:ascii="Arial" w:eastAsia="Times New Roman" w:hAnsi="Arial" w:cs="Arial"/>
      <w:b/>
      <w:bCs/>
      <w:i/>
      <w:iCs/>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3870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3</cp:revision>
  <cp:lastPrinted>2016-07-25T20:58:00Z</cp:lastPrinted>
  <dcterms:created xsi:type="dcterms:W3CDTF">2016-07-25T20:54:00Z</dcterms:created>
  <dcterms:modified xsi:type="dcterms:W3CDTF">2016-07-25T20:58:00Z</dcterms:modified>
</cp:coreProperties>
</file>