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CF1" w:rsidRPr="00743CF1" w:rsidRDefault="00A925E6" w:rsidP="00743CF1">
      <w:pPr>
        <w:spacing w:after="0" w:line="360" w:lineRule="auto"/>
        <w:ind w:firstLine="708"/>
        <w:jc w:val="right"/>
        <w:rPr>
          <w:rFonts w:ascii="Arial" w:hAnsi="Arial" w:cs="Arial"/>
          <w:sz w:val="24"/>
          <w:szCs w:val="24"/>
        </w:rPr>
      </w:pPr>
      <w:r>
        <w:rPr>
          <w:rFonts w:ascii="Arial" w:hAnsi="Arial" w:cs="Arial"/>
          <w:sz w:val="24"/>
          <w:szCs w:val="24"/>
        </w:rPr>
        <w:t xml:space="preserve"> </w:t>
      </w:r>
      <w:bookmarkStart w:id="0" w:name="_GoBack"/>
      <w:bookmarkEnd w:id="0"/>
      <w:r w:rsidR="00743CF1" w:rsidRPr="00786EEB">
        <w:rPr>
          <w:rFonts w:ascii="Arial" w:hAnsi="Arial" w:cs="Arial"/>
          <w:b/>
          <w:sz w:val="28"/>
          <w:szCs w:val="28"/>
          <w:lang w:val="es-ES_tradnl"/>
        </w:rPr>
        <w:t xml:space="preserve">RES. </w:t>
      </w:r>
      <w:r w:rsidR="0030014E">
        <w:rPr>
          <w:rFonts w:ascii="Arial" w:hAnsi="Arial" w:cs="Arial"/>
          <w:b/>
          <w:sz w:val="28"/>
          <w:szCs w:val="28"/>
          <w:lang w:val="es-ES_tradnl"/>
        </w:rPr>
        <w:t>3223</w:t>
      </w:r>
      <w:r w:rsidR="00743CF1" w:rsidRPr="00786EEB">
        <w:rPr>
          <w:rFonts w:ascii="Arial" w:hAnsi="Arial" w:cs="Arial"/>
          <w:b/>
          <w:sz w:val="28"/>
          <w:szCs w:val="28"/>
          <w:lang w:val="es-ES_tradnl"/>
        </w:rPr>
        <w:t>/16</w:t>
      </w:r>
    </w:p>
    <w:p w:rsidR="00743CF1" w:rsidRDefault="00743CF1" w:rsidP="00743CF1">
      <w:pPr>
        <w:tabs>
          <w:tab w:val="center" w:pos="4253"/>
        </w:tabs>
        <w:suppressAutoHyphens/>
        <w:jc w:val="right"/>
        <w:rPr>
          <w:rFonts w:ascii="Arial" w:hAnsi="Arial" w:cs="Arial"/>
          <w:b/>
          <w:lang w:val="es-ES_tradnl"/>
        </w:rPr>
      </w:pPr>
    </w:p>
    <w:p w:rsidR="00743CF1" w:rsidRPr="00762B34" w:rsidRDefault="00743CF1" w:rsidP="00743CF1">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RESOLUCION ADOPTADA POR EL</w:t>
      </w:r>
    </w:p>
    <w:p w:rsidR="00743CF1" w:rsidRPr="00762B34" w:rsidRDefault="00743CF1" w:rsidP="00743CF1">
      <w:pPr>
        <w:tabs>
          <w:tab w:val="left" w:pos="-720"/>
        </w:tabs>
        <w:suppressAutoHyphens/>
        <w:spacing w:after="0" w:line="240" w:lineRule="auto"/>
        <w:jc w:val="center"/>
        <w:rPr>
          <w:rFonts w:ascii="Arial" w:hAnsi="Arial" w:cs="Arial"/>
          <w:b/>
          <w:lang w:val="es-ES_tradnl"/>
        </w:rPr>
      </w:pPr>
    </w:p>
    <w:p w:rsidR="00743CF1" w:rsidRPr="00762B34" w:rsidRDefault="00743CF1" w:rsidP="00743CF1">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TRIBUNAL DE CUENTAS</w:t>
      </w:r>
    </w:p>
    <w:p w:rsidR="00743CF1" w:rsidRPr="00762B34" w:rsidRDefault="00743CF1" w:rsidP="00743CF1">
      <w:pPr>
        <w:tabs>
          <w:tab w:val="left" w:pos="-720"/>
        </w:tabs>
        <w:suppressAutoHyphens/>
        <w:spacing w:after="0" w:line="240" w:lineRule="auto"/>
        <w:jc w:val="center"/>
        <w:rPr>
          <w:rFonts w:ascii="Arial" w:hAnsi="Arial" w:cs="Arial"/>
          <w:b/>
          <w:lang w:val="es-ES_tradnl"/>
        </w:rPr>
      </w:pPr>
    </w:p>
    <w:p w:rsidR="00743CF1" w:rsidRPr="00762B34" w:rsidRDefault="00743CF1" w:rsidP="00743CF1">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 xml:space="preserve">EN SESION DE FECHA </w:t>
      </w:r>
      <w:r>
        <w:rPr>
          <w:rFonts w:ascii="Helvetica" w:hAnsi="Helvetica"/>
          <w:b/>
          <w:lang w:val="es-ES_tradnl"/>
        </w:rPr>
        <w:t>14 DE SETIEMBRE DE 2016</w:t>
      </w:r>
    </w:p>
    <w:p w:rsidR="00743CF1" w:rsidRPr="00762B34" w:rsidRDefault="00743CF1" w:rsidP="00743CF1">
      <w:pPr>
        <w:tabs>
          <w:tab w:val="center" w:pos="4253"/>
        </w:tabs>
        <w:suppressAutoHyphens/>
        <w:spacing w:after="0" w:line="240" w:lineRule="auto"/>
        <w:jc w:val="center"/>
        <w:rPr>
          <w:rFonts w:ascii="Arial" w:hAnsi="Arial" w:cs="Arial"/>
          <w:b/>
          <w:lang w:val="es-ES_tradnl"/>
        </w:rPr>
      </w:pPr>
    </w:p>
    <w:p w:rsidR="00743CF1" w:rsidRPr="00743CF1" w:rsidRDefault="00743CF1" w:rsidP="00743CF1">
      <w:pPr>
        <w:tabs>
          <w:tab w:val="center" w:pos="4253"/>
        </w:tabs>
        <w:suppressAutoHyphens/>
        <w:spacing w:after="0" w:line="240" w:lineRule="auto"/>
        <w:jc w:val="center"/>
        <w:rPr>
          <w:rFonts w:ascii="Arial" w:hAnsi="Arial" w:cs="Arial"/>
          <w:b/>
          <w:sz w:val="24"/>
          <w:szCs w:val="24"/>
          <w:lang w:val="en-US"/>
        </w:rPr>
      </w:pPr>
      <w:r w:rsidRPr="00743CF1">
        <w:rPr>
          <w:rFonts w:ascii="Arial" w:hAnsi="Arial" w:cs="Arial"/>
          <w:b/>
          <w:sz w:val="24"/>
          <w:szCs w:val="24"/>
          <w:lang w:val="en-US"/>
        </w:rPr>
        <w:t xml:space="preserve">(E. E. Nº </w:t>
      </w:r>
      <w:r w:rsidRPr="00743CF1">
        <w:rPr>
          <w:rFonts w:ascii="Arial" w:hAnsi="Arial" w:cs="Arial"/>
          <w:b/>
          <w:bCs/>
          <w:sz w:val="24"/>
          <w:szCs w:val="24"/>
        </w:rPr>
        <w:t>2016-17-1-0003860</w:t>
      </w:r>
      <w:r w:rsidRPr="00743CF1">
        <w:rPr>
          <w:rFonts w:ascii="Arial" w:hAnsi="Arial" w:cs="Arial"/>
          <w:b/>
          <w:sz w:val="24"/>
          <w:szCs w:val="24"/>
          <w:lang w:val="en-US"/>
        </w:rPr>
        <w:t xml:space="preserve">, </w:t>
      </w:r>
      <w:proofErr w:type="spellStart"/>
      <w:proofErr w:type="gramStart"/>
      <w:r w:rsidRPr="00743CF1">
        <w:rPr>
          <w:rFonts w:ascii="Arial" w:hAnsi="Arial" w:cs="Arial"/>
          <w:b/>
          <w:sz w:val="24"/>
          <w:szCs w:val="24"/>
          <w:lang w:val="en-US"/>
        </w:rPr>
        <w:t>Ent</w:t>
      </w:r>
      <w:proofErr w:type="spellEnd"/>
      <w:proofErr w:type="gramEnd"/>
      <w:r w:rsidRPr="00743CF1">
        <w:rPr>
          <w:rFonts w:ascii="Arial" w:hAnsi="Arial" w:cs="Arial"/>
          <w:b/>
          <w:sz w:val="24"/>
          <w:szCs w:val="24"/>
          <w:lang w:val="en-US"/>
        </w:rPr>
        <w:t>. N°</w:t>
      </w:r>
      <w:r w:rsidRPr="00743CF1">
        <w:rPr>
          <w:rFonts w:ascii="Arial" w:hAnsi="Arial" w:cs="Arial"/>
          <w:b/>
          <w:bCs/>
          <w:sz w:val="24"/>
          <w:szCs w:val="24"/>
        </w:rPr>
        <w:t>3989/16</w:t>
      </w:r>
      <w:r w:rsidRPr="00743CF1">
        <w:rPr>
          <w:rFonts w:ascii="Arial" w:hAnsi="Arial" w:cs="Arial"/>
          <w:b/>
          <w:sz w:val="24"/>
          <w:szCs w:val="24"/>
          <w:lang w:val="en-US"/>
        </w:rPr>
        <w:t>)</w:t>
      </w:r>
    </w:p>
    <w:p w:rsidR="00743CF1" w:rsidRDefault="00743CF1">
      <w:pPr>
        <w:rPr>
          <w:lang w:val="en-US"/>
        </w:rPr>
      </w:pPr>
    </w:p>
    <w:p w:rsidR="00A925E6" w:rsidRDefault="00A925E6" w:rsidP="004F2BE7">
      <w:pPr>
        <w:spacing w:after="0" w:line="360" w:lineRule="auto"/>
        <w:ind w:firstLine="708"/>
        <w:jc w:val="both"/>
        <w:rPr>
          <w:rFonts w:ascii="Arial" w:hAnsi="Arial" w:cs="Arial"/>
          <w:sz w:val="24"/>
          <w:szCs w:val="24"/>
        </w:rPr>
      </w:pPr>
      <w:r>
        <w:rPr>
          <w:rFonts w:ascii="Arial" w:hAnsi="Arial" w:cs="Arial"/>
          <w:b/>
          <w:bCs/>
          <w:sz w:val="24"/>
          <w:szCs w:val="24"/>
        </w:rPr>
        <w:t xml:space="preserve">VISTO: </w:t>
      </w:r>
      <w:r>
        <w:rPr>
          <w:rFonts w:ascii="Arial" w:hAnsi="Arial" w:cs="Arial"/>
          <w:sz w:val="24"/>
          <w:szCs w:val="24"/>
        </w:rPr>
        <w:t>el Oficio 918/16 de fecha 3.6.16, remitido por la  Intendencia de Rivera al que se adjunta  el acuerdo suscrito entre esa Intendencia y NIENSUR S.A., referente al Programa de Actuación Integrada para el desarrollo Urbano de Usos Mixtos;</w:t>
      </w:r>
    </w:p>
    <w:p w:rsidR="00A925E6" w:rsidRDefault="00A925E6" w:rsidP="00743CF1">
      <w:pPr>
        <w:spacing w:after="0" w:line="360" w:lineRule="auto"/>
        <w:ind w:firstLine="851"/>
        <w:jc w:val="both"/>
        <w:rPr>
          <w:rFonts w:ascii="Arial" w:hAnsi="Arial" w:cs="Arial"/>
          <w:sz w:val="24"/>
          <w:szCs w:val="24"/>
        </w:rPr>
      </w:pPr>
      <w:r>
        <w:rPr>
          <w:rFonts w:ascii="Arial" w:hAnsi="Arial" w:cs="Arial"/>
          <w:b/>
          <w:bCs/>
          <w:sz w:val="24"/>
          <w:szCs w:val="24"/>
        </w:rPr>
        <w:t xml:space="preserve">RESULTANDO: </w:t>
      </w:r>
      <w:r w:rsidRPr="00743CF1">
        <w:rPr>
          <w:rFonts w:ascii="Arial" w:hAnsi="Arial" w:cs="Arial"/>
          <w:b/>
          <w:sz w:val="24"/>
          <w:szCs w:val="24"/>
        </w:rPr>
        <w:t>1)</w:t>
      </w:r>
      <w:r>
        <w:rPr>
          <w:rFonts w:ascii="Arial" w:hAnsi="Arial" w:cs="Arial"/>
          <w:sz w:val="24"/>
          <w:szCs w:val="24"/>
        </w:rPr>
        <w:t xml:space="preserve"> que se solicitó, por Oficio 4472/16 de fecha 14/06/16, la remisión de los antecedentes relacionados con el acuerdo suscrit</w:t>
      </w:r>
      <w:r w:rsidR="00743CF1">
        <w:rPr>
          <w:rFonts w:ascii="Arial" w:hAnsi="Arial" w:cs="Arial"/>
          <w:sz w:val="24"/>
          <w:szCs w:val="24"/>
        </w:rPr>
        <w:t>o;</w:t>
      </w:r>
    </w:p>
    <w:p w:rsidR="00A925E6" w:rsidRDefault="00A925E6" w:rsidP="00743CF1">
      <w:pPr>
        <w:spacing w:after="0" w:line="360" w:lineRule="auto"/>
        <w:ind w:firstLine="2835"/>
        <w:jc w:val="both"/>
        <w:rPr>
          <w:rFonts w:ascii="Arial" w:hAnsi="Arial" w:cs="Arial"/>
          <w:sz w:val="24"/>
          <w:szCs w:val="24"/>
        </w:rPr>
      </w:pPr>
      <w:r w:rsidRPr="00743CF1">
        <w:rPr>
          <w:rFonts w:ascii="Arial" w:hAnsi="Arial" w:cs="Arial"/>
          <w:b/>
          <w:sz w:val="24"/>
          <w:szCs w:val="24"/>
        </w:rPr>
        <w:t>2)</w:t>
      </w:r>
      <w:r>
        <w:rPr>
          <w:rFonts w:ascii="Arial" w:hAnsi="Arial" w:cs="Arial"/>
          <w:sz w:val="24"/>
          <w:szCs w:val="24"/>
        </w:rPr>
        <w:t xml:space="preserve"> que, en esta oportunidad, se remite la información requerida;</w:t>
      </w:r>
    </w:p>
    <w:p w:rsidR="00A925E6" w:rsidRDefault="00A925E6" w:rsidP="00743CF1">
      <w:pPr>
        <w:spacing w:after="0" w:line="360" w:lineRule="auto"/>
        <w:ind w:firstLine="2835"/>
        <w:jc w:val="both"/>
        <w:rPr>
          <w:rFonts w:ascii="Arial" w:hAnsi="Arial" w:cs="Arial"/>
          <w:sz w:val="24"/>
          <w:szCs w:val="24"/>
        </w:rPr>
      </w:pPr>
      <w:r w:rsidRPr="00743CF1">
        <w:rPr>
          <w:rFonts w:ascii="Arial" w:hAnsi="Arial" w:cs="Arial"/>
          <w:b/>
          <w:sz w:val="24"/>
          <w:szCs w:val="24"/>
        </w:rPr>
        <w:t>3)</w:t>
      </w:r>
      <w:r>
        <w:rPr>
          <w:rFonts w:ascii="Arial" w:hAnsi="Arial" w:cs="Arial"/>
          <w:sz w:val="24"/>
          <w:szCs w:val="24"/>
        </w:rPr>
        <w:t xml:space="preserve"> que, por Ordenanza 16/2014  aprobada por la Junta Departamental por unanimidad de 23 Ediles presentes en </w:t>
      </w:r>
      <w:r w:rsidR="00743CF1">
        <w:rPr>
          <w:rFonts w:ascii="Arial" w:hAnsi="Arial" w:cs="Arial"/>
          <w:sz w:val="24"/>
          <w:szCs w:val="24"/>
        </w:rPr>
        <w:t>S</w:t>
      </w:r>
      <w:r>
        <w:rPr>
          <w:rFonts w:ascii="Arial" w:hAnsi="Arial" w:cs="Arial"/>
          <w:sz w:val="24"/>
          <w:szCs w:val="24"/>
        </w:rPr>
        <w:t xml:space="preserve">esión del 13/08/2014, se aprueba el Programa de Actuación Integrada Desarrollo Urbano de Usos Mixtos promovido por </w:t>
      </w:r>
      <w:r w:rsidR="0030014E">
        <w:rPr>
          <w:rFonts w:ascii="Arial" w:hAnsi="Arial" w:cs="Arial"/>
          <w:sz w:val="24"/>
          <w:szCs w:val="24"/>
        </w:rPr>
        <w:t>NIENSUR S.A. (en adelante PAI);</w:t>
      </w:r>
    </w:p>
    <w:p w:rsidR="00A925E6" w:rsidRDefault="00A925E6" w:rsidP="00743CF1">
      <w:pPr>
        <w:spacing w:after="0" w:line="360" w:lineRule="auto"/>
        <w:ind w:firstLine="2835"/>
        <w:jc w:val="both"/>
        <w:rPr>
          <w:rFonts w:ascii="Arial" w:hAnsi="Arial" w:cs="Arial"/>
          <w:sz w:val="24"/>
          <w:szCs w:val="24"/>
        </w:rPr>
      </w:pPr>
      <w:r w:rsidRPr="00743CF1">
        <w:rPr>
          <w:rFonts w:ascii="Arial" w:hAnsi="Arial" w:cs="Arial"/>
          <w:b/>
          <w:sz w:val="24"/>
          <w:szCs w:val="24"/>
        </w:rPr>
        <w:t>4)</w:t>
      </w:r>
      <w:r>
        <w:rPr>
          <w:rFonts w:ascii="Arial" w:hAnsi="Arial" w:cs="Arial"/>
          <w:sz w:val="24"/>
          <w:szCs w:val="24"/>
        </w:rPr>
        <w:t xml:space="preserve"> que el </w:t>
      </w:r>
      <w:r w:rsidR="00743CF1">
        <w:rPr>
          <w:rFonts w:ascii="Arial" w:hAnsi="Arial" w:cs="Arial"/>
          <w:sz w:val="24"/>
          <w:szCs w:val="24"/>
        </w:rPr>
        <w:t>A</w:t>
      </w:r>
      <w:r>
        <w:rPr>
          <w:rFonts w:ascii="Arial" w:hAnsi="Arial" w:cs="Arial"/>
          <w:sz w:val="24"/>
          <w:szCs w:val="24"/>
        </w:rPr>
        <w:t xml:space="preserve">rtículo 2  define al Programa como un instrumento especial de planificación, programación, ejecución, gestión y control que constituye el instrumento para la planificación material y jurídica de sectores de suelo categoría urbana, suelo categoría suburbana y cualquier suelo con el atributo de potencialmente transformable, teniendo por finalidad el cumplimiento de los deberes territoriales de cesión, </w:t>
      </w:r>
      <w:proofErr w:type="spellStart"/>
      <w:r>
        <w:rPr>
          <w:rFonts w:ascii="Arial" w:hAnsi="Arial" w:cs="Arial"/>
          <w:sz w:val="24"/>
          <w:szCs w:val="24"/>
        </w:rPr>
        <w:t>equidistribución</w:t>
      </w:r>
      <w:proofErr w:type="spellEnd"/>
      <w:r>
        <w:rPr>
          <w:rFonts w:ascii="Arial" w:hAnsi="Arial" w:cs="Arial"/>
          <w:sz w:val="24"/>
          <w:szCs w:val="24"/>
        </w:rPr>
        <w:t xml:space="preserve"> de cargas y beneficios, retorno de las valorizaciones, urbanización, construcción o desarrollo entre otros, siendo el presente PAI un instrumento especial complementario del plan aprobado por la Junta Departamental el 28/06/2010, acorde al procedimient</w:t>
      </w:r>
      <w:r w:rsidR="0030014E">
        <w:rPr>
          <w:rFonts w:ascii="Arial" w:hAnsi="Arial" w:cs="Arial"/>
          <w:sz w:val="24"/>
          <w:szCs w:val="24"/>
        </w:rPr>
        <w:t>o establecido en la Ley 18.308;</w:t>
      </w:r>
    </w:p>
    <w:p w:rsidR="00A925E6" w:rsidRDefault="00A925E6" w:rsidP="00743CF1">
      <w:pPr>
        <w:spacing w:after="0" w:line="360" w:lineRule="auto"/>
        <w:ind w:firstLine="2835"/>
        <w:jc w:val="both"/>
        <w:rPr>
          <w:rFonts w:ascii="Arial" w:hAnsi="Arial" w:cs="Arial"/>
          <w:sz w:val="24"/>
          <w:szCs w:val="24"/>
        </w:rPr>
      </w:pPr>
      <w:r w:rsidRPr="00743CF1">
        <w:rPr>
          <w:rFonts w:ascii="Arial" w:hAnsi="Arial" w:cs="Arial"/>
          <w:b/>
          <w:sz w:val="24"/>
          <w:szCs w:val="24"/>
        </w:rPr>
        <w:lastRenderedPageBreak/>
        <w:t>5)</w:t>
      </w:r>
      <w:r>
        <w:rPr>
          <w:rFonts w:ascii="Arial" w:hAnsi="Arial" w:cs="Arial"/>
          <w:sz w:val="24"/>
          <w:szCs w:val="24"/>
        </w:rPr>
        <w:t xml:space="preserve"> </w:t>
      </w:r>
      <w:proofErr w:type="gramStart"/>
      <w:r>
        <w:rPr>
          <w:rFonts w:ascii="Arial" w:hAnsi="Arial" w:cs="Arial"/>
          <w:sz w:val="24"/>
          <w:szCs w:val="24"/>
        </w:rPr>
        <w:t>que</w:t>
      </w:r>
      <w:proofErr w:type="gramEnd"/>
      <w:r>
        <w:rPr>
          <w:rFonts w:ascii="Arial" w:hAnsi="Arial" w:cs="Arial"/>
          <w:sz w:val="24"/>
          <w:szCs w:val="24"/>
        </w:rPr>
        <w:t xml:space="preserve"> en cuanto a sus objetivos, el </w:t>
      </w:r>
      <w:r w:rsidR="00743CF1">
        <w:rPr>
          <w:rFonts w:ascii="Arial" w:hAnsi="Arial" w:cs="Arial"/>
          <w:sz w:val="24"/>
          <w:szCs w:val="24"/>
        </w:rPr>
        <w:t>A</w:t>
      </w:r>
      <w:r>
        <w:rPr>
          <w:rFonts w:ascii="Arial" w:hAnsi="Arial" w:cs="Arial"/>
          <w:sz w:val="24"/>
          <w:szCs w:val="24"/>
        </w:rPr>
        <w:t xml:space="preserve">rtículo 3  establece los siguientes: a) Incorporar a la ciudad una centralidad comercial          estratégicamente ubicada; b) Direccionar el proceso expansivo de la ciudad y mejorar la conectividad Norte-Sur;  c) Fomentar la valorización del arroyo </w:t>
      </w:r>
      <w:proofErr w:type="spellStart"/>
      <w:r>
        <w:rPr>
          <w:rFonts w:ascii="Arial" w:hAnsi="Arial" w:cs="Arial"/>
          <w:sz w:val="24"/>
          <w:szCs w:val="24"/>
        </w:rPr>
        <w:t>Cuñapirú</w:t>
      </w:r>
      <w:proofErr w:type="spellEnd"/>
      <w:r>
        <w:rPr>
          <w:rFonts w:ascii="Arial" w:hAnsi="Arial" w:cs="Arial"/>
          <w:sz w:val="24"/>
          <w:szCs w:val="24"/>
        </w:rPr>
        <w:t>;   d)   Generar un lugar de encuentro e intercambio social que resulte un nuevo hito en la ciudad;   e)  Mejorar las infraestructuras urbanas de la Zona Sur. Este Programa  se aplica directamente al padrón 24.320, (adquirido por NIENSUR) sin perjuicio</w:t>
      </w:r>
      <w:r>
        <w:rPr>
          <w:rFonts w:ascii="Courier New" w:hAnsi="Courier New" w:cs="Courier New"/>
          <w:color w:val="333333"/>
          <w:sz w:val="20"/>
          <w:szCs w:val="20"/>
          <w:lang w:eastAsia="es-ES"/>
        </w:rPr>
        <w:t xml:space="preserve"> </w:t>
      </w:r>
      <w:r>
        <w:rPr>
          <w:rFonts w:ascii="Arial" w:hAnsi="Arial" w:cs="Arial"/>
          <w:sz w:val="24"/>
          <w:szCs w:val="24"/>
        </w:rPr>
        <w:t>de que en sus aspectos estratégicos afecta no sólo al Perímetro de Ordenamiento Territorial sino también a</w:t>
      </w:r>
      <w:r w:rsidR="0030014E">
        <w:rPr>
          <w:rFonts w:ascii="Arial" w:hAnsi="Arial" w:cs="Arial"/>
          <w:sz w:val="24"/>
          <w:szCs w:val="24"/>
        </w:rPr>
        <w:t>l resto de la ciudad de Rivera;</w:t>
      </w:r>
    </w:p>
    <w:p w:rsidR="00A925E6" w:rsidRDefault="00A925E6" w:rsidP="00743CF1">
      <w:pPr>
        <w:spacing w:after="0" w:line="360" w:lineRule="auto"/>
        <w:ind w:firstLine="2835"/>
        <w:jc w:val="both"/>
        <w:rPr>
          <w:rFonts w:ascii="Arial" w:hAnsi="Arial" w:cs="Arial"/>
          <w:sz w:val="24"/>
          <w:szCs w:val="24"/>
        </w:rPr>
      </w:pPr>
      <w:r w:rsidRPr="00743CF1">
        <w:rPr>
          <w:rFonts w:ascii="Arial" w:hAnsi="Arial" w:cs="Arial"/>
          <w:b/>
          <w:sz w:val="24"/>
          <w:szCs w:val="24"/>
        </w:rPr>
        <w:t>6)</w:t>
      </w:r>
      <w:r>
        <w:rPr>
          <w:rFonts w:ascii="Arial" w:hAnsi="Arial" w:cs="Arial"/>
          <w:sz w:val="24"/>
          <w:szCs w:val="24"/>
        </w:rPr>
        <w:t xml:space="preserve"> que según el Artículo 7  los componentes del PAI cuya ejecución se concretará más adelante serán objeto de un Contrato - Plan, Permiso de Construcción u otros instrumentos de ordenamiento territorial y desarrollo sostenible, según corresponda, siempre y cuando se respeten las normas de uso y actividades que se establecen en el mismo. La planificación del PAI prevé el desarrollo de zonas residenciales y de servicios a implantarse en un futuro tales como estación de servicio, urbanización de densidad baja y media, hotelería y actividades compatibles</w:t>
      </w:r>
      <w:r w:rsidR="0030014E">
        <w:rPr>
          <w:rFonts w:ascii="Arial" w:hAnsi="Arial" w:cs="Arial"/>
          <w:sz w:val="24"/>
          <w:szCs w:val="24"/>
        </w:rPr>
        <w:t>;</w:t>
      </w:r>
    </w:p>
    <w:p w:rsidR="00A925E6" w:rsidRDefault="00A925E6" w:rsidP="00743CF1">
      <w:pPr>
        <w:spacing w:after="0" w:line="360" w:lineRule="auto"/>
        <w:ind w:firstLine="2835"/>
        <w:jc w:val="both"/>
        <w:rPr>
          <w:rFonts w:ascii="Arial" w:hAnsi="Arial" w:cs="Arial"/>
          <w:sz w:val="24"/>
          <w:szCs w:val="24"/>
        </w:rPr>
      </w:pPr>
      <w:r w:rsidRPr="00743CF1">
        <w:rPr>
          <w:rFonts w:ascii="Arial" w:hAnsi="Arial" w:cs="Arial"/>
          <w:b/>
          <w:sz w:val="24"/>
          <w:szCs w:val="24"/>
        </w:rPr>
        <w:t>7)</w:t>
      </w:r>
      <w:r w:rsidR="0030014E">
        <w:rPr>
          <w:rFonts w:ascii="Arial" w:hAnsi="Arial" w:cs="Arial"/>
          <w:sz w:val="24"/>
          <w:szCs w:val="24"/>
        </w:rPr>
        <w:t xml:space="preserve"> que en aplicación del Artículo</w:t>
      </w:r>
      <w:r>
        <w:rPr>
          <w:rFonts w:ascii="Arial" w:hAnsi="Arial" w:cs="Arial"/>
          <w:sz w:val="24"/>
          <w:szCs w:val="24"/>
        </w:rPr>
        <w:t xml:space="preserve"> 46 de la Ley 18.308, la Intendencia Departamental tiene derecho a participar en el mayor valor inmobiliario que derive de las acciones de ordenamiento territorial. Al implantarse sobre suelo con el atributo de potencialmente transformable, esta participación equivale al 5% de la edificabilidad total atribuida al ámbito (Art</w:t>
      </w:r>
      <w:r w:rsidR="0030014E">
        <w:rPr>
          <w:rFonts w:ascii="Arial" w:hAnsi="Arial" w:cs="Arial"/>
          <w:sz w:val="24"/>
          <w:szCs w:val="24"/>
        </w:rPr>
        <w:t>ículo 15 de la Ordenanza);</w:t>
      </w:r>
    </w:p>
    <w:p w:rsidR="00A925E6" w:rsidRDefault="00A925E6" w:rsidP="0030014E">
      <w:pPr>
        <w:spacing w:after="0" w:line="360" w:lineRule="auto"/>
        <w:ind w:firstLine="2835"/>
        <w:jc w:val="both"/>
        <w:rPr>
          <w:rFonts w:ascii="Arial" w:hAnsi="Arial" w:cs="Arial"/>
          <w:sz w:val="24"/>
          <w:szCs w:val="24"/>
        </w:rPr>
      </w:pPr>
      <w:r w:rsidRPr="0030014E">
        <w:rPr>
          <w:rFonts w:ascii="Arial" w:hAnsi="Arial" w:cs="Arial"/>
          <w:b/>
          <w:sz w:val="24"/>
          <w:szCs w:val="24"/>
        </w:rPr>
        <w:t>8)</w:t>
      </w:r>
      <w:r>
        <w:rPr>
          <w:rFonts w:ascii="Arial" w:hAnsi="Arial" w:cs="Arial"/>
          <w:sz w:val="24"/>
          <w:szCs w:val="24"/>
        </w:rPr>
        <w:t xml:space="preserve"> que en cumplimiento de lo dispuesto por la Ley  18.308 y sus decretos reglamentarios, se dio intervención al  Ministerio de Vivienda, Ordenamiento Territorial y Medio Ambiente, el que con fecha 19 de mayo de 2014  aprobó la Evaluación Ambiental Estratégica del P</w:t>
      </w:r>
      <w:r w:rsidR="0030014E">
        <w:rPr>
          <w:rFonts w:ascii="Arial" w:hAnsi="Arial" w:cs="Arial"/>
          <w:sz w:val="24"/>
          <w:szCs w:val="24"/>
        </w:rPr>
        <w:t>AI ubicado en el Padrón 24.320;</w:t>
      </w:r>
    </w:p>
    <w:p w:rsidR="00A925E6" w:rsidRDefault="00A925E6" w:rsidP="0030014E">
      <w:pPr>
        <w:spacing w:after="0" w:line="360" w:lineRule="auto"/>
        <w:ind w:firstLine="2835"/>
        <w:jc w:val="both"/>
        <w:rPr>
          <w:rFonts w:ascii="Arial" w:hAnsi="Arial" w:cs="Arial"/>
          <w:sz w:val="24"/>
          <w:szCs w:val="24"/>
        </w:rPr>
      </w:pPr>
      <w:r w:rsidRPr="0030014E">
        <w:rPr>
          <w:rFonts w:ascii="Arial" w:hAnsi="Arial" w:cs="Arial"/>
          <w:b/>
          <w:sz w:val="24"/>
          <w:szCs w:val="24"/>
        </w:rPr>
        <w:lastRenderedPageBreak/>
        <w:t>9)</w:t>
      </w:r>
      <w:r>
        <w:rPr>
          <w:rFonts w:ascii="Arial" w:hAnsi="Arial" w:cs="Arial"/>
          <w:sz w:val="24"/>
          <w:szCs w:val="24"/>
        </w:rPr>
        <w:t xml:space="preserve"> que en el marco del Programa,  NIENSUR presentó proyecto de fraccionamiento del predio de referencia, PAI que comprende un Centro Comercial, trazado de calles, Estación de Servicio, loteos, Hotel y Parque </w:t>
      </w:r>
      <w:proofErr w:type="spellStart"/>
      <w:r>
        <w:rPr>
          <w:rFonts w:ascii="Arial" w:hAnsi="Arial" w:cs="Arial"/>
          <w:sz w:val="24"/>
          <w:szCs w:val="24"/>
        </w:rPr>
        <w:t>Pùblico</w:t>
      </w:r>
      <w:proofErr w:type="spellEnd"/>
      <w:r>
        <w:rPr>
          <w:rFonts w:ascii="Arial" w:hAnsi="Arial" w:cs="Arial"/>
          <w:sz w:val="24"/>
          <w:szCs w:val="24"/>
        </w:rPr>
        <w:t xml:space="preserve">, en un </w:t>
      </w:r>
      <w:proofErr w:type="spellStart"/>
      <w:r>
        <w:rPr>
          <w:rFonts w:ascii="Arial" w:hAnsi="Arial" w:cs="Arial"/>
          <w:sz w:val="24"/>
          <w:szCs w:val="24"/>
        </w:rPr>
        <w:t>àrea</w:t>
      </w:r>
      <w:proofErr w:type="spellEnd"/>
      <w:r>
        <w:rPr>
          <w:rFonts w:ascii="Arial" w:hAnsi="Arial" w:cs="Arial"/>
          <w:sz w:val="24"/>
          <w:szCs w:val="24"/>
        </w:rPr>
        <w:t xml:space="preserve"> aproximada de 50 </w:t>
      </w:r>
      <w:proofErr w:type="spellStart"/>
      <w:r>
        <w:rPr>
          <w:rFonts w:ascii="Arial" w:hAnsi="Arial" w:cs="Arial"/>
          <w:sz w:val="24"/>
          <w:szCs w:val="24"/>
        </w:rPr>
        <w:t>hás</w:t>
      </w:r>
      <w:proofErr w:type="spellEnd"/>
      <w:r>
        <w:rPr>
          <w:rFonts w:ascii="Arial" w:hAnsi="Arial" w:cs="Arial"/>
          <w:sz w:val="24"/>
          <w:szCs w:val="24"/>
        </w:rPr>
        <w:t xml:space="preserve">, el que fue remitido para su aprobación por la Junta Departamental, oportunidad en la que el asesor Letrado de la corporación informó que  el “nuevo proyecto fusiona varios padrones existentes, incluyendo en los mismos las llamadas en los planos originales </w:t>
      </w:r>
      <w:r>
        <w:rPr>
          <w:rFonts w:ascii="Arial" w:hAnsi="Arial" w:cs="Arial"/>
          <w:i/>
          <w:iCs/>
          <w:sz w:val="24"/>
          <w:szCs w:val="24"/>
        </w:rPr>
        <w:t>calles entre chacras</w:t>
      </w:r>
      <w:r>
        <w:rPr>
          <w:rFonts w:ascii="Arial" w:hAnsi="Arial" w:cs="Arial"/>
          <w:sz w:val="24"/>
          <w:szCs w:val="24"/>
        </w:rPr>
        <w:t xml:space="preserve">, las cuales si bien estuvieron previstas en los planos originales desde 1867, nunca fueron libradas directamente al uso público (…) Por parte de algunos técnicos se exige se produzca una formal </w:t>
      </w:r>
      <w:r>
        <w:rPr>
          <w:rFonts w:ascii="Arial" w:hAnsi="Arial" w:cs="Arial"/>
          <w:i/>
          <w:iCs/>
          <w:sz w:val="24"/>
          <w:szCs w:val="24"/>
        </w:rPr>
        <w:t>desafectación</w:t>
      </w:r>
      <w:r>
        <w:rPr>
          <w:rFonts w:ascii="Arial" w:hAnsi="Arial" w:cs="Arial"/>
          <w:sz w:val="24"/>
          <w:szCs w:val="24"/>
        </w:rPr>
        <w:t xml:space="preserve"> de dichas calles al uso público (…)” En virtud de la diversidad de criterios sobre el tema, y a los efectos de sanear  el fraccionamiento   la empresa aceptó abonar esos inmuebles que fueron tasados por  la Dirección de Catastro en $ 580.000;</w:t>
      </w:r>
    </w:p>
    <w:p w:rsidR="00A925E6" w:rsidRDefault="00A925E6" w:rsidP="0030014E">
      <w:pPr>
        <w:pStyle w:val="Textoindependiente"/>
        <w:spacing w:after="0"/>
        <w:ind w:firstLine="2835"/>
      </w:pPr>
      <w:r w:rsidRPr="0030014E">
        <w:rPr>
          <w:b/>
        </w:rPr>
        <w:t>10)</w:t>
      </w:r>
      <w:r>
        <w:t xml:space="preserve"> que con fecha 23 de octubre de 2015, en el marco del PAI, se  suscribió,  entre la Intendencia de Rivera y NIENSUR SA,  acuerdo en el que  se establecen las obligaciones a cargo de la empresa y a cargo de la Intendencia; </w:t>
      </w:r>
    </w:p>
    <w:p w:rsidR="00A925E6" w:rsidRDefault="00A925E6" w:rsidP="0030014E">
      <w:pPr>
        <w:spacing w:after="0" w:line="360" w:lineRule="auto"/>
        <w:ind w:firstLine="2835"/>
        <w:jc w:val="both"/>
        <w:rPr>
          <w:rFonts w:ascii="Arial" w:hAnsi="Arial" w:cs="Arial"/>
          <w:sz w:val="24"/>
          <w:szCs w:val="24"/>
        </w:rPr>
      </w:pPr>
      <w:r w:rsidRPr="0030014E">
        <w:rPr>
          <w:rFonts w:ascii="Arial" w:hAnsi="Arial" w:cs="Arial"/>
          <w:b/>
          <w:sz w:val="24"/>
          <w:szCs w:val="24"/>
        </w:rPr>
        <w:t>11)</w:t>
      </w:r>
      <w:r>
        <w:rPr>
          <w:rFonts w:ascii="Arial" w:hAnsi="Arial" w:cs="Arial"/>
          <w:sz w:val="24"/>
          <w:szCs w:val="24"/>
        </w:rPr>
        <w:t xml:space="preserve"> Obligaciones de NIENSUR S.A.:</w:t>
      </w:r>
    </w:p>
    <w:p w:rsidR="00A925E6" w:rsidRDefault="00A925E6" w:rsidP="0030014E">
      <w:pPr>
        <w:spacing w:after="0" w:line="360" w:lineRule="auto"/>
        <w:ind w:firstLine="851"/>
        <w:jc w:val="both"/>
        <w:rPr>
          <w:rFonts w:ascii="Arial" w:hAnsi="Arial" w:cs="Arial"/>
          <w:sz w:val="24"/>
          <w:szCs w:val="24"/>
        </w:rPr>
      </w:pPr>
      <w:r>
        <w:rPr>
          <w:rFonts w:ascii="Arial" w:hAnsi="Arial" w:cs="Arial"/>
          <w:b/>
          <w:bCs/>
          <w:sz w:val="24"/>
          <w:szCs w:val="24"/>
        </w:rPr>
        <w:t>a)</w:t>
      </w:r>
      <w:r>
        <w:rPr>
          <w:rFonts w:ascii="Arial" w:hAnsi="Arial" w:cs="Arial"/>
          <w:sz w:val="24"/>
          <w:szCs w:val="24"/>
        </w:rPr>
        <w:t xml:space="preserve"> en el marco de  la legislación vigente, ceder de pleno derecho y de forma gratuita a la IDR: </w:t>
      </w:r>
      <w:r>
        <w:rPr>
          <w:rFonts w:ascii="Arial" w:hAnsi="Arial" w:cs="Arial"/>
          <w:b/>
          <w:bCs/>
          <w:sz w:val="24"/>
          <w:szCs w:val="24"/>
        </w:rPr>
        <w:t>a1)</w:t>
      </w:r>
      <w:r>
        <w:rPr>
          <w:rFonts w:ascii="Arial" w:hAnsi="Arial" w:cs="Arial"/>
          <w:sz w:val="24"/>
          <w:szCs w:val="24"/>
        </w:rPr>
        <w:t xml:space="preserve"> los espacios públicos delimitados en el plano de fraccionamiento de fojas 16 del expediente 166.557: destinados a: </w:t>
      </w:r>
      <w:r>
        <w:rPr>
          <w:rFonts w:ascii="Arial" w:hAnsi="Arial" w:cs="Arial"/>
          <w:b/>
          <w:bCs/>
          <w:sz w:val="24"/>
          <w:szCs w:val="24"/>
        </w:rPr>
        <w:t>a.1.1</w:t>
      </w:r>
      <w:r>
        <w:rPr>
          <w:rFonts w:ascii="Arial" w:hAnsi="Arial" w:cs="Arial"/>
          <w:sz w:val="24"/>
          <w:szCs w:val="24"/>
        </w:rPr>
        <w:t xml:space="preserve"> parque, fracción 14 con una superficie de 7 </w:t>
      </w:r>
      <w:proofErr w:type="spellStart"/>
      <w:r>
        <w:rPr>
          <w:rFonts w:ascii="Arial" w:hAnsi="Arial" w:cs="Arial"/>
          <w:sz w:val="24"/>
          <w:szCs w:val="24"/>
        </w:rPr>
        <w:t>Hás</w:t>
      </w:r>
      <w:proofErr w:type="spellEnd"/>
      <w:r>
        <w:rPr>
          <w:rFonts w:ascii="Arial" w:hAnsi="Arial" w:cs="Arial"/>
          <w:sz w:val="24"/>
          <w:szCs w:val="24"/>
        </w:rPr>
        <w:t xml:space="preserve">. 6222 m2;   </w:t>
      </w:r>
      <w:r>
        <w:rPr>
          <w:rFonts w:ascii="Arial" w:hAnsi="Arial" w:cs="Arial"/>
          <w:b/>
          <w:bCs/>
          <w:sz w:val="24"/>
          <w:szCs w:val="24"/>
        </w:rPr>
        <w:t>a.1.2</w:t>
      </w:r>
      <w:r>
        <w:rPr>
          <w:rFonts w:ascii="Arial" w:hAnsi="Arial" w:cs="Arial"/>
          <w:sz w:val="24"/>
          <w:szCs w:val="24"/>
        </w:rPr>
        <w:t xml:space="preserve"> espacio público libre 1 en la manzana F, de 528 m2 con 02 dm2; </w:t>
      </w:r>
      <w:r>
        <w:rPr>
          <w:rFonts w:ascii="Arial" w:hAnsi="Arial" w:cs="Arial"/>
          <w:b/>
          <w:bCs/>
          <w:sz w:val="24"/>
          <w:szCs w:val="24"/>
        </w:rPr>
        <w:t>a</w:t>
      </w:r>
      <w:r>
        <w:rPr>
          <w:rFonts w:ascii="Arial" w:hAnsi="Arial" w:cs="Arial"/>
          <w:sz w:val="24"/>
          <w:szCs w:val="24"/>
        </w:rPr>
        <w:t>.</w:t>
      </w:r>
      <w:r>
        <w:rPr>
          <w:rFonts w:ascii="Arial" w:hAnsi="Arial" w:cs="Arial"/>
          <w:b/>
          <w:bCs/>
          <w:sz w:val="24"/>
          <w:szCs w:val="24"/>
        </w:rPr>
        <w:t xml:space="preserve">1.3 </w:t>
      </w:r>
      <w:r>
        <w:rPr>
          <w:rFonts w:ascii="Arial" w:hAnsi="Arial" w:cs="Arial"/>
          <w:sz w:val="24"/>
          <w:szCs w:val="24"/>
        </w:rPr>
        <w:t xml:space="preserve">las nuevas calles y ensanches con una superficie 4 </w:t>
      </w:r>
      <w:proofErr w:type="spellStart"/>
      <w:r>
        <w:rPr>
          <w:rFonts w:ascii="Arial" w:hAnsi="Arial" w:cs="Arial"/>
          <w:sz w:val="24"/>
          <w:szCs w:val="24"/>
        </w:rPr>
        <w:t>Hás</w:t>
      </w:r>
      <w:proofErr w:type="spellEnd"/>
      <w:r>
        <w:rPr>
          <w:rFonts w:ascii="Arial" w:hAnsi="Arial" w:cs="Arial"/>
          <w:sz w:val="24"/>
          <w:szCs w:val="24"/>
        </w:rPr>
        <w:t xml:space="preserve">. 5251 m2; </w:t>
      </w:r>
      <w:r>
        <w:rPr>
          <w:rFonts w:ascii="Arial" w:hAnsi="Arial" w:cs="Arial"/>
          <w:b/>
          <w:bCs/>
          <w:sz w:val="24"/>
          <w:szCs w:val="24"/>
        </w:rPr>
        <w:t>a.2)</w:t>
      </w:r>
      <w:r>
        <w:rPr>
          <w:rFonts w:ascii="Arial" w:hAnsi="Arial" w:cs="Arial"/>
          <w:sz w:val="24"/>
          <w:szCs w:val="24"/>
        </w:rPr>
        <w:t xml:space="preserve"> las infraestructuras públicas ejecutadas por NIENSUR con excepción del colector autorizado por OSE, </w:t>
      </w:r>
      <w:r>
        <w:rPr>
          <w:rFonts w:ascii="Arial" w:hAnsi="Arial" w:cs="Arial"/>
          <w:b/>
          <w:bCs/>
          <w:sz w:val="24"/>
          <w:szCs w:val="24"/>
        </w:rPr>
        <w:t xml:space="preserve">a.3) </w:t>
      </w:r>
      <w:r>
        <w:rPr>
          <w:rFonts w:ascii="Arial" w:hAnsi="Arial" w:cs="Arial"/>
          <w:sz w:val="24"/>
          <w:szCs w:val="24"/>
        </w:rPr>
        <w:t xml:space="preserve">otros que eventualmente deriven de acuerdos de contrapartidas y obligaciones; </w:t>
      </w:r>
      <w:r>
        <w:rPr>
          <w:rFonts w:ascii="Arial" w:hAnsi="Arial" w:cs="Arial"/>
          <w:b/>
          <w:bCs/>
          <w:sz w:val="24"/>
          <w:szCs w:val="24"/>
        </w:rPr>
        <w:t xml:space="preserve">a.4)  </w:t>
      </w:r>
      <w:r>
        <w:rPr>
          <w:rFonts w:ascii="Arial" w:hAnsi="Arial" w:cs="Arial"/>
          <w:sz w:val="24"/>
          <w:szCs w:val="24"/>
        </w:rPr>
        <w:t>otros que eventualmente deriven de mitigación y demás obligaciones de la Autorización Ambiental Previa;</w:t>
      </w:r>
    </w:p>
    <w:p w:rsidR="00A925E6" w:rsidRDefault="00A925E6" w:rsidP="0030014E">
      <w:pPr>
        <w:spacing w:after="0" w:line="360" w:lineRule="auto"/>
        <w:ind w:firstLine="851"/>
        <w:jc w:val="both"/>
        <w:rPr>
          <w:rFonts w:ascii="Arial" w:hAnsi="Arial" w:cs="Arial"/>
          <w:sz w:val="24"/>
          <w:szCs w:val="24"/>
        </w:rPr>
      </w:pPr>
      <w:r>
        <w:rPr>
          <w:rFonts w:ascii="Arial" w:hAnsi="Arial" w:cs="Arial"/>
          <w:sz w:val="24"/>
          <w:szCs w:val="24"/>
        </w:rPr>
        <w:lastRenderedPageBreak/>
        <w:t xml:space="preserve"> </w:t>
      </w:r>
      <w:r>
        <w:rPr>
          <w:rFonts w:ascii="Arial" w:hAnsi="Arial" w:cs="Arial"/>
          <w:b/>
          <w:bCs/>
          <w:sz w:val="24"/>
          <w:szCs w:val="24"/>
        </w:rPr>
        <w:t xml:space="preserve">b) </w:t>
      </w:r>
      <w:r w:rsidR="0030014E">
        <w:rPr>
          <w:rFonts w:ascii="Arial" w:hAnsi="Arial" w:cs="Arial"/>
          <w:sz w:val="24"/>
          <w:szCs w:val="24"/>
        </w:rPr>
        <w:t>en aplicación del A</w:t>
      </w:r>
      <w:r>
        <w:rPr>
          <w:rFonts w:ascii="Arial" w:hAnsi="Arial" w:cs="Arial"/>
          <w:sz w:val="24"/>
          <w:szCs w:val="24"/>
        </w:rPr>
        <w:t>rtículo 38 de la Ley 18.308, ejecutar</w:t>
      </w:r>
      <w:r>
        <w:rPr>
          <w:rFonts w:ascii="Arial" w:hAnsi="Arial" w:cs="Arial"/>
          <w:b/>
          <w:bCs/>
          <w:sz w:val="24"/>
          <w:szCs w:val="24"/>
        </w:rPr>
        <w:t xml:space="preserve"> </w:t>
      </w:r>
      <w:r>
        <w:rPr>
          <w:rFonts w:ascii="Arial" w:hAnsi="Arial" w:cs="Arial"/>
          <w:sz w:val="24"/>
          <w:szCs w:val="24"/>
        </w:rPr>
        <w:t>a su costo toda la red vial y conexión a la red vial general para la continuidad de la trama existente, además de las in</w:t>
      </w:r>
      <w:r w:rsidR="0030014E">
        <w:rPr>
          <w:rFonts w:ascii="Arial" w:hAnsi="Arial" w:cs="Arial"/>
          <w:sz w:val="24"/>
          <w:szCs w:val="24"/>
        </w:rPr>
        <w:t>fraestructuras indicadas en el Literal a) del A</w:t>
      </w:r>
      <w:r>
        <w:rPr>
          <w:rFonts w:ascii="Arial" w:hAnsi="Arial" w:cs="Arial"/>
          <w:sz w:val="24"/>
          <w:szCs w:val="24"/>
        </w:rPr>
        <w:t>rtículo 32 de la Ley 18.308;</w:t>
      </w:r>
    </w:p>
    <w:p w:rsidR="00A925E6" w:rsidRDefault="00A925E6" w:rsidP="0030014E">
      <w:pPr>
        <w:spacing w:after="0" w:line="360" w:lineRule="auto"/>
        <w:ind w:firstLine="851"/>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rPr>
        <w:t xml:space="preserve">c) </w:t>
      </w:r>
      <w:r>
        <w:rPr>
          <w:rFonts w:ascii="Arial" w:hAnsi="Arial" w:cs="Arial"/>
          <w:sz w:val="24"/>
          <w:szCs w:val="24"/>
        </w:rPr>
        <w:t xml:space="preserve">en aplicación del artículo 46 literal a) e inciso  final de la Ley 18.308, la IDR entiende que lo correspondiente a la proporción mínima del 5%, por el ejercicio del derecho a participar del mayor valor inmobiliario  se acreditará con el mantenimiento del Parque Público identificado en el literal a </w:t>
      </w:r>
      <w:proofErr w:type="spellStart"/>
      <w:r>
        <w:rPr>
          <w:rFonts w:ascii="Arial" w:hAnsi="Arial" w:cs="Arial"/>
          <w:sz w:val="24"/>
          <w:szCs w:val="24"/>
        </w:rPr>
        <w:t>subliteral</w:t>
      </w:r>
      <w:proofErr w:type="spellEnd"/>
      <w:r>
        <w:rPr>
          <w:rFonts w:ascii="Arial" w:hAnsi="Arial" w:cs="Arial"/>
          <w:sz w:val="24"/>
          <w:szCs w:val="24"/>
        </w:rPr>
        <w:t xml:space="preserve"> a.1.1 por el plazo de diez años;</w:t>
      </w:r>
    </w:p>
    <w:p w:rsidR="00A925E6" w:rsidRDefault="00A925E6" w:rsidP="0030014E">
      <w:pPr>
        <w:spacing w:after="0" w:line="360" w:lineRule="auto"/>
        <w:ind w:firstLine="851"/>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rPr>
        <w:t xml:space="preserve">d) </w:t>
      </w:r>
      <w:r>
        <w:rPr>
          <w:rFonts w:ascii="Arial" w:hAnsi="Arial" w:cs="Arial"/>
          <w:sz w:val="24"/>
          <w:szCs w:val="24"/>
        </w:rPr>
        <w:t xml:space="preserve">en aplicación de la aprobación del fraccionamiento, la IDR otorga total y formal carta de pago por la suma de $ 580.000. </w:t>
      </w:r>
      <w:proofErr w:type="gramStart"/>
      <w:r>
        <w:rPr>
          <w:rFonts w:ascii="Arial" w:hAnsi="Arial" w:cs="Arial"/>
          <w:sz w:val="24"/>
          <w:szCs w:val="24"/>
        </w:rPr>
        <w:t>la</w:t>
      </w:r>
      <w:proofErr w:type="gramEnd"/>
      <w:r>
        <w:rPr>
          <w:rFonts w:ascii="Arial" w:hAnsi="Arial" w:cs="Arial"/>
          <w:sz w:val="24"/>
          <w:szCs w:val="24"/>
        </w:rPr>
        <w:t xml:space="preserve"> referida suma se acreditará con  el mantenimiento del Parque Público identificado en el literal a </w:t>
      </w:r>
      <w:proofErr w:type="spellStart"/>
      <w:r>
        <w:rPr>
          <w:rFonts w:ascii="Arial" w:hAnsi="Arial" w:cs="Arial"/>
          <w:sz w:val="24"/>
          <w:szCs w:val="24"/>
        </w:rPr>
        <w:t>subliteral</w:t>
      </w:r>
      <w:proofErr w:type="spellEnd"/>
      <w:r>
        <w:rPr>
          <w:rFonts w:ascii="Arial" w:hAnsi="Arial" w:cs="Arial"/>
          <w:sz w:val="24"/>
          <w:szCs w:val="24"/>
        </w:rPr>
        <w:t xml:space="preserve"> a.1.1 por el plazo de diez años;</w:t>
      </w:r>
    </w:p>
    <w:p w:rsidR="00A925E6" w:rsidRDefault="00A925E6" w:rsidP="0030014E">
      <w:pPr>
        <w:spacing w:after="0" w:line="360" w:lineRule="auto"/>
        <w:ind w:firstLine="851"/>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rPr>
        <w:t xml:space="preserve">e) </w:t>
      </w:r>
      <w:r>
        <w:rPr>
          <w:rFonts w:ascii="Arial" w:hAnsi="Arial" w:cs="Arial"/>
          <w:sz w:val="24"/>
          <w:szCs w:val="24"/>
        </w:rPr>
        <w:t>en aplicación de lo que resulte de la tramitación de la Autorización Ambiental Previa ante la DINAMA del MVOTMA, realizar a su costo el proyecto y ejecución de las medidas de mitigación razonables correspondientes a criterio de la DINAMA;</w:t>
      </w:r>
    </w:p>
    <w:p w:rsidR="00A925E6" w:rsidRDefault="00A925E6" w:rsidP="0030014E">
      <w:pPr>
        <w:spacing w:after="0" w:line="360" w:lineRule="auto"/>
        <w:ind w:firstLine="851"/>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rPr>
        <w:t xml:space="preserve">f) </w:t>
      </w:r>
      <w:r>
        <w:rPr>
          <w:rFonts w:ascii="Arial" w:hAnsi="Arial" w:cs="Arial"/>
          <w:sz w:val="24"/>
          <w:szCs w:val="24"/>
        </w:rPr>
        <w:t>NIENSUR renuncia</w:t>
      </w:r>
      <w:r>
        <w:rPr>
          <w:rFonts w:ascii="Arial" w:hAnsi="Arial" w:cs="Arial"/>
          <w:b/>
          <w:bCs/>
          <w:sz w:val="24"/>
          <w:szCs w:val="24"/>
        </w:rPr>
        <w:t xml:space="preserve"> </w:t>
      </w:r>
      <w:r>
        <w:rPr>
          <w:rFonts w:ascii="Arial" w:hAnsi="Arial" w:cs="Arial"/>
          <w:sz w:val="24"/>
          <w:szCs w:val="24"/>
        </w:rPr>
        <w:t xml:space="preserve">a cualquier pretensión de cobro contra la IDR por concepto de mejoras realizadas a raíz de la ejecución del Programa de Actuación Integrada aprobado por la Junta Departamental   </w:t>
      </w:r>
    </w:p>
    <w:p w:rsidR="00A925E6" w:rsidRDefault="00A925E6" w:rsidP="0030014E">
      <w:pPr>
        <w:spacing w:after="0" w:line="360" w:lineRule="auto"/>
        <w:ind w:firstLine="2835"/>
        <w:jc w:val="both"/>
        <w:rPr>
          <w:rFonts w:ascii="Arial" w:hAnsi="Arial" w:cs="Arial"/>
          <w:sz w:val="24"/>
          <w:szCs w:val="24"/>
        </w:rPr>
      </w:pPr>
      <w:r w:rsidRPr="0030014E">
        <w:rPr>
          <w:rFonts w:ascii="Arial" w:hAnsi="Arial" w:cs="Arial"/>
          <w:b/>
          <w:sz w:val="24"/>
          <w:szCs w:val="24"/>
        </w:rPr>
        <w:t>12)</w:t>
      </w:r>
      <w:r>
        <w:rPr>
          <w:rFonts w:ascii="Arial" w:hAnsi="Arial" w:cs="Arial"/>
          <w:sz w:val="24"/>
          <w:szCs w:val="24"/>
        </w:rPr>
        <w:t xml:space="preserve"> Obligaciones de la IDR:  </w:t>
      </w:r>
      <w:r>
        <w:rPr>
          <w:rFonts w:ascii="Arial" w:hAnsi="Arial" w:cs="Arial"/>
          <w:b/>
          <w:bCs/>
          <w:sz w:val="24"/>
          <w:szCs w:val="24"/>
        </w:rPr>
        <w:t xml:space="preserve">a) </w:t>
      </w:r>
      <w:r>
        <w:rPr>
          <w:rFonts w:ascii="Arial" w:hAnsi="Arial" w:cs="Arial"/>
          <w:sz w:val="24"/>
          <w:szCs w:val="24"/>
        </w:rPr>
        <w:t xml:space="preserve">aportar a su costo el balasto correspondiente a la obra pública del Proyecto; </w:t>
      </w:r>
      <w:r>
        <w:rPr>
          <w:rFonts w:ascii="Arial" w:hAnsi="Arial" w:cs="Arial"/>
          <w:b/>
          <w:bCs/>
          <w:sz w:val="24"/>
          <w:szCs w:val="24"/>
        </w:rPr>
        <w:t xml:space="preserve">b) </w:t>
      </w:r>
      <w:r>
        <w:rPr>
          <w:rFonts w:ascii="Arial" w:hAnsi="Arial" w:cs="Arial"/>
          <w:sz w:val="24"/>
          <w:szCs w:val="24"/>
        </w:rPr>
        <w:t xml:space="preserve">instrumentar (gestionar) las exoneraciones impositivas que correspondan de acuerdo a derecho y que eventualmente se soliciten por NIENSUR y otras empresas involucradas en el desarrollo y ejecución del PAI; </w:t>
      </w:r>
      <w:r>
        <w:rPr>
          <w:rFonts w:ascii="Arial" w:hAnsi="Arial" w:cs="Arial"/>
          <w:b/>
          <w:bCs/>
          <w:sz w:val="24"/>
          <w:szCs w:val="24"/>
        </w:rPr>
        <w:t xml:space="preserve">c) </w:t>
      </w:r>
      <w:r>
        <w:rPr>
          <w:rFonts w:ascii="Arial" w:hAnsi="Arial" w:cs="Arial"/>
          <w:sz w:val="24"/>
          <w:szCs w:val="24"/>
        </w:rPr>
        <w:t xml:space="preserve">ejecutar a su costo la materialización de las vías de acceso así como las obras complementarias por fuera del perímetro del centro comercial, tales como señalizaciones, semáforos, pasos a nivel, , ejecución del alumbrado y equipamiento urbano; </w:t>
      </w:r>
      <w:r>
        <w:rPr>
          <w:rFonts w:ascii="Arial" w:hAnsi="Arial" w:cs="Arial"/>
          <w:b/>
          <w:bCs/>
          <w:sz w:val="24"/>
          <w:szCs w:val="24"/>
        </w:rPr>
        <w:t xml:space="preserve">d) </w:t>
      </w:r>
      <w:r>
        <w:rPr>
          <w:rFonts w:ascii="Arial" w:hAnsi="Arial" w:cs="Arial"/>
          <w:sz w:val="24"/>
          <w:szCs w:val="24"/>
        </w:rPr>
        <w:t xml:space="preserve">ejecutar a su costo los proyectos de </w:t>
      </w:r>
      <w:proofErr w:type="gramStart"/>
      <w:r>
        <w:rPr>
          <w:rFonts w:ascii="Arial" w:hAnsi="Arial" w:cs="Arial"/>
          <w:sz w:val="24"/>
          <w:szCs w:val="24"/>
        </w:rPr>
        <w:t>intersecciones</w:t>
      </w:r>
      <w:proofErr w:type="gramEnd"/>
      <w:r>
        <w:rPr>
          <w:rFonts w:ascii="Arial" w:hAnsi="Arial" w:cs="Arial"/>
          <w:sz w:val="24"/>
          <w:szCs w:val="24"/>
        </w:rPr>
        <w:t xml:space="preserve"> entre las nuevas calles construidas y </w:t>
      </w:r>
      <w:r>
        <w:rPr>
          <w:rFonts w:ascii="Arial" w:hAnsi="Arial" w:cs="Arial"/>
          <w:sz w:val="24"/>
          <w:szCs w:val="24"/>
        </w:rPr>
        <w:lastRenderedPageBreak/>
        <w:t>las existentes que han sido realizadas por NIENSUR y aprobadas por la Dirección de Vialidad de la IDR;-</w:t>
      </w:r>
    </w:p>
    <w:p w:rsidR="00A925E6" w:rsidRDefault="00A925E6" w:rsidP="004F2BE7">
      <w:pPr>
        <w:spacing w:after="0" w:line="360" w:lineRule="auto"/>
        <w:ind w:firstLine="708"/>
        <w:jc w:val="both"/>
        <w:rPr>
          <w:rFonts w:ascii="Arial" w:hAnsi="Arial" w:cs="Arial"/>
          <w:sz w:val="24"/>
          <w:szCs w:val="24"/>
        </w:rPr>
      </w:pPr>
      <w:r>
        <w:rPr>
          <w:rFonts w:ascii="Arial" w:hAnsi="Arial" w:cs="Arial"/>
          <w:b/>
          <w:bCs/>
          <w:sz w:val="24"/>
          <w:szCs w:val="24"/>
        </w:rPr>
        <w:t xml:space="preserve">CONSIDERANDO: </w:t>
      </w:r>
      <w:r w:rsidRPr="0030014E">
        <w:rPr>
          <w:rFonts w:ascii="Arial" w:hAnsi="Arial" w:cs="Arial"/>
          <w:b/>
          <w:sz w:val="24"/>
          <w:szCs w:val="24"/>
        </w:rPr>
        <w:t>1)</w:t>
      </w:r>
      <w:r>
        <w:rPr>
          <w:rFonts w:ascii="Arial" w:hAnsi="Arial" w:cs="Arial"/>
          <w:sz w:val="24"/>
          <w:szCs w:val="24"/>
        </w:rPr>
        <w:t xml:space="preserve">  que la Ley 18.308 de Ordenamiento territorial y desarrollo sustentable  declaró de interés general el ordenamiento del territorio, siendo los instrumentos de ordenamiento territorial de orden público y obligatorios. Sus determinaciones son vinculantes para los planes, proyectos y actuaciones  de las instituciones públicas, entes y servicios del Estado y de los particulares;-</w:t>
      </w:r>
    </w:p>
    <w:p w:rsidR="00A925E6" w:rsidRDefault="00A925E6" w:rsidP="0030014E">
      <w:pPr>
        <w:spacing w:after="0" w:line="360" w:lineRule="auto"/>
        <w:ind w:firstLine="2835"/>
        <w:jc w:val="both"/>
        <w:rPr>
          <w:rFonts w:ascii="Arial" w:hAnsi="Arial" w:cs="Arial"/>
          <w:sz w:val="24"/>
          <w:szCs w:val="24"/>
        </w:rPr>
      </w:pPr>
      <w:r w:rsidRPr="0030014E">
        <w:rPr>
          <w:rFonts w:ascii="Arial" w:hAnsi="Arial" w:cs="Arial"/>
          <w:b/>
          <w:sz w:val="24"/>
          <w:szCs w:val="24"/>
        </w:rPr>
        <w:t>2)</w:t>
      </w:r>
      <w:r>
        <w:rPr>
          <w:rFonts w:ascii="Arial" w:hAnsi="Arial" w:cs="Arial"/>
          <w:sz w:val="24"/>
          <w:szCs w:val="24"/>
        </w:rPr>
        <w:t xml:space="preserve"> que el </w:t>
      </w:r>
      <w:r w:rsidR="0030014E">
        <w:rPr>
          <w:rFonts w:ascii="Arial" w:hAnsi="Arial" w:cs="Arial"/>
          <w:sz w:val="24"/>
          <w:szCs w:val="24"/>
        </w:rPr>
        <w:t>A</w:t>
      </w:r>
      <w:r>
        <w:rPr>
          <w:rFonts w:ascii="Arial" w:hAnsi="Arial" w:cs="Arial"/>
          <w:sz w:val="24"/>
          <w:szCs w:val="24"/>
        </w:rPr>
        <w:t>rtículo 3 define el ordenamiento territorial como una función pública que se ejerce a través de un sistema integrado de directrices, programas, planes y actuaciones de las instituciones del Estado con competencia  a fin de organizar el uso del territorio;</w:t>
      </w:r>
    </w:p>
    <w:p w:rsidR="00A925E6" w:rsidRDefault="00A925E6" w:rsidP="0030014E">
      <w:pPr>
        <w:spacing w:after="0" w:line="360" w:lineRule="auto"/>
        <w:ind w:firstLine="2835"/>
        <w:jc w:val="both"/>
        <w:rPr>
          <w:rFonts w:ascii="Arial" w:hAnsi="Arial" w:cs="Arial"/>
          <w:sz w:val="24"/>
          <w:szCs w:val="24"/>
        </w:rPr>
      </w:pPr>
      <w:r w:rsidRPr="0030014E">
        <w:rPr>
          <w:rFonts w:ascii="Arial" w:hAnsi="Arial" w:cs="Arial"/>
          <w:b/>
          <w:sz w:val="24"/>
          <w:szCs w:val="24"/>
        </w:rPr>
        <w:t>3)</w:t>
      </w:r>
      <w:r>
        <w:rPr>
          <w:rFonts w:ascii="Arial" w:hAnsi="Arial" w:cs="Arial"/>
          <w:sz w:val="24"/>
          <w:szCs w:val="24"/>
        </w:rPr>
        <w:t xml:space="preserve"> que por su  </w:t>
      </w:r>
      <w:r w:rsidR="0030014E">
        <w:rPr>
          <w:rFonts w:ascii="Arial" w:hAnsi="Arial" w:cs="Arial"/>
          <w:sz w:val="24"/>
          <w:szCs w:val="24"/>
        </w:rPr>
        <w:t>A</w:t>
      </w:r>
      <w:r>
        <w:rPr>
          <w:rFonts w:ascii="Arial" w:hAnsi="Arial" w:cs="Arial"/>
          <w:sz w:val="24"/>
          <w:szCs w:val="24"/>
        </w:rPr>
        <w:t>rtículo 14 se establece que los Gobiernos Departamentales tienen competencia para categorizar el suelo, así como para establecer y aplicar regulaciones territoriales sobre usos, fraccionamientos, urbanización, edificación, demolición, etc. sobre todo el territorio departamental mediante la elaboración, aprobación e implementación de los instrumentos establecidos por la ley, siendo de competencia exclusiva de los mismos la elaboración y aprobación de  las D</w:t>
      </w:r>
      <w:r w:rsidR="0030014E">
        <w:rPr>
          <w:rFonts w:ascii="Arial" w:hAnsi="Arial" w:cs="Arial"/>
          <w:sz w:val="24"/>
          <w:szCs w:val="24"/>
        </w:rPr>
        <w:t>irectrices Departamentales (Artículo</w:t>
      </w:r>
      <w:r>
        <w:rPr>
          <w:rFonts w:ascii="Arial" w:hAnsi="Arial" w:cs="Arial"/>
          <w:sz w:val="24"/>
          <w:szCs w:val="24"/>
        </w:rPr>
        <w:t xml:space="preserve">15);    </w:t>
      </w:r>
    </w:p>
    <w:p w:rsidR="00A925E6" w:rsidRDefault="00A925E6" w:rsidP="0030014E">
      <w:pPr>
        <w:spacing w:after="0" w:line="360" w:lineRule="auto"/>
        <w:ind w:firstLine="2835"/>
        <w:jc w:val="both"/>
        <w:rPr>
          <w:rFonts w:ascii="Arial" w:hAnsi="Arial" w:cs="Arial"/>
          <w:sz w:val="24"/>
          <w:szCs w:val="24"/>
        </w:rPr>
      </w:pPr>
      <w:r w:rsidRPr="0030014E">
        <w:rPr>
          <w:rFonts w:ascii="Arial" w:hAnsi="Arial" w:cs="Arial"/>
          <w:b/>
          <w:sz w:val="24"/>
          <w:szCs w:val="24"/>
        </w:rPr>
        <w:t>4)</w:t>
      </w:r>
      <w:r>
        <w:rPr>
          <w:rFonts w:ascii="Arial" w:hAnsi="Arial" w:cs="Arial"/>
          <w:sz w:val="24"/>
          <w:szCs w:val="24"/>
        </w:rPr>
        <w:t xml:space="preserve"> que el </w:t>
      </w:r>
      <w:r w:rsidR="0030014E">
        <w:rPr>
          <w:rFonts w:ascii="Arial" w:hAnsi="Arial" w:cs="Arial"/>
          <w:sz w:val="24"/>
          <w:szCs w:val="24"/>
        </w:rPr>
        <w:t>A</w:t>
      </w:r>
      <w:r>
        <w:rPr>
          <w:rFonts w:ascii="Arial" w:hAnsi="Arial" w:cs="Arial"/>
          <w:sz w:val="24"/>
          <w:szCs w:val="24"/>
        </w:rPr>
        <w:t>rtículo 38  establece que con carácter general, en las actuaciones residenciales, industriales, de servicios, turísticas, deportivas, de recreación u otras, las reservas de espacios libres, equipamiento, cartera de tierras y otros destinos de interés municipal, departamental o nacional, sin perjuicio del área destinada a circulaciones, no podrá ser inferior al 10% del sector a intervenir. El gobierno departamental, atendiendo a las características de su jurisdicción, podrá disminuir el citado estándar hasta el 8%. Los terrenos deberán ser cedidos a la Intendencia o a la autoridad pública que ésta determine;</w:t>
      </w:r>
    </w:p>
    <w:p w:rsidR="00A925E6" w:rsidRDefault="00A925E6" w:rsidP="0030014E">
      <w:pPr>
        <w:spacing w:after="0" w:line="360" w:lineRule="auto"/>
        <w:ind w:firstLine="2835"/>
        <w:jc w:val="both"/>
        <w:rPr>
          <w:rFonts w:ascii="Arial" w:hAnsi="Arial" w:cs="Arial"/>
          <w:sz w:val="24"/>
          <w:szCs w:val="24"/>
        </w:rPr>
      </w:pPr>
      <w:r w:rsidRPr="0030014E">
        <w:rPr>
          <w:rFonts w:ascii="Arial" w:hAnsi="Arial" w:cs="Arial"/>
          <w:b/>
          <w:sz w:val="24"/>
          <w:szCs w:val="24"/>
        </w:rPr>
        <w:lastRenderedPageBreak/>
        <w:t>5)</w:t>
      </w:r>
      <w:r>
        <w:rPr>
          <w:rFonts w:ascii="Arial" w:hAnsi="Arial" w:cs="Arial"/>
          <w:sz w:val="24"/>
          <w:szCs w:val="24"/>
        </w:rPr>
        <w:t xml:space="preserve"> que conforme al inciso 4 de la precitada norma, en todos los instrumentos de ordenamiento territorial se exigirá que las nuevas urbanizaciones y fraccionamientos ejecuten, a su costo, toda la red vial y la conexión a la red vial general;-</w:t>
      </w:r>
    </w:p>
    <w:p w:rsidR="00A925E6" w:rsidRDefault="00A925E6" w:rsidP="0030014E">
      <w:pPr>
        <w:spacing w:after="0" w:line="360" w:lineRule="auto"/>
        <w:ind w:firstLine="2835"/>
        <w:jc w:val="both"/>
        <w:rPr>
          <w:rFonts w:ascii="Arial" w:hAnsi="Arial" w:cs="Arial"/>
          <w:sz w:val="24"/>
          <w:szCs w:val="24"/>
        </w:rPr>
      </w:pPr>
      <w:r w:rsidRPr="0030014E">
        <w:rPr>
          <w:rFonts w:ascii="Arial" w:hAnsi="Arial" w:cs="Arial"/>
          <w:b/>
          <w:sz w:val="24"/>
          <w:szCs w:val="24"/>
        </w:rPr>
        <w:t>6)</w:t>
      </w:r>
      <w:r>
        <w:rPr>
          <w:rFonts w:ascii="Arial" w:hAnsi="Arial" w:cs="Arial"/>
          <w:sz w:val="24"/>
          <w:szCs w:val="24"/>
        </w:rPr>
        <w:t xml:space="preserve"> que las exoneraciones impositivas (Resultando 12) que  se solicitaran por NIENSUR S.A., constituyen una modificación de recursos que debe ser en cada caso aprobada por la Junta Departamental y  remitida ad referéndum  a este Tribunal, a los efectos del contralor que le corresponde (Ordenanza No.62);</w:t>
      </w:r>
    </w:p>
    <w:p w:rsidR="00A925E6" w:rsidRDefault="00A925E6" w:rsidP="0030014E">
      <w:pPr>
        <w:spacing w:after="0" w:line="360" w:lineRule="auto"/>
        <w:ind w:firstLine="2835"/>
        <w:jc w:val="both"/>
        <w:rPr>
          <w:rFonts w:ascii="Arial" w:hAnsi="Arial" w:cs="Arial"/>
          <w:b/>
          <w:bCs/>
          <w:sz w:val="24"/>
          <w:szCs w:val="24"/>
        </w:rPr>
      </w:pPr>
      <w:r w:rsidRPr="0030014E">
        <w:rPr>
          <w:rFonts w:ascii="Arial" w:hAnsi="Arial" w:cs="Arial"/>
          <w:b/>
          <w:sz w:val="24"/>
          <w:szCs w:val="24"/>
        </w:rPr>
        <w:t>7)</w:t>
      </w:r>
      <w:r>
        <w:rPr>
          <w:rFonts w:ascii="Arial" w:hAnsi="Arial" w:cs="Arial"/>
          <w:sz w:val="24"/>
          <w:szCs w:val="24"/>
        </w:rPr>
        <w:t xml:space="preserve"> que todo gasto emergente de las obligaciones asumidas por la Intendencia deberá ser oportunamente sometido a la intervención preventiva que compete a este Tribunal;              </w:t>
      </w:r>
    </w:p>
    <w:p w:rsidR="00A925E6" w:rsidRDefault="00A925E6" w:rsidP="00743CF1">
      <w:pPr>
        <w:spacing w:after="0" w:line="360" w:lineRule="auto"/>
        <w:ind w:firstLine="851"/>
        <w:jc w:val="both"/>
        <w:rPr>
          <w:rFonts w:ascii="Arial" w:hAnsi="Arial" w:cs="Arial"/>
          <w:sz w:val="24"/>
          <w:szCs w:val="24"/>
        </w:rPr>
      </w:pPr>
      <w:r>
        <w:rPr>
          <w:rFonts w:ascii="Arial" w:hAnsi="Arial" w:cs="Arial"/>
          <w:b/>
          <w:bCs/>
          <w:sz w:val="24"/>
          <w:szCs w:val="24"/>
        </w:rPr>
        <w:t xml:space="preserve">ATENTO: </w:t>
      </w:r>
      <w:r>
        <w:rPr>
          <w:rFonts w:ascii="Arial" w:hAnsi="Arial" w:cs="Arial"/>
          <w:sz w:val="24"/>
          <w:szCs w:val="24"/>
        </w:rPr>
        <w:t>a lo exp</w:t>
      </w:r>
      <w:r w:rsidR="0030014E">
        <w:rPr>
          <w:rFonts w:ascii="Arial" w:hAnsi="Arial" w:cs="Arial"/>
          <w:sz w:val="24"/>
          <w:szCs w:val="24"/>
        </w:rPr>
        <w:t>uesto;</w:t>
      </w:r>
    </w:p>
    <w:p w:rsidR="00A925E6" w:rsidRDefault="00A925E6" w:rsidP="004F2BE7">
      <w:pPr>
        <w:spacing w:after="0" w:line="360" w:lineRule="auto"/>
        <w:jc w:val="center"/>
        <w:rPr>
          <w:rFonts w:ascii="Arial" w:hAnsi="Arial" w:cs="Arial"/>
          <w:b/>
          <w:bCs/>
          <w:sz w:val="24"/>
          <w:szCs w:val="24"/>
        </w:rPr>
      </w:pPr>
      <w:r>
        <w:rPr>
          <w:rFonts w:ascii="Arial" w:hAnsi="Arial" w:cs="Arial"/>
          <w:b/>
          <w:bCs/>
          <w:sz w:val="24"/>
          <w:szCs w:val="24"/>
        </w:rPr>
        <w:t>EL TRIBUNAL ACUERDA</w:t>
      </w:r>
    </w:p>
    <w:p w:rsidR="00A925E6" w:rsidRDefault="00A925E6" w:rsidP="004F2BE7">
      <w:pPr>
        <w:numPr>
          <w:ilvl w:val="0"/>
          <w:numId w:val="2"/>
        </w:numPr>
        <w:tabs>
          <w:tab w:val="clear" w:pos="720"/>
          <w:tab w:val="num" w:pos="284"/>
        </w:tabs>
        <w:spacing w:after="0" w:line="360" w:lineRule="auto"/>
        <w:ind w:left="0" w:firstLine="0"/>
        <w:rPr>
          <w:rFonts w:ascii="Arial" w:hAnsi="Arial" w:cs="Arial"/>
          <w:sz w:val="24"/>
          <w:szCs w:val="24"/>
        </w:rPr>
      </w:pPr>
      <w:r>
        <w:rPr>
          <w:rFonts w:ascii="Arial" w:hAnsi="Arial" w:cs="Arial"/>
          <w:sz w:val="24"/>
          <w:szCs w:val="24"/>
        </w:rPr>
        <w:t>No formular observaciones al Convenio de referencia;</w:t>
      </w:r>
    </w:p>
    <w:p w:rsidR="00A925E6" w:rsidRDefault="00A925E6" w:rsidP="004F2BE7">
      <w:pPr>
        <w:numPr>
          <w:ilvl w:val="0"/>
          <w:numId w:val="2"/>
        </w:numPr>
        <w:tabs>
          <w:tab w:val="clear" w:pos="720"/>
          <w:tab w:val="num" w:pos="284"/>
        </w:tabs>
        <w:spacing w:after="0" w:line="360" w:lineRule="auto"/>
        <w:ind w:left="0" w:firstLine="0"/>
        <w:rPr>
          <w:rFonts w:ascii="Arial" w:hAnsi="Arial" w:cs="Arial"/>
          <w:sz w:val="24"/>
          <w:szCs w:val="24"/>
        </w:rPr>
      </w:pPr>
      <w:r>
        <w:rPr>
          <w:rFonts w:ascii="Arial" w:hAnsi="Arial" w:cs="Arial"/>
          <w:sz w:val="24"/>
          <w:szCs w:val="24"/>
        </w:rPr>
        <w:t>Téngase presente l</w:t>
      </w:r>
      <w:r w:rsidR="00C639E9">
        <w:rPr>
          <w:rFonts w:ascii="Arial" w:hAnsi="Arial" w:cs="Arial"/>
          <w:sz w:val="24"/>
          <w:szCs w:val="24"/>
        </w:rPr>
        <w:t xml:space="preserve">o señalado en Considerandos 6) y 7) </w:t>
      </w:r>
      <w:r>
        <w:rPr>
          <w:rFonts w:ascii="Arial" w:hAnsi="Arial" w:cs="Arial"/>
          <w:sz w:val="24"/>
          <w:szCs w:val="24"/>
        </w:rPr>
        <w:t>;</w:t>
      </w:r>
    </w:p>
    <w:p w:rsidR="00A925E6" w:rsidRDefault="004F2BE7" w:rsidP="004F2BE7">
      <w:pPr>
        <w:numPr>
          <w:ilvl w:val="0"/>
          <w:numId w:val="2"/>
        </w:numPr>
        <w:tabs>
          <w:tab w:val="clear" w:pos="720"/>
          <w:tab w:val="num" w:pos="284"/>
        </w:tabs>
        <w:spacing w:after="0" w:line="360" w:lineRule="auto"/>
        <w:ind w:left="0" w:firstLine="0"/>
        <w:rPr>
          <w:rFonts w:ascii="Arial" w:hAnsi="Arial" w:cs="Arial"/>
          <w:sz w:val="24"/>
          <w:szCs w:val="24"/>
        </w:rPr>
      </w:pPr>
      <w:r>
        <w:rPr>
          <w:rFonts w:ascii="Arial" w:hAnsi="Arial" w:cs="Arial"/>
          <w:sz w:val="24"/>
          <w:szCs w:val="24"/>
        </w:rPr>
        <w:t>Devolver las actuaciones.</w:t>
      </w:r>
    </w:p>
    <w:p w:rsidR="00C639E9" w:rsidRDefault="00C639E9" w:rsidP="004F2BE7">
      <w:pPr>
        <w:spacing w:after="0" w:line="360" w:lineRule="auto"/>
        <w:jc w:val="both"/>
        <w:rPr>
          <w:rFonts w:ascii="Arial" w:hAnsi="Arial" w:cs="Arial"/>
          <w:sz w:val="24"/>
          <w:szCs w:val="24"/>
        </w:rPr>
      </w:pPr>
    </w:p>
    <w:p w:rsidR="00A925E6" w:rsidRPr="004F2BE7" w:rsidRDefault="00C639E9" w:rsidP="004F2BE7">
      <w:pPr>
        <w:spacing w:after="0" w:line="360" w:lineRule="auto"/>
        <w:jc w:val="both"/>
        <w:rPr>
          <w:rFonts w:ascii="Arial" w:hAnsi="Arial" w:cs="Arial"/>
          <w:sz w:val="20"/>
          <w:szCs w:val="20"/>
        </w:rPr>
      </w:pPr>
      <w:r w:rsidRPr="004F2BE7">
        <w:rPr>
          <w:rFonts w:ascii="Arial" w:hAnsi="Arial" w:cs="Arial"/>
          <w:sz w:val="20"/>
          <w:szCs w:val="20"/>
        </w:rPr>
        <w:t>CLC</w:t>
      </w:r>
      <w:r w:rsidR="00A925E6" w:rsidRPr="004F2BE7">
        <w:rPr>
          <w:rFonts w:ascii="Arial" w:hAnsi="Arial" w:cs="Arial"/>
          <w:sz w:val="20"/>
          <w:szCs w:val="20"/>
        </w:rPr>
        <w:t xml:space="preserve">               </w:t>
      </w:r>
    </w:p>
    <w:p w:rsidR="00A925E6" w:rsidRDefault="00A925E6" w:rsidP="004F2BE7">
      <w:pPr>
        <w:spacing w:after="0" w:line="360" w:lineRule="auto"/>
        <w:jc w:val="both"/>
        <w:rPr>
          <w:rFonts w:ascii="Arial" w:hAnsi="Arial" w:cs="Arial"/>
          <w:sz w:val="24"/>
          <w:szCs w:val="24"/>
        </w:rPr>
      </w:pPr>
    </w:p>
    <w:p w:rsidR="00A925E6" w:rsidRDefault="00A925E6" w:rsidP="004F2BE7">
      <w:pPr>
        <w:spacing w:after="0" w:line="360" w:lineRule="auto"/>
        <w:jc w:val="both"/>
        <w:rPr>
          <w:rFonts w:ascii="Arial" w:hAnsi="Arial" w:cs="Arial"/>
          <w:sz w:val="24"/>
          <w:szCs w:val="24"/>
        </w:rPr>
      </w:pPr>
    </w:p>
    <w:p w:rsidR="00A925E6" w:rsidRDefault="00A925E6" w:rsidP="004F2BE7">
      <w:pPr>
        <w:spacing w:after="0" w:line="360" w:lineRule="auto"/>
        <w:jc w:val="both"/>
        <w:rPr>
          <w:rFonts w:ascii="Arial" w:hAnsi="Arial" w:cs="Arial"/>
          <w:sz w:val="24"/>
          <w:szCs w:val="24"/>
        </w:rPr>
      </w:pPr>
      <w:r>
        <w:rPr>
          <w:rFonts w:ascii="Arial" w:hAnsi="Arial" w:cs="Arial"/>
          <w:sz w:val="24"/>
          <w:szCs w:val="24"/>
        </w:rPr>
        <w:t xml:space="preserve"> </w:t>
      </w:r>
    </w:p>
    <w:sectPr w:rsidR="00A925E6" w:rsidSect="00692BCD">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74A17"/>
    <w:multiLevelType w:val="hybridMultilevel"/>
    <w:tmpl w:val="FF46BA64"/>
    <w:lvl w:ilvl="0" w:tplc="0116E4F4">
      <w:start w:val="1"/>
      <w:numFmt w:val="decimal"/>
      <w:lvlText w:val="%1)"/>
      <w:lvlJc w:val="left"/>
      <w:pPr>
        <w:tabs>
          <w:tab w:val="num" w:pos="720"/>
        </w:tabs>
        <w:ind w:left="720" w:hanging="360"/>
      </w:pPr>
      <w:rPr>
        <w:rFonts w:hint="default"/>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nsid w:val="7376451C"/>
    <w:multiLevelType w:val="hybridMultilevel"/>
    <w:tmpl w:val="6518D950"/>
    <w:lvl w:ilvl="0" w:tplc="BEC4D7DA">
      <w:start w:val="1"/>
      <w:numFmt w:val="lowerLetter"/>
      <w:lvlText w:val="%1)"/>
      <w:lvlJc w:val="left"/>
      <w:pPr>
        <w:ind w:left="936" w:hanging="360"/>
      </w:pPr>
      <w:rPr>
        <w:rFonts w:ascii="Times New Roman" w:hAnsi="Times New Roman" w:cs="Times New Roman" w:hint="default"/>
      </w:rPr>
    </w:lvl>
    <w:lvl w:ilvl="1" w:tplc="0C0A0019">
      <w:start w:val="1"/>
      <w:numFmt w:val="lowerLetter"/>
      <w:lvlText w:val="%2."/>
      <w:lvlJc w:val="left"/>
      <w:pPr>
        <w:ind w:left="1656" w:hanging="360"/>
      </w:pPr>
      <w:rPr>
        <w:rFonts w:ascii="Times New Roman" w:hAnsi="Times New Roman" w:cs="Times New Roman"/>
      </w:rPr>
    </w:lvl>
    <w:lvl w:ilvl="2" w:tplc="0C0A001B">
      <w:start w:val="1"/>
      <w:numFmt w:val="lowerRoman"/>
      <w:lvlText w:val="%3."/>
      <w:lvlJc w:val="right"/>
      <w:pPr>
        <w:ind w:left="2376" w:hanging="180"/>
      </w:pPr>
      <w:rPr>
        <w:rFonts w:ascii="Times New Roman" w:hAnsi="Times New Roman" w:cs="Times New Roman"/>
      </w:rPr>
    </w:lvl>
    <w:lvl w:ilvl="3" w:tplc="0C0A000F">
      <w:start w:val="1"/>
      <w:numFmt w:val="decimal"/>
      <w:lvlText w:val="%4."/>
      <w:lvlJc w:val="left"/>
      <w:pPr>
        <w:ind w:left="3096" w:hanging="360"/>
      </w:pPr>
      <w:rPr>
        <w:rFonts w:ascii="Times New Roman" w:hAnsi="Times New Roman" w:cs="Times New Roman"/>
      </w:rPr>
    </w:lvl>
    <w:lvl w:ilvl="4" w:tplc="0C0A0019">
      <w:start w:val="1"/>
      <w:numFmt w:val="lowerLetter"/>
      <w:lvlText w:val="%5."/>
      <w:lvlJc w:val="left"/>
      <w:pPr>
        <w:ind w:left="3816" w:hanging="360"/>
      </w:pPr>
      <w:rPr>
        <w:rFonts w:ascii="Times New Roman" w:hAnsi="Times New Roman" w:cs="Times New Roman"/>
      </w:rPr>
    </w:lvl>
    <w:lvl w:ilvl="5" w:tplc="0C0A001B">
      <w:start w:val="1"/>
      <w:numFmt w:val="lowerRoman"/>
      <w:lvlText w:val="%6."/>
      <w:lvlJc w:val="right"/>
      <w:pPr>
        <w:ind w:left="4536" w:hanging="180"/>
      </w:pPr>
      <w:rPr>
        <w:rFonts w:ascii="Times New Roman" w:hAnsi="Times New Roman" w:cs="Times New Roman"/>
      </w:rPr>
    </w:lvl>
    <w:lvl w:ilvl="6" w:tplc="0C0A000F">
      <w:start w:val="1"/>
      <w:numFmt w:val="decimal"/>
      <w:lvlText w:val="%7."/>
      <w:lvlJc w:val="left"/>
      <w:pPr>
        <w:ind w:left="5256" w:hanging="360"/>
      </w:pPr>
      <w:rPr>
        <w:rFonts w:ascii="Times New Roman" w:hAnsi="Times New Roman" w:cs="Times New Roman"/>
      </w:rPr>
    </w:lvl>
    <w:lvl w:ilvl="7" w:tplc="0C0A0019">
      <w:start w:val="1"/>
      <w:numFmt w:val="lowerLetter"/>
      <w:lvlText w:val="%8."/>
      <w:lvlJc w:val="left"/>
      <w:pPr>
        <w:ind w:left="5976" w:hanging="360"/>
      </w:pPr>
      <w:rPr>
        <w:rFonts w:ascii="Times New Roman" w:hAnsi="Times New Roman" w:cs="Times New Roman"/>
      </w:rPr>
    </w:lvl>
    <w:lvl w:ilvl="8" w:tplc="0C0A001B">
      <w:start w:val="1"/>
      <w:numFmt w:val="lowerRoman"/>
      <w:lvlText w:val="%9."/>
      <w:lvlJc w:val="right"/>
      <w:pPr>
        <w:ind w:left="6696" w:hanging="180"/>
      </w:pPr>
      <w:rPr>
        <w:rFonts w:ascii="Times New Roman" w:hAnsi="Times New Roman"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25E6"/>
    <w:rsid w:val="0030014E"/>
    <w:rsid w:val="004F2BE7"/>
    <w:rsid w:val="00692BCD"/>
    <w:rsid w:val="00743CF1"/>
    <w:rsid w:val="00A925E6"/>
    <w:rsid w:val="00AB73E4"/>
    <w:rsid w:val="00C639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 w:type="character" w:styleId="Hipervnculo">
    <w:name w:val="Hyperlink"/>
    <w:basedOn w:val="Fuentedeprrafopredeter"/>
    <w:uiPriority w:val="99"/>
    <w:rPr>
      <w:rFonts w:ascii="Times New Roman" w:hAnsi="Times New Roman" w:cs="Times New Roman"/>
      <w:color w:val="0000FF"/>
      <w:u w:val="single"/>
    </w:rPr>
  </w:style>
  <w:style w:type="paragraph" w:styleId="Textoindependiente">
    <w:name w:val="Body Text"/>
    <w:basedOn w:val="Normal"/>
    <w:link w:val="TextoindependienteCar"/>
    <w:uiPriority w:val="99"/>
    <w:pPr>
      <w:spacing w:line="360" w:lineRule="auto"/>
      <w:jc w:val="both"/>
    </w:pPr>
    <w:rPr>
      <w:rFonts w:ascii="Arial" w:hAnsi="Arial" w:cs="Arial"/>
      <w:sz w:val="24"/>
      <w:szCs w:val="24"/>
    </w:rPr>
  </w:style>
  <w:style w:type="character" w:customStyle="1" w:styleId="TextoindependienteCar">
    <w:name w:val="Texto independiente Car"/>
    <w:basedOn w:val="Fuentedeprrafopredeter"/>
    <w:link w:val="Textoindependiente"/>
    <w:uiPriority w:val="99"/>
    <w:semiHidden/>
    <w:rsid w:val="00A925E6"/>
    <w:rPr>
      <w:rFonts w:ascii="Calibri" w:hAnsi="Calibri"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1581</Words>
  <Characters>8699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10260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6</cp:revision>
  <cp:lastPrinted>2016-08-19T17:14:00Z</cp:lastPrinted>
  <dcterms:created xsi:type="dcterms:W3CDTF">2016-09-16T17:34:00Z</dcterms:created>
  <dcterms:modified xsi:type="dcterms:W3CDTF">2016-09-16T17:52:00Z</dcterms:modified>
</cp:coreProperties>
</file>