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F7" w:rsidRPr="00786EEB" w:rsidRDefault="00B10CF7" w:rsidP="00117B9C">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2236</w:t>
      </w:r>
      <w:r w:rsidRPr="00786EEB">
        <w:rPr>
          <w:rFonts w:cs="Arial"/>
          <w:b/>
          <w:sz w:val="28"/>
          <w:szCs w:val="28"/>
          <w:lang w:val="es-ES_tradnl"/>
        </w:rPr>
        <w:t>/16</w:t>
      </w:r>
    </w:p>
    <w:p w:rsidR="00B10CF7" w:rsidRDefault="00B10CF7" w:rsidP="00117B9C">
      <w:pPr>
        <w:tabs>
          <w:tab w:val="center" w:pos="4253"/>
        </w:tabs>
        <w:suppressAutoHyphens/>
        <w:jc w:val="right"/>
        <w:rPr>
          <w:rFonts w:cs="Arial"/>
          <w:b/>
          <w:lang w:val="es-ES_tradnl"/>
        </w:rPr>
      </w:pPr>
    </w:p>
    <w:p w:rsidR="00B10CF7" w:rsidRPr="00762B34" w:rsidRDefault="00B10CF7">
      <w:pPr>
        <w:tabs>
          <w:tab w:val="center" w:pos="4253"/>
        </w:tabs>
        <w:suppressAutoHyphens/>
        <w:jc w:val="center"/>
        <w:rPr>
          <w:rFonts w:cs="Arial"/>
          <w:b/>
          <w:lang w:val="es-ES_tradnl"/>
        </w:rPr>
      </w:pPr>
      <w:r w:rsidRPr="00762B34">
        <w:rPr>
          <w:rFonts w:cs="Arial"/>
          <w:b/>
          <w:lang w:val="es-ES_tradnl"/>
        </w:rPr>
        <w:t>RESOLUCION ADOPTADA POR EL</w:t>
      </w:r>
    </w:p>
    <w:p w:rsidR="00B10CF7" w:rsidRPr="00762B34" w:rsidRDefault="00B10CF7">
      <w:pPr>
        <w:tabs>
          <w:tab w:val="left" w:pos="-720"/>
        </w:tabs>
        <w:suppressAutoHyphens/>
        <w:jc w:val="center"/>
        <w:rPr>
          <w:rFonts w:cs="Arial"/>
          <w:b/>
          <w:lang w:val="es-ES_tradnl"/>
        </w:rPr>
      </w:pPr>
    </w:p>
    <w:p w:rsidR="00B10CF7" w:rsidRPr="00762B34" w:rsidRDefault="00B10CF7">
      <w:pPr>
        <w:tabs>
          <w:tab w:val="center" w:pos="4253"/>
        </w:tabs>
        <w:suppressAutoHyphens/>
        <w:jc w:val="center"/>
        <w:rPr>
          <w:rFonts w:cs="Arial"/>
          <w:b/>
          <w:lang w:val="es-ES_tradnl"/>
        </w:rPr>
      </w:pPr>
      <w:r w:rsidRPr="00762B34">
        <w:rPr>
          <w:rFonts w:cs="Arial"/>
          <w:b/>
          <w:lang w:val="es-ES_tradnl"/>
        </w:rPr>
        <w:t>TRIBUNAL DE CUENTAS</w:t>
      </w:r>
    </w:p>
    <w:p w:rsidR="00B10CF7" w:rsidRPr="00762B34" w:rsidRDefault="00B10CF7">
      <w:pPr>
        <w:tabs>
          <w:tab w:val="left" w:pos="-720"/>
        </w:tabs>
        <w:suppressAutoHyphens/>
        <w:jc w:val="center"/>
        <w:rPr>
          <w:rFonts w:cs="Arial"/>
          <w:b/>
          <w:lang w:val="es-ES_tradnl"/>
        </w:rPr>
      </w:pPr>
    </w:p>
    <w:p w:rsidR="00B10CF7" w:rsidRPr="00762B34" w:rsidRDefault="00B10CF7">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29 DE JUNIO DE 2016</w:t>
      </w:r>
    </w:p>
    <w:p w:rsidR="00B10CF7" w:rsidRPr="00762B34" w:rsidRDefault="00B10CF7">
      <w:pPr>
        <w:tabs>
          <w:tab w:val="center" w:pos="4253"/>
        </w:tabs>
        <w:suppressAutoHyphens/>
        <w:jc w:val="center"/>
        <w:rPr>
          <w:rFonts w:cs="Arial"/>
          <w:b/>
          <w:lang w:val="es-ES_tradnl"/>
        </w:rPr>
      </w:pPr>
    </w:p>
    <w:p w:rsidR="00B10CF7" w:rsidRPr="00B10CF7" w:rsidRDefault="00B10CF7">
      <w:pPr>
        <w:tabs>
          <w:tab w:val="center" w:pos="4253"/>
        </w:tabs>
        <w:suppressAutoHyphens/>
        <w:jc w:val="center"/>
        <w:rPr>
          <w:rFonts w:cs="Arial"/>
          <w:b/>
          <w:lang w:val="es-AR"/>
        </w:rPr>
      </w:pPr>
      <w:r w:rsidRPr="00B10CF7">
        <w:rPr>
          <w:rFonts w:cs="Arial"/>
          <w:b/>
          <w:lang w:val="es-AR"/>
        </w:rPr>
        <w:t xml:space="preserve">(E. E. Nº 2016-17-1-0004040, </w:t>
      </w:r>
      <w:proofErr w:type="spellStart"/>
      <w:r w:rsidRPr="00B10CF7">
        <w:rPr>
          <w:rFonts w:cs="Arial"/>
          <w:b/>
          <w:lang w:val="es-AR"/>
        </w:rPr>
        <w:t>Ent</w:t>
      </w:r>
      <w:proofErr w:type="spellEnd"/>
      <w:r w:rsidRPr="00B10CF7">
        <w:rPr>
          <w:rFonts w:cs="Arial"/>
          <w:b/>
          <w:lang w:val="es-AR"/>
        </w:rPr>
        <w:t>. N° 3072/16)</w:t>
      </w:r>
    </w:p>
    <w:p w:rsidR="00B10CF7" w:rsidRPr="00B10CF7" w:rsidRDefault="00B10CF7">
      <w:pPr>
        <w:tabs>
          <w:tab w:val="center" w:pos="4253"/>
        </w:tabs>
        <w:suppressAutoHyphens/>
        <w:jc w:val="center"/>
        <w:rPr>
          <w:rFonts w:ascii="Helvetica" w:hAnsi="Helvetica"/>
          <w:b/>
          <w:lang w:val="es-AR"/>
        </w:rPr>
      </w:pPr>
    </w:p>
    <w:p w:rsidR="00B10CF7" w:rsidRPr="00B10CF7" w:rsidRDefault="00B10CF7" w:rsidP="00117B9C">
      <w:pPr>
        <w:tabs>
          <w:tab w:val="center" w:pos="4253"/>
        </w:tabs>
        <w:suppressAutoHyphens/>
        <w:jc w:val="right"/>
        <w:rPr>
          <w:spacing w:val="-3"/>
          <w:lang w:val="es-AR"/>
        </w:rPr>
      </w:pPr>
    </w:p>
    <w:p w:rsidR="00B10CF7" w:rsidRDefault="0051603F" w:rsidP="00B10CF7">
      <w:pPr>
        <w:pStyle w:val="Textoindependiente"/>
        <w:ind w:firstLine="851"/>
      </w:pPr>
      <w:r>
        <w:rPr>
          <w:b/>
        </w:rPr>
        <w:t>VISTO:</w:t>
      </w:r>
      <w:r>
        <w:t xml:space="preserve"> el Proyecto de Presupuesto Quinquenal de la Junta Departamental de </w:t>
      </w:r>
      <w:r w:rsidR="00A245E5">
        <w:t>San José</w:t>
      </w:r>
      <w:r w:rsidR="006D78D0">
        <w:t xml:space="preserve"> para el período</w:t>
      </w:r>
      <w:r>
        <w:t xml:space="preserve"> 2016</w:t>
      </w:r>
      <w:r w:rsidR="006D78D0">
        <w:t>-</w:t>
      </w:r>
      <w:r>
        <w:t>2020;</w:t>
      </w:r>
    </w:p>
    <w:p w:rsidR="00B10CF7" w:rsidRDefault="0051603F" w:rsidP="00B10CF7">
      <w:pPr>
        <w:pStyle w:val="Textoindependiente"/>
        <w:ind w:firstLine="851"/>
        <w:rPr>
          <w:bCs/>
        </w:rPr>
      </w:pPr>
      <w:r>
        <w:rPr>
          <w:b/>
        </w:rPr>
        <w:t>CONSIDERANDO:</w:t>
      </w:r>
      <w:r>
        <w:t xml:space="preserve"> </w:t>
      </w:r>
      <w:r>
        <w:rPr>
          <w:b/>
        </w:rPr>
        <w:t xml:space="preserve">1) </w:t>
      </w:r>
      <w:r w:rsidR="00B10CF7">
        <w:rPr>
          <w:bCs/>
        </w:rPr>
        <w:t>que se ha dado cumplimiento con</w:t>
      </w:r>
      <w:r>
        <w:rPr>
          <w:bCs/>
        </w:rPr>
        <w:t xml:space="preserve"> lo establecido en los Artículos 273 N</w:t>
      </w:r>
      <w:r w:rsidR="00B10CF7">
        <w:rPr>
          <w:bCs/>
        </w:rPr>
        <w:t>ume</w:t>
      </w:r>
      <w:r>
        <w:rPr>
          <w:bCs/>
        </w:rPr>
        <w:t>ral 6 de la Constitución de la República y 483 de la Ley N° 17.296;</w:t>
      </w:r>
    </w:p>
    <w:p w:rsidR="0051603F" w:rsidRDefault="0051603F" w:rsidP="00B10CF7">
      <w:pPr>
        <w:pStyle w:val="Textoindependiente"/>
        <w:ind w:firstLine="3119"/>
      </w:pPr>
      <w:r>
        <w:rPr>
          <w:b/>
          <w:bCs/>
        </w:rPr>
        <w:t>2)</w:t>
      </w:r>
      <w:r>
        <w:t xml:space="preserve"> que las conclusiones y evidencias obtenidas son las que se expresan en el Dictamen que se adjunta;</w:t>
      </w:r>
    </w:p>
    <w:p w:rsidR="0051603F" w:rsidRDefault="0051603F" w:rsidP="00B10CF7">
      <w:pPr>
        <w:pStyle w:val="Textoindependiente"/>
        <w:ind w:firstLine="851"/>
      </w:pPr>
      <w:r>
        <w:rPr>
          <w:b/>
        </w:rPr>
        <w:t>ATENTO:</w:t>
      </w:r>
      <w:r>
        <w:t xml:space="preserve"> a lo d</w:t>
      </w:r>
      <w:r w:rsidR="00B10CF7">
        <w:t>ispuesto por los Artículos 211 L</w:t>
      </w:r>
      <w:r>
        <w:t>iteral A) y 225 de la Constitución de la República y Artículo 483 de la Ley N° 17.296;</w:t>
      </w:r>
    </w:p>
    <w:p w:rsidR="0051603F" w:rsidRDefault="0051603F" w:rsidP="0051603F">
      <w:pPr>
        <w:pStyle w:val="Textoindependiente"/>
        <w:jc w:val="center"/>
        <w:rPr>
          <w:b/>
        </w:rPr>
      </w:pPr>
      <w:r>
        <w:rPr>
          <w:b/>
        </w:rPr>
        <w:t>EL TRIBUNAL ACUERDA</w:t>
      </w:r>
    </w:p>
    <w:p w:rsidR="0051603F" w:rsidRDefault="0051603F" w:rsidP="0051603F">
      <w:pPr>
        <w:pStyle w:val="Textoindependiente"/>
        <w:numPr>
          <w:ilvl w:val="0"/>
          <w:numId w:val="1"/>
        </w:numPr>
        <w:tabs>
          <w:tab w:val="clear" w:pos="720"/>
          <w:tab w:val="num" w:pos="360"/>
        </w:tabs>
        <w:ind w:left="360"/>
      </w:pPr>
      <w:r>
        <w:t xml:space="preserve">Emitir su pronunciamiento respecto al Proyecto de Presupuesto Quinquenal de la Junta Departamental de </w:t>
      </w:r>
      <w:r w:rsidR="00A245E5">
        <w:t>San José</w:t>
      </w:r>
      <w:r>
        <w:t xml:space="preserve"> correspondiente al período 2016-2020, en los térmi</w:t>
      </w:r>
      <w:r w:rsidR="00B10CF7">
        <w:t>nos del Dictamen que se adjunta;</w:t>
      </w:r>
    </w:p>
    <w:p w:rsidR="0051603F" w:rsidRDefault="0051603F" w:rsidP="0051603F">
      <w:pPr>
        <w:pStyle w:val="Textoindependiente"/>
        <w:numPr>
          <w:ilvl w:val="0"/>
          <w:numId w:val="1"/>
        </w:numPr>
        <w:tabs>
          <w:tab w:val="clear" w:pos="720"/>
          <w:tab w:val="num" w:pos="360"/>
        </w:tabs>
        <w:ind w:left="360"/>
      </w:pPr>
      <w:r>
        <w:t xml:space="preserve">Observar el referido documento por lo expresado </w:t>
      </w:r>
      <w:r w:rsidR="005B7042">
        <w:t xml:space="preserve">en </w:t>
      </w:r>
      <w:r w:rsidR="00A245E5">
        <w:t>los</w:t>
      </w:r>
      <w:r w:rsidR="005B7042">
        <w:t xml:space="preserve"> párrafo</w:t>
      </w:r>
      <w:r w:rsidR="00A245E5">
        <w:t>s</w:t>
      </w:r>
      <w:r w:rsidR="005B7042">
        <w:t xml:space="preserve"> 3.</w:t>
      </w:r>
      <w:r w:rsidR="00A245E5">
        <w:t>1</w:t>
      </w:r>
      <w:r w:rsidR="005B7042">
        <w:t>)</w:t>
      </w:r>
      <w:r w:rsidR="00A245E5">
        <w:t>, 3.2) y 3.4)</w:t>
      </w:r>
      <w:r w:rsidR="005B7042">
        <w:t xml:space="preserve"> de este</w:t>
      </w:r>
      <w:r w:rsidR="00B10CF7">
        <w:t xml:space="preserve"> Dictamen;</w:t>
      </w:r>
    </w:p>
    <w:p w:rsidR="00D65194" w:rsidRDefault="00D65194" w:rsidP="0051603F">
      <w:pPr>
        <w:pStyle w:val="Textoindependiente"/>
        <w:numPr>
          <w:ilvl w:val="0"/>
          <w:numId w:val="1"/>
        </w:numPr>
        <w:tabs>
          <w:tab w:val="clear" w:pos="720"/>
          <w:tab w:val="num" w:pos="360"/>
        </w:tabs>
        <w:ind w:left="360"/>
      </w:pPr>
      <w:r>
        <w:t xml:space="preserve">Téngase presente lo expresado en el </w:t>
      </w:r>
      <w:r w:rsidR="00B10CF7">
        <w:t>párrafo 3.3);</w:t>
      </w:r>
    </w:p>
    <w:p w:rsidR="0051603F" w:rsidRDefault="0051603F" w:rsidP="0051603F">
      <w:pPr>
        <w:pStyle w:val="Textoindependiente"/>
        <w:numPr>
          <w:ilvl w:val="0"/>
          <w:numId w:val="1"/>
        </w:numPr>
        <w:tabs>
          <w:tab w:val="clear" w:pos="720"/>
          <w:tab w:val="num" w:pos="360"/>
        </w:tabs>
        <w:ind w:left="360"/>
      </w:pPr>
      <w:r>
        <w:t xml:space="preserve">Señalar que las asignaciones presupuestales proyectadas deberán ser financiadas por la Intendencia de </w:t>
      </w:r>
      <w:r w:rsidR="00A245E5">
        <w:t>San José</w:t>
      </w:r>
      <w:r w:rsidR="00B10CF7">
        <w:t>;</w:t>
      </w:r>
    </w:p>
    <w:p w:rsidR="00E677CD" w:rsidRDefault="0051603F" w:rsidP="0051603F">
      <w:pPr>
        <w:pStyle w:val="Textoindependiente"/>
        <w:numPr>
          <w:ilvl w:val="0"/>
          <w:numId w:val="1"/>
        </w:numPr>
        <w:tabs>
          <w:tab w:val="clear" w:pos="720"/>
          <w:tab w:val="num" w:pos="360"/>
        </w:tabs>
        <w:ind w:left="360"/>
      </w:pPr>
      <w:r>
        <w:t xml:space="preserve">Comunicar la presente Resolución a </w:t>
      </w:r>
      <w:r w:rsidR="002C13A1">
        <w:t xml:space="preserve">la </w:t>
      </w:r>
      <w:r>
        <w:t xml:space="preserve">Intendencia de </w:t>
      </w:r>
      <w:r w:rsidR="00A245E5">
        <w:t>San José</w:t>
      </w:r>
      <w:r w:rsidR="00B10CF7">
        <w:t>;</w:t>
      </w:r>
    </w:p>
    <w:p w:rsidR="0051603F" w:rsidRDefault="00E677CD" w:rsidP="0051603F">
      <w:pPr>
        <w:pStyle w:val="Textoindependiente"/>
        <w:numPr>
          <w:ilvl w:val="0"/>
          <w:numId w:val="1"/>
        </w:numPr>
        <w:tabs>
          <w:tab w:val="clear" w:pos="720"/>
          <w:tab w:val="num" w:pos="360"/>
        </w:tabs>
        <w:ind w:left="360"/>
      </w:pPr>
      <w:r>
        <w:t>Devolver los antecedentes a la Junta Departamental de San José</w:t>
      </w:r>
      <w:r w:rsidR="0051603F">
        <w:t>.</w:t>
      </w:r>
    </w:p>
    <w:p w:rsidR="00124DA0" w:rsidRDefault="00B10CF7" w:rsidP="00B10CF7">
      <w:pPr>
        <w:pStyle w:val="Textoindependiente"/>
        <w:ind w:hanging="567"/>
      </w:pPr>
      <w:proofErr w:type="gramStart"/>
      <w:r>
        <w:t>dc</w:t>
      </w:r>
      <w:proofErr w:type="gramEnd"/>
    </w:p>
    <w:p w:rsidR="001C7717" w:rsidRDefault="001C7717">
      <w:pPr>
        <w:jc w:val="center"/>
      </w:pPr>
      <w:r>
        <w:rPr>
          <w:b/>
        </w:rPr>
        <w:lastRenderedPageBreak/>
        <w:t>DICTAMEN</w:t>
      </w:r>
    </w:p>
    <w:p w:rsidR="001C7717" w:rsidRDefault="001C7717">
      <w:pPr>
        <w:jc w:val="right"/>
        <w:rPr>
          <w:b/>
        </w:rPr>
      </w:pPr>
      <w:r>
        <w:t xml:space="preserve">      </w:t>
      </w:r>
    </w:p>
    <w:p w:rsidR="001C7717" w:rsidRDefault="001C7717" w:rsidP="00117B9C">
      <w:pPr>
        <w:pStyle w:val="Textoindependiente"/>
      </w:pPr>
      <w:r>
        <w:t>El Tribunal de Cuentas ha examinado el proyecto de Presupuesto para el período 2016 - 2020 de la Junta Departamental de San José. Toda la información incluida en el referido proyecto y los supuestos sobre los que se basa, son responsabilidad del Organismo que los emite. La responsabilidad del Tribunal de Cuentas es expresar una opinión sobre dicho Proyecto de Presupuesto, de acuerdo con lo dispuesto por los Artículos 211 Literal A),  225 de la Constitución de la República, y 483 de la Ley N° 17.296 y establecer, en caso que corresponda, los hallazgos realizados en relación con el cumplimiento de las disposiciones constitucionales, legales y reglamentarias que resulten ap</w:t>
      </w:r>
      <w:r w:rsidR="00117B9C">
        <w:t>licables.</w:t>
      </w:r>
    </w:p>
    <w:p w:rsidR="001C7717" w:rsidRDefault="001C7717">
      <w:pPr>
        <w:spacing w:line="360" w:lineRule="auto"/>
        <w:jc w:val="both"/>
        <w:rPr>
          <w:bCs/>
        </w:rPr>
      </w:pPr>
    </w:p>
    <w:p w:rsidR="001C7717" w:rsidRPr="0080179D" w:rsidRDefault="00117B9C" w:rsidP="001C7717">
      <w:pPr>
        <w:numPr>
          <w:ilvl w:val="0"/>
          <w:numId w:val="2"/>
        </w:numPr>
        <w:tabs>
          <w:tab w:val="left" w:pos="426"/>
        </w:tabs>
        <w:spacing w:line="360" w:lineRule="auto"/>
        <w:ind w:left="0" w:firstLine="0"/>
        <w:jc w:val="both"/>
        <w:rPr>
          <w:rFonts w:cs="Arial"/>
          <w:b/>
        </w:rPr>
      </w:pPr>
      <w:r>
        <w:rPr>
          <w:rFonts w:cs="Arial"/>
          <w:b/>
        </w:rPr>
        <w:t>Antecedentes</w:t>
      </w:r>
    </w:p>
    <w:p w:rsidR="001C7717" w:rsidRPr="0080179D" w:rsidRDefault="001C7717" w:rsidP="001C7717">
      <w:pPr>
        <w:pStyle w:val="Sangradetextonormal"/>
        <w:numPr>
          <w:ilvl w:val="1"/>
          <w:numId w:val="3"/>
        </w:numPr>
        <w:tabs>
          <w:tab w:val="clear" w:pos="0"/>
          <w:tab w:val="left" w:pos="426"/>
        </w:tabs>
        <w:suppressAutoHyphens w:val="0"/>
        <w:ind w:left="0" w:firstLine="0"/>
        <w:rPr>
          <w:rFonts w:ascii="Arial" w:hAnsi="Arial" w:cs="Arial"/>
        </w:rPr>
      </w:pPr>
      <w:r>
        <w:rPr>
          <w:rFonts w:ascii="Arial" w:hAnsi="Arial" w:cs="Arial"/>
          <w:b/>
          <w:lang w:val="es-ES"/>
        </w:rPr>
        <w:t xml:space="preserve"> </w:t>
      </w:r>
      <w:r>
        <w:rPr>
          <w:rFonts w:ascii="Arial" w:hAnsi="Arial" w:cs="Arial"/>
        </w:rPr>
        <w:t>La Junta Departamental en S</w:t>
      </w:r>
      <w:r w:rsidRPr="0080179D">
        <w:rPr>
          <w:rFonts w:ascii="Arial" w:hAnsi="Arial" w:cs="Arial"/>
        </w:rPr>
        <w:t>esión de</w:t>
      </w:r>
      <w:r>
        <w:rPr>
          <w:rFonts w:ascii="Arial" w:hAnsi="Arial" w:cs="Arial"/>
        </w:rPr>
        <w:t xml:space="preserve"> 10/06/016, por Resolución Nº</w:t>
      </w:r>
      <w:r w:rsidRPr="0080179D">
        <w:rPr>
          <w:rFonts w:ascii="Arial" w:hAnsi="Arial" w:cs="Arial"/>
        </w:rPr>
        <w:t>481/2016 aprobó</w:t>
      </w:r>
      <w:r>
        <w:rPr>
          <w:rFonts w:ascii="Arial" w:hAnsi="Arial" w:cs="Arial"/>
        </w:rPr>
        <w:t>, en principio, el p</w:t>
      </w:r>
      <w:r w:rsidRPr="0080179D">
        <w:rPr>
          <w:rFonts w:ascii="Arial" w:hAnsi="Arial" w:cs="Arial"/>
        </w:rPr>
        <w:t xml:space="preserve">royecto de Presupuesto de Sueldos, Gastos e Inversiones correspondientes al </w:t>
      </w:r>
      <w:r>
        <w:rPr>
          <w:rFonts w:ascii="Arial" w:hAnsi="Arial" w:cs="Arial"/>
        </w:rPr>
        <w:t>período</w:t>
      </w:r>
      <w:r w:rsidRPr="0080179D">
        <w:rPr>
          <w:rFonts w:ascii="Arial" w:hAnsi="Arial" w:cs="Arial"/>
        </w:rPr>
        <w:t xml:space="preserve"> 2016-2020, de conformidad con los </w:t>
      </w:r>
      <w:r>
        <w:rPr>
          <w:rFonts w:ascii="Arial" w:hAnsi="Arial" w:cs="Arial"/>
        </w:rPr>
        <w:t>plazos establecidos en el</w:t>
      </w:r>
      <w:r w:rsidRPr="0080179D">
        <w:rPr>
          <w:rFonts w:ascii="Arial" w:hAnsi="Arial" w:cs="Arial"/>
        </w:rPr>
        <w:t xml:space="preserve"> </w:t>
      </w:r>
      <w:r>
        <w:rPr>
          <w:rFonts w:ascii="Arial" w:hAnsi="Arial" w:cs="Arial"/>
        </w:rPr>
        <w:t xml:space="preserve">Artículo </w:t>
      </w:r>
      <w:r w:rsidRPr="0080179D">
        <w:rPr>
          <w:rFonts w:ascii="Arial" w:hAnsi="Arial" w:cs="Arial"/>
        </w:rPr>
        <w:t>273 N</w:t>
      </w:r>
      <w:r>
        <w:rPr>
          <w:rFonts w:ascii="Arial" w:hAnsi="Arial" w:cs="Arial"/>
        </w:rPr>
        <w:t>umera</w:t>
      </w:r>
      <w:r w:rsidRPr="0080179D">
        <w:rPr>
          <w:rFonts w:ascii="Arial" w:hAnsi="Arial" w:cs="Arial"/>
        </w:rPr>
        <w:t>l 6</w:t>
      </w:r>
      <w:r>
        <w:rPr>
          <w:rFonts w:ascii="Arial" w:hAnsi="Arial" w:cs="Arial"/>
        </w:rPr>
        <w:t>)</w:t>
      </w:r>
      <w:r w:rsidRPr="0080179D">
        <w:rPr>
          <w:rFonts w:ascii="Arial" w:hAnsi="Arial" w:cs="Arial"/>
        </w:rPr>
        <w:t xml:space="preserve"> de la</w:t>
      </w:r>
      <w:r>
        <w:rPr>
          <w:rFonts w:ascii="Arial" w:hAnsi="Arial" w:cs="Arial"/>
        </w:rPr>
        <w:t xml:space="preserve"> Constitución de la República</w:t>
      </w:r>
      <w:r w:rsidR="00117B9C">
        <w:rPr>
          <w:rFonts w:ascii="Arial" w:hAnsi="Arial" w:cs="Arial"/>
        </w:rPr>
        <w:t>.</w:t>
      </w:r>
    </w:p>
    <w:p w:rsidR="001C7717" w:rsidRPr="0080179D" w:rsidRDefault="001C7717" w:rsidP="001C7717">
      <w:pPr>
        <w:pStyle w:val="Sangradetextonormal"/>
        <w:numPr>
          <w:ilvl w:val="1"/>
          <w:numId w:val="3"/>
        </w:numPr>
        <w:tabs>
          <w:tab w:val="clear" w:pos="0"/>
          <w:tab w:val="left" w:pos="567"/>
        </w:tabs>
        <w:suppressAutoHyphens w:val="0"/>
        <w:ind w:left="0" w:firstLine="0"/>
        <w:rPr>
          <w:rFonts w:ascii="Arial" w:hAnsi="Arial" w:cs="Arial"/>
        </w:rPr>
      </w:pPr>
      <w:r w:rsidRPr="0080179D">
        <w:rPr>
          <w:rFonts w:ascii="Arial" w:hAnsi="Arial" w:cs="Arial"/>
        </w:rPr>
        <w:t xml:space="preserve">La aprobación se realizó en general por unanimidad de 30 votos, y en particular por las mayorías que se indican alcanzando en todos los casos, la mayoría exigida por la Constitución (tres quintos del total de sus componentes). </w:t>
      </w:r>
    </w:p>
    <w:p w:rsidR="001C7717" w:rsidRDefault="001C7717" w:rsidP="001C7717">
      <w:pPr>
        <w:pStyle w:val="Sangradetextonormal"/>
        <w:numPr>
          <w:ilvl w:val="1"/>
          <w:numId w:val="3"/>
        </w:numPr>
        <w:tabs>
          <w:tab w:val="clear" w:pos="0"/>
          <w:tab w:val="left" w:pos="567"/>
        </w:tabs>
        <w:suppressAutoHyphens w:val="0"/>
        <w:ind w:left="0" w:firstLine="0"/>
        <w:rPr>
          <w:rFonts w:ascii="Arial" w:hAnsi="Arial" w:cs="Arial"/>
        </w:rPr>
      </w:pPr>
      <w:r w:rsidRPr="0080179D">
        <w:rPr>
          <w:rFonts w:ascii="Arial" w:hAnsi="Arial" w:cs="Arial"/>
        </w:rPr>
        <w:t>Por Oficio Nº 1386/2016 de fecha 14/06/016, la Junta Departamental de San José remitió las actuaciones y anexos</w:t>
      </w:r>
      <w:r>
        <w:rPr>
          <w:rFonts w:ascii="Arial" w:hAnsi="Arial" w:cs="Arial"/>
        </w:rPr>
        <w:t xml:space="preserve"> para su estudio e informe (Artículos </w:t>
      </w:r>
      <w:r w:rsidRPr="0080179D">
        <w:rPr>
          <w:rFonts w:ascii="Arial" w:hAnsi="Arial" w:cs="Arial"/>
        </w:rPr>
        <w:t xml:space="preserve"> 211</w:t>
      </w:r>
      <w:r>
        <w:rPr>
          <w:rFonts w:ascii="Arial" w:hAnsi="Arial" w:cs="Arial"/>
        </w:rPr>
        <w:t xml:space="preserve"> Literal  A) de la Constitución de la República y </w:t>
      </w:r>
      <w:r w:rsidRPr="0080179D">
        <w:rPr>
          <w:rFonts w:ascii="Arial" w:hAnsi="Arial" w:cs="Arial"/>
        </w:rPr>
        <w:t>483 de la Ley</w:t>
      </w:r>
      <w:r>
        <w:rPr>
          <w:rFonts w:ascii="Arial" w:hAnsi="Arial" w:cs="Arial"/>
        </w:rPr>
        <w:t xml:space="preserve"> Nº 17.296</w:t>
      </w:r>
      <w:r w:rsidRPr="0080179D">
        <w:rPr>
          <w:rFonts w:ascii="Arial" w:hAnsi="Arial" w:cs="Arial"/>
        </w:rPr>
        <w:t>), entrando oficialmente con fecha 15/06/016 (Ordenanzas Nº 51 de  22/11/972 y Nº 69 de 20/07/</w:t>
      </w:r>
      <w:r>
        <w:rPr>
          <w:rFonts w:ascii="Arial" w:hAnsi="Arial" w:cs="Arial"/>
        </w:rPr>
        <w:t>994 y Artículo</w:t>
      </w:r>
      <w:r w:rsidRPr="0080179D">
        <w:rPr>
          <w:rFonts w:ascii="Arial" w:hAnsi="Arial" w:cs="Arial"/>
        </w:rPr>
        <w:t xml:space="preserve"> 225 de la Constitución de la República).</w:t>
      </w:r>
    </w:p>
    <w:p w:rsidR="001C7717" w:rsidRPr="0080179D" w:rsidRDefault="001C7717" w:rsidP="00117B9C">
      <w:pPr>
        <w:pStyle w:val="Sangradetextonormal"/>
        <w:tabs>
          <w:tab w:val="clear" w:pos="0"/>
          <w:tab w:val="left" w:pos="567"/>
        </w:tabs>
        <w:suppressAutoHyphens w:val="0"/>
        <w:ind w:firstLine="0"/>
        <w:rPr>
          <w:rFonts w:ascii="Arial" w:hAnsi="Arial" w:cs="Arial"/>
        </w:rPr>
      </w:pPr>
    </w:p>
    <w:p w:rsidR="001C7717" w:rsidRDefault="001C7717">
      <w:pPr>
        <w:pStyle w:val="Encabezadodetda"/>
        <w:tabs>
          <w:tab w:val="clear" w:pos="9360"/>
        </w:tabs>
        <w:suppressAutoHyphens w:val="0"/>
        <w:spacing w:line="360" w:lineRule="auto"/>
        <w:ind w:firstLine="708"/>
        <w:jc w:val="both"/>
        <w:rPr>
          <w:lang w:val="es-ES"/>
        </w:rPr>
      </w:pPr>
    </w:p>
    <w:p w:rsidR="001C7717" w:rsidRDefault="001C7717">
      <w:pPr>
        <w:spacing w:line="360" w:lineRule="auto"/>
        <w:jc w:val="both"/>
        <w:rPr>
          <w:b/>
        </w:rPr>
      </w:pPr>
      <w:r>
        <w:rPr>
          <w:b/>
        </w:rPr>
        <w:t>2) Análisis de las asignaciones presupuestales proyectadas</w:t>
      </w:r>
    </w:p>
    <w:p w:rsidR="001C7717" w:rsidRDefault="001C7717" w:rsidP="00117B9C">
      <w:pPr>
        <w:pStyle w:val="Textoindependiente"/>
      </w:pPr>
      <w:r w:rsidRPr="00686CA9">
        <w:rPr>
          <w:rFonts w:cs="Arial"/>
          <w:b/>
        </w:rPr>
        <w:t>2.1)</w:t>
      </w:r>
      <w:r>
        <w:rPr>
          <w:rFonts w:cs="Arial"/>
        </w:rPr>
        <w:t xml:space="preserve"> </w:t>
      </w:r>
      <w:r>
        <w:t>Las asignaciones proyectadas se exponen a nivel de objeto, a valores de diciembre de 2015. Su resumen, a nivel de grupos (expresado en $), se ajusta al siguiente detalle:</w:t>
      </w:r>
    </w:p>
    <w:tbl>
      <w:tblPr>
        <w:tblW w:w="10382" w:type="dxa"/>
        <w:tblInd w:w="-781" w:type="dxa"/>
        <w:tblCellMar>
          <w:left w:w="70" w:type="dxa"/>
          <w:right w:w="70" w:type="dxa"/>
        </w:tblCellMar>
        <w:tblLook w:val="04A0" w:firstRow="1" w:lastRow="0" w:firstColumn="1" w:lastColumn="0" w:noHBand="0" w:noVBand="1"/>
      </w:tblPr>
      <w:tblGrid>
        <w:gridCol w:w="2694"/>
        <w:gridCol w:w="1276"/>
        <w:gridCol w:w="1276"/>
        <w:gridCol w:w="1275"/>
        <w:gridCol w:w="1418"/>
        <w:gridCol w:w="1276"/>
        <w:gridCol w:w="1167"/>
      </w:tblGrid>
      <w:tr w:rsidR="001C7717" w:rsidRPr="00C40D59" w:rsidTr="00117B9C">
        <w:trPr>
          <w:trHeight w:val="315"/>
        </w:trPr>
        <w:tc>
          <w:tcPr>
            <w:tcW w:w="2694" w:type="dxa"/>
            <w:tcBorders>
              <w:top w:val="nil"/>
              <w:left w:val="nil"/>
              <w:bottom w:val="nil"/>
              <w:right w:val="nil"/>
            </w:tcBorders>
            <w:shd w:val="clear" w:color="auto" w:fill="auto"/>
            <w:noWrap/>
            <w:vAlign w:val="bottom"/>
            <w:hideMark/>
          </w:tcPr>
          <w:p w:rsidR="001C7717" w:rsidRPr="00C40D59" w:rsidRDefault="001C7717" w:rsidP="00117B9C">
            <w:pPr>
              <w:rPr>
                <w:rFonts w:ascii="Times New Roman" w:hAnsi="Times New Roman"/>
                <w:color w:val="000000"/>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7717" w:rsidRPr="00C40D59" w:rsidRDefault="001C7717" w:rsidP="00117B9C">
            <w:pPr>
              <w:jc w:val="center"/>
              <w:rPr>
                <w:rFonts w:cs="Arial"/>
                <w:b/>
                <w:bCs/>
                <w:color w:val="000000"/>
                <w:sz w:val="20"/>
                <w:szCs w:val="20"/>
              </w:rPr>
            </w:pPr>
            <w:r w:rsidRPr="00C40D59">
              <w:rPr>
                <w:rFonts w:cs="Arial"/>
                <w:b/>
                <w:bCs/>
                <w:color w:val="000000"/>
                <w:sz w:val="20"/>
                <w:szCs w:val="20"/>
              </w:rPr>
              <w:t>VIGENTE</w:t>
            </w:r>
          </w:p>
        </w:tc>
        <w:tc>
          <w:tcPr>
            <w:tcW w:w="1276" w:type="dxa"/>
            <w:tcBorders>
              <w:top w:val="single" w:sz="8" w:space="0" w:color="auto"/>
              <w:left w:val="nil"/>
              <w:bottom w:val="single" w:sz="8" w:space="0" w:color="auto"/>
              <w:right w:val="nil"/>
            </w:tcBorders>
            <w:shd w:val="clear" w:color="auto" w:fill="auto"/>
            <w:noWrap/>
            <w:vAlign w:val="center"/>
            <w:hideMark/>
          </w:tcPr>
          <w:p w:rsidR="001C7717" w:rsidRPr="00C40D59" w:rsidRDefault="001C7717" w:rsidP="00117B9C">
            <w:pPr>
              <w:rPr>
                <w:rFonts w:cs="Arial"/>
                <w:color w:val="000000"/>
                <w:sz w:val="20"/>
                <w:szCs w:val="20"/>
              </w:rPr>
            </w:pPr>
            <w:r w:rsidRPr="00C40D59">
              <w:rPr>
                <w:rFonts w:cs="Arial"/>
                <w:color w:val="000000"/>
                <w:sz w:val="20"/>
                <w:szCs w:val="20"/>
              </w:rPr>
              <w:t> </w:t>
            </w:r>
          </w:p>
        </w:tc>
        <w:tc>
          <w:tcPr>
            <w:tcW w:w="1275" w:type="dxa"/>
            <w:tcBorders>
              <w:top w:val="single" w:sz="8" w:space="0" w:color="auto"/>
              <w:left w:val="nil"/>
              <w:bottom w:val="single" w:sz="8" w:space="0" w:color="auto"/>
              <w:right w:val="nil"/>
            </w:tcBorders>
            <w:shd w:val="clear" w:color="auto" w:fill="auto"/>
            <w:noWrap/>
            <w:vAlign w:val="center"/>
            <w:hideMark/>
          </w:tcPr>
          <w:p w:rsidR="001C7717" w:rsidRPr="00C40D59" w:rsidRDefault="001C7717" w:rsidP="00117B9C">
            <w:pPr>
              <w:rPr>
                <w:rFonts w:cs="Arial"/>
                <w:color w:val="000000"/>
                <w:sz w:val="20"/>
                <w:szCs w:val="20"/>
              </w:rPr>
            </w:pPr>
            <w:r w:rsidRPr="00C40D59">
              <w:rPr>
                <w:rFonts w:cs="Arial"/>
                <w:color w:val="000000"/>
                <w:sz w:val="20"/>
                <w:szCs w:val="20"/>
              </w:rPr>
              <w:t> </w:t>
            </w:r>
          </w:p>
        </w:tc>
        <w:tc>
          <w:tcPr>
            <w:tcW w:w="2694" w:type="dxa"/>
            <w:gridSpan w:val="2"/>
            <w:tcBorders>
              <w:top w:val="single" w:sz="8" w:space="0" w:color="auto"/>
              <w:left w:val="nil"/>
              <w:bottom w:val="single" w:sz="8" w:space="0" w:color="auto"/>
              <w:right w:val="nil"/>
            </w:tcBorders>
            <w:shd w:val="clear" w:color="auto" w:fill="auto"/>
            <w:noWrap/>
            <w:vAlign w:val="center"/>
            <w:hideMark/>
          </w:tcPr>
          <w:p w:rsidR="001C7717" w:rsidRPr="00C40D59" w:rsidRDefault="001C7717" w:rsidP="00117B9C">
            <w:pPr>
              <w:rPr>
                <w:rFonts w:cs="Arial"/>
                <w:b/>
                <w:bCs/>
                <w:color w:val="000000"/>
                <w:sz w:val="20"/>
                <w:szCs w:val="20"/>
              </w:rPr>
            </w:pPr>
            <w:r w:rsidRPr="00C40D59">
              <w:rPr>
                <w:rFonts w:cs="Arial"/>
                <w:b/>
                <w:bCs/>
                <w:color w:val="000000"/>
                <w:sz w:val="20"/>
                <w:szCs w:val="20"/>
              </w:rPr>
              <w:t>PROYECTADO</w:t>
            </w:r>
          </w:p>
        </w:tc>
        <w:tc>
          <w:tcPr>
            <w:tcW w:w="1167" w:type="dxa"/>
            <w:tcBorders>
              <w:top w:val="single" w:sz="8" w:space="0" w:color="auto"/>
              <w:left w:val="nil"/>
              <w:bottom w:val="single" w:sz="8" w:space="0" w:color="auto"/>
              <w:right w:val="single" w:sz="8" w:space="0" w:color="auto"/>
            </w:tcBorders>
            <w:shd w:val="clear" w:color="auto" w:fill="auto"/>
            <w:noWrap/>
            <w:vAlign w:val="center"/>
            <w:hideMark/>
          </w:tcPr>
          <w:p w:rsidR="001C7717" w:rsidRPr="00C40D59" w:rsidRDefault="001C7717" w:rsidP="00117B9C">
            <w:pPr>
              <w:rPr>
                <w:rFonts w:cs="Arial"/>
                <w:color w:val="000000"/>
                <w:sz w:val="20"/>
                <w:szCs w:val="20"/>
              </w:rPr>
            </w:pPr>
            <w:r w:rsidRPr="00C40D59">
              <w:rPr>
                <w:rFonts w:cs="Arial"/>
                <w:color w:val="000000"/>
                <w:sz w:val="20"/>
                <w:szCs w:val="20"/>
              </w:rPr>
              <w:t> </w:t>
            </w:r>
          </w:p>
        </w:tc>
      </w:tr>
      <w:tr w:rsidR="001C7717" w:rsidRPr="00C40D59" w:rsidTr="00117B9C">
        <w:trPr>
          <w:trHeight w:val="315"/>
        </w:trPr>
        <w:tc>
          <w:tcPr>
            <w:tcW w:w="2694" w:type="dxa"/>
            <w:tcBorders>
              <w:top w:val="nil"/>
              <w:left w:val="nil"/>
              <w:bottom w:val="nil"/>
              <w:right w:val="nil"/>
            </w:tcBorders>
            <w:shd w:val="clear" w:color="auto" w:fill="auto"/>
            <w:noWrap/>
            <w:vAlign w:val="bottom"/>
            <w:hideMark/>
          </w:tcPr>
          <w:p w:rsidR="001C7717" w:rsidRPr="00C40D59" w:rsidRDefault="001C7717" w:rsidP="00117B9C">
            <w:pPr>
              <w:rPr>
                <w:rFonts w:ascii="Times New Roman" w:hAnsi="Times New Roman"/>
                <w:color w:val="000000"/>
                <w:sz w:val="20"/>
                <w:szCs w:val="20"/>
              </w:rPr>
            </w:pPr>
          </w:p>
        </w:tc>
        <w:tc>
          <w:tcPr>
            <w:tcW w:w="1276" w:type="dxa"/>
            <w:tcBorders>
              <w:top w:val="nil"/>
              <w:left w:val="single" w:sz="8" w:space="0" w:color="auto"/>
              <w:bottom w:val="nil"/>
              <w:right w:val="single" w:sz="8" w:space="0" w:color="auto"/>
            </w:tcBorders>
            <w:shd w:val="clear" w:color="auto" w:fill="auto"/>
            <w:noWrap/>
            <w:vAlign w:val="center"/>
            <w:hideMark/>
          </w:tcPr>
          <w:p w:rsidR="001C7717" w:rsidRPr="00C40D59" w:rsidRDefault="001C7717" w:rsidP="00117B9C">
            <w:pPr>
              <w:jc w:val="center"/>
              <w:rPr>
                <w:rFonts w:cs="Arial"/>
                <w:b/>
                <w:bCs/>
                <w:color w:val="000000"/>
                <w:sz w:val="20"/>
                <w:szCs w:val="20"/>
              </w:rPr>
            </w:pPr>
            <w:r w:rsidRPr="00C40D59">
              <w:rPr>
                <w:rFonts w:cs="Arial"/>
                <w:b/>
                <w:bCs/>
                <w:color w:val="000000"/>
                <w:sz w:val="20"/>
                <w:szCs w:val="20"/>
              </w:rPr>
              <w:t>2015</w:t>
            </w:r>
          </w:p>
        </w:tc>
        <w:tc>
          <w:tcPr>
            <w:tcW w:w="1276" w:type="dxa"/>
            <w:tcBorders>
              <w:top w:val="nil"/>
              <w:left w:val="nil"/>
              <w:bottom w:val="nil"/>
              <w:right w:val="single" w:sz="8" w:space="0" w:color="auto"/>
            </w:tcBorders>
            <w:shd w:val="clear" w:color="auto" w:fill="auto"/>
            <w:noWrap/>
            <w:vAlign w:val="center"/>
            <w:hideMark/>
          </w:tcPr>
          <w:p w:rsidR="001C7717" w:rsidRPr="00C40D59" w:rsidRDefault="001C7717" w:rsidP="00117B9C">
            <w:pPr>
              <w:jc w:val="center"/>
              <w:rPr>
                <w:rFonts w:cs="Arial"/>
                <w:b/>
                <w:bCs/>
                <w:color w:val="000000"/>
                <w:sz w:val="20"/>
                <w:szCs w:val="20"/>
              </w:rPr>
            </w:pPr>
            <w:r w:rsidRPr="00C40D59">
              <w:rPr>
                <w:rFonts w:cs="Arial"/>
                <w:b/>
                <w:bCs/>
                <w:color w:val="000000"/>
                <w:sz w:val="20"/>
                <w:szCs w:val="20"/>
              </w:rPr>
              <w:t>2016</w:t>
            </w:r>
          </w:p>
        </w:tc>
        <w:tc>
          <w:tcPr>
            <w:tcW w:w="1275" w:type="dxa"/>
            <w:tcBorders>
              <w:top w:val="nil"/>
              <w:left w:val="nil"/>
              <w:bottom w:val="nil"/>
              <w:right w:val="single" w:sz="8" w:space="0" w:color="auto"/>
            </w:tcBorders>
            <w:shd w:val="clear" w:color="auto" w:fill="auto"/>
            <w:noWrap/>
            <w:vAlign w:val="center"/>
            <w:hideMark/>
          </w:tcPr>
          <w:p w:rsidR="001C7717" w:rsidRPr="00C40D59" w:rsidRDefault="001C7717" w:rsidP="00117B9C">
            <w:pPr>
              <w:jc w:val="center"/>
              <w:rPr>
                <w:rFonts w:cs="Arial"/>
                <w:b/>
                <w:bCs/>
                <w:color w:val="000000"/>
                <w:sz w:val="20"/>
                <w:szCs w:val="20"/>
              </w:rPr>
            </w:pPr>
            <w:r w:rsidRPr="00C40D59">
              <w:rPr>
                <w:rFonts w:cs="Arial"/>
                <w:b/>
                <w:bCs/>
                <w:color w:val="000000"/>
                <w:sz w:val="20"/>
                <w:szCs w:val="20"/>
              </w:rPr>
              <w:t>2017</w:t>
            </w:r>
          </w:p>
        </w:tc>
        <w:tc>
          <w:tcPr>
            <w:tcW w:w="1418" w:type="dxa"/>
            <w:tcBorders>
              <w:top w:val="nil"/>
              <w:left w:val="nil"/>
              <w:bottom w:val="nil"/>
              <w:right w:val="single" w:sz="8" w:space="0" w:color="auto"/>
            </w:tcBorders>
            <w:shd w:val="clear" w:color="auto" w:fill="auto"/>
            <w:noWrap/>
            <w:vAlign w:val="center"/>
            <w:hideMark/>
          </w:tcPr>
          <w:p w:rsidR="001C7717" w:rsidRPr="00C40D59" w:rsidRDefault="001C7717" w:rsidP="00117B9C">
            <w:pPr>
              <w:jc w:val="center"/>
              <w:rPr>
                <w:rFonts w:cs="Arial"/>
                <w:b/>
                <w:bCs/>
                <w:color w:val="000000"/>
                <w:sz w:val="20"/>
                <w:szCs w:val="20"/>
              </w:rPr>
            </w:pPr>
            <w:r w:rsidRPr="00C40D59">
              <w:rPr>
                <w:rFonts w:cs="Arial"/>
                <w:b/>
                <w:bCs/>
                <w:color w:val="000000"/>
                <w:sz w:val="20"/>
                <w:szCs w:val="20"/>
              </w:rPr>
              <w:t>2018</w:t>
            </w:r>
          </w:p>
        </w:tc>
        <w:tc>
          <w:tcPr>
            <w:tcW w:w="1276" w:type="dxa"/>
            <w:tcBorders>
              <w:top w:val="nil"/>
              <w:left w:val="nil"/>
              <w:bottom w:val="nil"/>
              <w:right w:val="single" w:sz="8" w:space="0" w:color="auto"/>
            </w:tcBorders>
            <w:shd w:val="clear" w:color="auto" w:fill="auto"/>
            <w:noWrap/>
            <w:vAlign w:val="center"/>
            <w:hideMark/>
          </w:tcPr>
          <w:p w:rsidR="001C7717" w:rsidRPr="00C40D59" w:rsidRDefault="001C7717" w:rsidP="00117B9C">
            <w:pPr>
              <w:jc w:val="center"/>
              <w:rPr>
                <w:rFonts w:cs="Arial"/>
                <w:b/>
                <w:bCs/>
                <w:color w:val="000000"/>
                <w:sz w:val="20"/>
                <w:szCs w:val="20"/>
              </w:rPr>
            </w:pPr>
            <w:r w:rsidRPr="00C40D59">
              <w:rPr>
                <w:rFonts w:cs="Arial"/>
                <w:b/>
                <w:bCs/>
                <w:color w:val="000000"/>
                <w:sz w:val="20"/>
                <w:szCs w:val="20"/>
              </w:rPr>
              <w:t>2019</w:t>
            </w:r>
          </w:p>
        </w:tc>
        <w:tc>
          <w:tcPr>
            <w:tcW w:w="1167" w:type="dxa"/>
            <w:tcBorders>
              <w:top w:val="nil"/>
              <w:left w:val="nil"/>
              <w:bottom w:val="nil"/>
              <w:right w:val="single" w:sz="8" w:space="0" w:color="auto"/>
            </w:tcBorders>
            <w:shd w:val="clear" w:color="auto" w:fill="auto"/>
            <w:noWrap/>
            <w:vAlign w:val="center"/>
            <w:hideMark/>
          </w:tcPr>
          <w:p w:rsidR="001C7717" w:rsidRPr="00C40D59" w:rsidRDefault="001C7717" w:rsidP="00117B9C">
            <w:pPr>
              <w:jc w:val="center"/>
              <w:rPr>
                <w:rFonts w:cs="Arial"/>
                <w:b/>
                <w:bCs/>
                <w:color w:val="000000"/>
                <w:sz w:val="20"/>
                <w:szCs w:val="20"/>
              </w:rPr>
            </w:pPr>
            <w:r w:rsidRPr="00C40D59">
              <w:rPr>
                <w:rFonts w:cs="Arial"/>
                <w:b/>
                <w:bCs/>
                <w:color w:val="000000"/>
                <w:sz w:val="20"/>
                <w:szCs w:val="20"/>
              </w:rPr>
              <w:t>2020</w:t>
            </w:r>
          </w:p>
        </w:tc>
      </w:tr>
      <w:tr w:rsidR="001C7717" w:rsidRPr="00C40D59" w:rsidTr="00117B9C">
        <w:trPr>
          <w:trHeight w:val="315"/>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C7717" w:rsidRPr="00C40D59" w:rsidRDefault="001C7717" w:rsidP="00117B9C">
            <w:pPr>
              <w:rPr>
                <w:rFonts w:cs="Arial"/>
                <w:sz w:val="20"/>
                <w:szCs w:val="20"/>
              </w:rPr>
            </w:pPr>
            <w:r w:rsidRPr="00C40D59">
              <w:rPr>
                <w:rFonts w:cs="Arial"/>
                <w:sz w:val="20"/>
                <w:szCs w:val="20"/>
              </w:rPr>
              <w:t>0- "Servicios personales"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1C7717" w:rsidRPr="00C40D59" w:rsidRDefault="001C7717" w:rsidP="00117B9C">
            <w:pPr>
              <w:jc w:val="right"/>
              <w:rPr>
                <w:rFonts w:cs="Arial"/>
                <w:sz w:val="20"/>
                <w:szCs w:val="20"/>
              </w:rPr>
            </w:pPr>
            <w:r w:rsidRPr="00C40D59">
              <w:rPr>
                <w:rFonts w:cs="Arial"/>
                <w:sz w:val="20"/>
                <w:szCs w:val="20"/>
              </w:rPr>
              <w:t xml:space="preserve">24.224.961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23.865.251   </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24.836.533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24.840.092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24.843.649   </w:t>
            </w:r>
          </w:p>
        </w:tc>
        <w:tc>
          <w:tcPr>
            <w:tcW w:w="1167" w:type="dxa"/>
            <w:tcBorders>
              <w:top w:val="single" w:sz="8" w:space="0" w:color="auto"/>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24.847.208   </w:t>
            </w:r>
          </w:p>
        </w:tc>
      </w:tr>
      <w:tr w:rsidR="001C7717" w:rsidRPr="00C40D59" w:rsidTr="00117B9C">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rsidR="001C7717" w:rsidRPr="00C40D59" w:rsidRDefault="001C7717" w:rsidP="00117B9C">
            <w:pPr>
              <w:rPr>
                <w:rFonts w:cs="Arial"/>
                <w:sz w:val="20"/>
                <w:szCs w:val="20"/>
              </w:rPr>
            </w:pPr>
            <w:r w:rsidRPr="00C40D59">
              <w:rPr>
                <w:rFonts w:cs="Arial"/>
                <w:sz w:val="20"/>
                <w:szCs w:val="20"/>
              </w:rPr>
              <w:t>1- "Bienes de consumo"</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10.635.786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10.955.786   </w:t>
            </w:r>
          </w:p>
        </w:tc>
        <w:tc>
          <w:tcPr>
            <w:tcW w:w="1275"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10.955.786   </w:t>
            </w:r>
          </w:p>
        </w:tc>
        <w:tc>
          <w:tcPr>
            <w:tcW w:w="1418"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10.955.786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10.955.786   </w:t>
            </w:r>
          </w:p>
        </w:tc>
        <w:tc>
          <w:tcPr>
            <w:tcW w:w="1167"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10.955.786   </w:t>
            </w:r>
          </w:p>
        </w:tc>
      </w:tr>
      <w:tr w:rsidR="001C7717" w:rsidRPr="00C40D59" w:rsidTr="00117B9C">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rsidR="001C7717" w:rsidRPr="00C40D59" w:rsidRDefault="001C7717" w:rsidP="00117B9C">
            <w:pPr>
              <w:rPr>
                <w:rFonts w:cs="Arial"/>
                <w:sz w:val="20"/>
                <w:szCs w:val="20"/>
              </w:rPr>
            </w:pPr>
            <w:r w:rsidRPr="00C40D59">
              <w:rPr>
                <w:rFonts w:cs="Arial"/>
                <w:sz w:val="20"/>
                <w:szCs w:val="20"/>
              </w:rPr>
              <w:t>2- "Servicios no personales"</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2.737.636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3.761.098   </w:t>
            </w:r>
          </w:p>
        </w:tc>
        <w:tc>
          <w:tcPr>
            <w:tcW w:w="1275"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3.761.098   </w:t>
            </w:r>
          </w:p>
        </w:tc>
        <w:tc>
          <w:tcPr>
            <w:tcW w:w="1418"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3.761.098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3.761.098   </w:t>
            </w:r>
          </w:p>
        </w:tc>
        <w:tc>
          <w:tcPr>
            <w:tcW w:w="1167"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4.461.098   </w:t>
            </w:r>
          </w:p>
        </w:tc>
      </w:tr>
      <w:tr w:rsidR="001C7717" w:rsidRPr="00C40D59" w:rsidTr="00117B9C">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rsidR="001C7717" w:rsidRPr="00C40D59" w:rsidRDefault="001C7717" w:rsidP="00117B9C">
            <w:pPr>
              <w:rPr>
                <w:rFonts w:cs="Arial"/>
                <w:sz w:val="20"/>
                <w:szCs w:val="20"/>
              </w:rPr>
            </w:pPr>
            <w:r w:rsidRPr="00C40D59">
              <w:rPr>
                <w:rFonts w:cs="Arial"/>
                <w:sz w:val="20"/>
                <w:szCs w:val="20"/>
              </w:rPr>
              <w:t>3- "Bienes de uso"</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125.576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165.576   </w:t>
            </w:r>
          </w:p>
        </w:tc>
        <w:tc>
          <w:tcPr>
            <w:tcW w:w="1275"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1.565.576   </w:t>
            </w:r>
          </w:p>
        </w:tc>
        <w:tc>
          <w:tcPr>
            <w:tcW w:w="1418"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165.576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165.576   </w:t>
            </w:r>
          </w:p>
        </w:tc>
        <w:tc>
          <w:tcPr>
            <w:tcW w:w="1167"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165.576   </w:t>
            </w:r>
          </w:p>
        </w:tc>
      </w:tr>
      <w:tr w:rsidR="001C7717" w:rsidRPr="00C40D59" w:rsidTr="00117B9C">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rsidR="001C7717" w:rsidRPr="00C40D59" w:rsidRDefault="001C7717" w:rsidP="00117B9C">
            <w:pPr>
              <w:rPr>
                <w:rFonts w:ascii="Calibri" w:hAnsi="Calibri" w:cs="Calibri"/>
                <w:color w:val="000000"/>
                <w:sz w:val="22"/>
                <w:szCs w:val="22"/>
              </w:rPr>
            </w:pPr>
            <w:r w:rsidRPr="00C40D59">
              <w:rPr>
                <w:rFonts w:ascii="Calibri" w:hAnsi="Calibri" w:cs="Calibri"/>
                <w:color w:val="000000"/>
                <w:sz w:val="22"/>
                <w:szCs w:val="22"/>
              </w:rPr>
              <w:t>5- "Transferencias"</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497.173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635.173   </w:t>
            </w:r>
          </w:p>
        </w:tc>
        <w:tc>
          <w:tcPr>
            <w:tcW w:w="1275"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635.173   </w:t>
            </w:r>
          </w:p>
        </w:tc>
        <w:tc>
          <w:tcPr>
            <w:tcW w:w="1418"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2.064.880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904.225   </w:t>
            </w:r>
          </w:p>
        </w:tc>
        <w:tc>
          <w:tcPr>
            <w:tcW w:w="1167"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715.858   </w:t>
            </w:r>
          </w:p>
        </w:tc>
      </w:tr>
      <w:tr w:rsidR="001C7717" w:rsidRPr="00C40D59" w:rsidTr="00117B9C">
        <w:trPr>
          <w:trHeight w:val="315"/>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1C7717" w:rsidRPr="00C40D59" w:rsidRDefault="001C7717" w:rsidP="00117B9C">
            <w:pPr>
              <w:jc w:val="center"/>
              <w:rPr>
                <w:rFonts w:cs="Arial"/>
                <w:color w:val="000000"/>
                <w:sz w:val="20"/>
                <w:szCs w:val="20"/>
              </w:rPr>
            </w:pPr>
            <w:r w:rsidRPr="00C40D59">
              <w:rPr>
                <w:rFonts w:cs="Arial"/>
                <w:color w:val="000000"/>
                <w:sz w:val="20"/>
                <w:szCs w:val="20"/>
              </w:rPr>
              <w:t>Totales</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38.221.132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39.382.884   </w:t>
            </w:r>
          </w:p>
        </w:tc>
        <w:tc>
          <w:tcPr>
            <w:tcW w:w="1275"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41.754.166   </w:t>
            </w:r>
          </w:p>
        </w:tc>
        <w:tc>
          <w:tcPr>
            <w:tcW w:w="1418"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41.787.432   </w:t>
            </w:r>
          </w:p>
        </w:tc>
        <w:tc>
          <w:tcPr>
            <w:tcW w:w="1276"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40.630.334   </w:t>
            </w:r>
          </w:p>
        </w:tc>
        <w:tc>
          <w:tcPr>
            <w:tcW w:w="1167" w:type="dxa"/>
            <w:tcBorders>
              <w:top w:val="nil"/>
              <w:left w:val="nil"/>
              <w:bottom w:val="single" w:sz="8" w:space="0" w:color="auto"/>
              <w:right w:val="single" w:sz="8" w:space="0" w:color="auto"/>
            </w:tcBorders>
            <w:shd w:val="clear" w:color="auto" w:fill="auto"/>
            <w:noWrap/>
            <w:vAlign w:val="center"/>
            <w:hideMark/>
          </w:tcPr>
          <w:p w:rsidR="001C7717" w:rsidRPr="00C40D59" w:rsidRDefault="001C7717" w:rsidP="00117B9C">
            <w:pPr>
              <w:jc w:val="right"/>
              <w:rPr>
                <w:rFonts w:cs="Arial"/>
                <w:color w:val="000000"/>
                <w:sz w:val="20"/>
                <w:szCs w:val="20"/>
              </w:rPr>
            </w:pPr>
            <w:r w:rsidRPr="00C40D59">
              <w:rPr>
                <w:rFonts w:cs="Arial"/>
                <w:color w:val="000000"/>
                <w:sz w:val="20"/>
                <w:szCs w:val="20"/>
              </w:rPr>
              <w:t xml:space="preserve">  41.145.526   </w:t>
            </w:r>
          </w:p>
        </w:tc>
      </w:tr>
    </w:tbl>
    <w:p w:rsidR="001C7717" w:rsidRDefault="001C7717" w:rsidP="00117B9C">
      <w:pPr>
        <w:pStyle w:val="Textoindependiente"/>
        <w:rPr>
          <w:rFonts w:cs="Arial"/>
        </w:rPr>
      </w:pPr>
    </w:p>
    <w:p w:rsidR="001C7717" w:rsidRDefault="001C7717">
      <w:pPr>
        <w:pStyle w:val="Textoindependiente"/>
        <w:rPr>
          <w:b/>
        </w:rPr>
      </w:pPr>
      <w:r>
        <w:rPr>
          <w:b/>
          <w:bCs/>
        </w:rPr>
        <w:t>3)</w:t>
      </w:r>
      <w:r>
        <w:rPr>
          <w:b/>
        </w:rPr>
        <w:t xml:space="preserve"> Cumplimiento de normas legales y reglamentarias</w:t>
      </w:r>
    </w:p>
    <w:p w:rsidR="001C7717" w:rsidRPr="0080179D" w:rsidRDefault="001C7717" w:rsidP="00117B9C">
      <w:pPr>
        <w:spacing w:line="360" w:lineRule="auto"/>
        <w:jc w:val="both"/>
        <w:rPr>
          <w:rFonts w:cs="Arial"/>
        </w:rPr>
      </w:pPr>
      <w:r w:rsidRPr="0080179D">
        <w:rPr>
          <w:rFonts w:cs="Arial"/>
          <w:b/>
        </w:rPr>
        <w:t>3.1)</w:t>
      </w:r>
      <w:r w:rsidRPr="0080179D">
        <w:rPr>
          <w:rFonts w:cs="Arial"/>
        </w:rPr>
        <w:t xml:space="preserve"> </w:t>
      </w:r>
      <w:r>
        <w:rPr>
          <w:rFonts w:cs="Arial"/>
        </w:rPr>
        <w:t>El Artículo</w:t>
      </w:r>
      <w:r w:rsidRPr="0080179D">
        <w:rPr>
          <w:rFonts w:cs="Arial"/>
        </w:rPr>
        <w:t xml:space="preserve"> 16 del Presupuesto</w:t>
      </w:r>
      <w:r>
        <w:rPr>
          <w:rFonts w:cs="Arial"/>
        </w:rPr>
        <w:t xml:space="preserve"> Quinquenal</w:t>
      </w:r>
      <w:r w:rsidRPr="0080179D">
        <w:rPr>
          <w:rFonts w:cs="Arial"/>
        </w:rPr>
        <w:t xml:space="preserve"> 2011-2015, norma presupuestal que se mantiene vigente y reglamenta el gasto de combustible que realicen los Sres. Ediles, no se ajusta a lo dispuesto por la Resolución de este Tribunal</w:t>
      </w:r>
      <w:r>
        <w:rPr>
          <w:rFonts w:cs="Arial"/>
        </w:rPr>
        <w:t xml:space="preserve"> de fecha </w:t>
      </w:r>
      <w:r w:rsidRPr="0080179D">
        <w:rPr>
          <w:rFonts w:cs="Arial"/>
        </w:rPr>
        <w:t>22/1</w:t>
      </w:r>
      <w:r>
        <w:rPr>
          <w:rFonts w:cs="Arial"/>
        </w:rPr>
        <w:t>2</w:t>
      </w:r>
      <w:r w:rsidRPr="0080179D">
        <w:rPr>
          <w:rFonts w:cs="Arial"/>
        </w:rPr>
        <w:t>/</w:t>
      </w:r>
      <w:r>
        <w:rPr>
          <w:rFonts w:cs="Arial"/>
        </w:rPr>
        <w:t>2</w:t>
      </w:r>
      <w:r w:rsidRPr="0080179D">
        <w:rPr>
          <w:rFonts w:cs="Arial"/>
        </w:rPr>
        <w:t xml:space="preserve">010, en cuanto a la documentación </w:t>
      </w:r>
      <w:proofErr w:type="spellStart"/>
      <w:r w:rsidRPr="0080179D">
        <w:rPr>
          <w:rFonts w:cs="Arial"/>
        </w:rPr>
        <w:t>respaldante</w:t>
      </w:r>
      <w:proofErr w:type="spellEnd"/>
      <w:r w:rsidRPr="0080179D">
        <w:rPr>
          <w:rFonts w:cs="Arial"/>
        </w:rPr>
        <w:t xml:space="preserve"> del gasto relacionado y al contenido de la declaración jurada acerca del mismo, contraviniendo</w:t>
      </w:r>
      <w:r>
        <w:rPr>
          <w:rFonts w:cs="Arial"/>
        </w:rPr>
        <w:t>,</w:t>
      </w:r>
      <w:r w:rsidRPr="0080179D">
        <w:rPr>
          <w:rFonts w:cs="Arial"/>
        </w:rPr>
        <w:t xml:space="preserve"> asimismo</w:t>
      </w:r>
      <w:r>
        <w:rPr>
          <w:rFonts w:cs="Arial"/>
        </w:rPr>
        <w:t>, las previsiones del Artículo</w:t>
      </w:r>
      <w:r w:rsidRPr="0080179D">
        <w:rPr>
          <w:rFonts w:cs="Arial"/>
        </w:rPr>
        <w:t xml:space="preserve"> 295 de la Constitución de la República.</w:t>
      </w:r>
    </w:p>
    <w:p w:rsidR="001C7717" w:rsidRDefault="001C7717" w:rsidP="00117B9C">
      <w:pPr>
        <w:spacing w:line="360" w:lineRule="auto"/>
        <w:jc w:val="both"/>
        <w:rPr>
          <w:rFonts w:cs="Arial"/>
          <w:b/>
        </w:rPr>
      </w:pPr>
      <w:r w:rsidRPr="0080179D">
        <w:rPr>
          <w:rFonts w:cs="Arial"/>
          <w:b/>
        </w:rPr>
        <w:t xml:space="preserve">3.2) </w:t>
      </w:r>
      <w:r w:rsidRPr="0080179D">
        <w:rPr>
          <w:rFonts w:cs="Arial"/>
        </w:rPr>
        <w:t>Conforme</w:t>
      </w:r>
      <w:r w:rsidRPr="0080179D">
        <w:rPr>
          <w:rFonts w:cs="Arial"/>
          <w:b/>
        </w:rPr>
        <w:t xml:space="preserve"> </w:t>
      </w:r>
      <w:r w:rsidRPr="0080179D">
        <w:rPr>
          <w:rFonts w:cs="Arial"/>
        </w:rPr>
        <w:t xml:space="preserve">al </w:t>
      </w:r>
      <w:proofErr w:type="spellStart"/>
      <w:r w:rsidRPr="0080179D">
        <w:rPr>
          <w:rFonts w:cs="Arial"/>
        </w:rPr>
        <w:t>planillado</w:t>
      </w:r>
      <w:proofErr w:type="spellEnd"/>
      <w:r w:rsidRPr="0080179D">
        <w:rPr>
          <w:rFonts w:cs="Arial"/>
        </w:rPr>
        <w:t xml:space="preserve"> remitido, las partidas que se mantienen vigentes, previstas en el Grupo 5 “Transferencias”, en particular a: “Instituciones de Enseñanza”, “Instituciones de Salud”, “Instituciones de asistencia social” y “Instituciones Deportivas, culturales y recreativas”, incumplen lo dispuesto por el Art</w:t>
      </w:r>
      <w:r>
        <w:rPr>
          <w:rFonts w:cs="Arial"/>
        </w:rPr>
        <w:t>ículo</w:t>
      </w:r>
      <w:r w:rsidRPr="0080179D">
        <w:rPr>
          <w:rFonts w:cs="Arial"/>
        </w:rPr>
        <w:t xml:space="preserve"> 273 de la Constitución de la República y por la Ley Nº 9.515, ya que dentro de las facultades constitucionales y legales de las Juntas Departamentales no se encuentra la de realizar donaciones.</w:t>
      </w:r>
    </w:p>
    <w:p w:rsidR="001C7717" w:rsidRDefault="001C7717" w:rsidP="00117B9C">
      <w:pPr>
        <w:spacing w:line="360" w:lineRule="auto"/>
        <w:jc w:val="both"/>
        <w:rPr>
          <w:rFonts w:cs="Arial"/>
        </w:rPr>
      </w:pPr>
      <w:r>
        <w:rPr>
          <w:rFonts w:cs="Arial"/>
          <w:b/>
        </w:rPr>
        <w:t xml:space="preserve">3.3) </w:t>
      </w:r>
      <w:r>
        <w:rPr>
          <w:rFonts w:cs="Arial"/>
        </w:rPr>
        <w:t>Las partidas previstas para prensa para los Señores Ediles que por Resolución del 08/09/2015 se actualizan a $ 2.000 mensuales, a efectos de respetar lo establecido en la Resolución de este Tribunal del 22/12/2010, deben ser rendidas en todos los casos con documentación que cumpla los requisitos formales y siendo los mismos a nombre de cada Edil.</w:t>
      </w:r>
    </w:p>
    <w:p w:rsidR="001C7717" w:rsidRPr="0080179D" w:rsidRDefault="001C7717" w:rsidP="00117B9C">
      <w:pPr>
        <w:spacing w:line="360" w:lineRule="auto"/>
        <w:jc w:val="both"/>
        <w:rPr>
          <w:rFonts w:cs="Arial"/>
          <w:b/>
        </w:rPr>
      </w:pPr>
      <w:r w:rsidRPr="002724A3">
        <w:rPr>
          <w:rFonts w:cs="Arial"/>
          <w:b/>
        </w:rPr>
        <w:t xml:space="preserve">3.4) </w:t>
      </w:r>
      <w:r>
        <w:rPr>
          <w:rFonts w:cs="Arial"/>
        </w:rPr>
        <w:t>De acuerdo con el</w:t>
      </w:r>
      <w:r w:rsidRPr="002724A3">
        <w:rPr>
          <w:rFonts w:cs="Arial"/>
        </w:rPr>
        <w:t xml:space="preserve"> </w:t>
      </w:r>
      <w:r>
        <w:rPr>
          <w:rFonts w:cs="Arial"/>
        </w:rPr>
        <w:t>“C</w:t>
      </w:r>
      <w:r w:rsidRPr="002724A3">
        <w:rPr>
          <w:rFonts w:cs="Arial"/>
        </w:rPr>
        <w:t xml:space="preserve">lasificador </w:t>
      </w:r>
      <w:r>
        <w:rPr>
          <w:rFonts w:cs="Arial"/>
        </w:rPr>
        <w:t>por Objeto del G</w:t>
      </w:r>
      <w:r w:rsidRPr="002724A3">
        <w:rPr>
          <w:rFonts w:cs="Arial"/>
        </w:rPr>
        <w:t>asto</w:t>
      </w:r>
      <w:r>
        <w:rPr>
          <w:rFonts w:cs="Arial"/>
        </w:rPr>
        <w:t>”, aplicable a los Gobiernos Departamentales por la Ordenanza Nº 76 del Tribunal de Cuentas de fecha 21/07/1999, las partidas previstas para retiros incentivados corresponden preverse en el objeto 063 “Indemnizaciones por retiro” y no en el objeto 576, las partidas previstas para juicios y litigios corresponden preverse en el objeto 711 “Sentencias judiciales” y no en el objeto 282 y los sueldos contratados corresponden preverse en el objeto 021 “Sueldo básico de funciones contratadas” en vez de en el objeto 031.</w:t>
      </w:r>
    </w:p>
    <w:p w:rsidR="001C7717" w:rsidRDefault="001C7717" w:rsidP="00117B9C">
      <w:pPr>
        <w:pStyle w:val="Sangradetextonormal"/>
        <w:ind w:firstLine="0"/>
        <w:rPr>
          <w:rFonts w:ascii="Arial" w:hAnsi="Arial" w:cs="Arial"/>
          <w:b/>
        </w:rPr>
      </w:pPr>
      <w:r>
        <w:rPr>
          <w:rFonts w:ascii="Arial" w:hAnsi="Arial" w:cs="Arial"/>
          <w:b/>
        </w:rPr>
        <w:tab/>
      </w:r>
    </w:p>
    <w:p w:rsidR="001C7717" w:rsidRDefault="001C7717">
      <w:pPr>
        <w:widowControl w:val="0"/>
        <w:spacing w:line="360" w:lineRule="auto"/>
        <w:jc w:val="both"/>
        <w:rPr>
          <w:rFonts w:cs="Arial"/>
          <w:b/>
          <w:snapToGrid w:val="0"/>
        </w:rPr>
      </w:pPr>
      <w:r>
        <w:rPr>
          <w:rFonts w:cs="Arial"/>
          <w:b/>
          <w:snapToGrid w:val="0"/>
        </w:rPr>
        <w:t>4) Opinión</w:t>
      </w:r>
    </w:p>
    <w:p w:rsidR="001C7717" w:rsidRDefault="001C7717" w:rsidP="00117B9C">
      <w:pPr>
        <w:widowControl w:val="0"/>
        <w:spacing w:line="360" w:lineRule="auto"/>
        <w:jc w:val="both"/>
        <w:rPr>
          <w:rFonts w:cs="Arial"/>
          <w:snapToGrid w:val="0"/>
        </w:rPr>
      </w:pPr>
      <w:r>
        <w:rPr>
          <w:rFonts w:cs="Arial"/>
          <w:snapToGrid w:val="0"/>
        </w:rPr>
        <w:t xml:space="preserve">En opinión del Tribunal de Cuentas, el Proyecto de Presupuesto de la Junta Departamental de San José para el período 2016-2020 ha sido preparado en forma razonable de acuerdo con los supuestos efectuados por el Organismo y se presenta de conformidad con las disposiciones constitucionales, legales y reglamentarias vigentes, excepto por lo establecido en los párrafos 3.1), 3.2) </w:t>
      </w:r>
      <w:r w:rsidR="00117B9C">
        <w:rPr>
          <w:rFonts w:cs="Arial"/>
          <w:snapToGrid w:val="0"/>
        </w:rPr>
        <w:t>y 3.4).</w:t>
      </w:r>
    </w:p>
    <w:p w:rsidR="001C7717" w:rsidRDefault="001C7717" w:rsidP="00117B9C">
      <w:pPr>
        <w:widowControl w:val="0"/>
        <w:spacing w:line="360" w:lineRule="auto"/>
        <w:jc w:val="both"/>
        <w:rPr>
          <w:rFonts w:cs="Arial"/>
          <w:snapToGrid w:val="0"/>
        </w:rPr>
      </w:pPr>
    </w:p>
    <w:p w:rsidR="001C7717" w:rsidRDefault="001C7717" w:rsidP="00117B9C">
      <w:pPr>
        <w:widowControl w:val="0"/>
        <w:spacing w:line="360" w:lineRule="auto"/>
        <w:jc w:val="both"/>
        <w:rPr>
          <w:rFonts w:cs="Arial"/>
          <w:snapToGrid w:val="0"/>
        </w:rPr>
      </w:pPr>
    </w:p>
    <w:p w:rsidR="001C7717" w:rsidRDefault="001C7717" w:rsidP="00117B9C">
      <w:pPr>
        <w:widowControl w:val="0"/>
        <w:spacing w:line="360" w:lineRule="auto"/>
        <w:ind w:hanging="567"/>
        <w:jc w:val="both"/>
        <w:rPr>
          <w:rFonts w:cs="Arial"/>
          <w:snapToGrid w:val="0"/>
        </w:rPr>
      </w:pPr>
      <w:proofErr w:type="gramStart"/>
      <w:r>
        <w:rPr>
          <w:rFonts w:cs="Arial"/>
          <w:snapToGrid w:val="0"/>
        </w:rPr>
        <w:t>dc</w:t>
      </w:r>
      <w:proofErr w:type="gramEnd"/>
    </w:p>
    <w:sectPr w:rsidR="001C7717" w:rsidSect="00B10CF7">
      <w:footerReference w:type="even" r:id="rId8"/>
      <w:footerReference w:type="default" r:id="rId9"/>
      <w:pgSz w:w="11906" w:h="16838" w:code="9"/>
      <w:pgMar w:top="3289"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9C" w:rsidRDefault="00117B9C">
      <w:r>
        <w:separator/>
      </w:r>
    </w:p>
  </w:endnote>
  <w:endnote w:type="continuationSeparator" w:id="0">
    <w:p w:rsidR="00117B9C" w:rsidRDefault="0011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9C" w:rsidRDefault="00117B9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117B9C" w:rsidRDefault="00117B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9C" w:rsidRDefault="00117B9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1337">
      <w:rPr>
        <w:rStyle w:val="Nmerodepgina"/>
        <w:noProof/>
      </w:rPr>
      <w:t>1</w:t>
    </w:r>
    <w:r>
      <w:rPr>
        <w:rStyle w:val="Nmerodepgina"/>
      </w:rPr>
      <w:fldChar w:fldCharType="end"/>
    </w:r>
  </w:p>
  <w:p w:rsidR="00117B9C" w:rsidRDefault="00117B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9C" w:rsidRDefault="00117B9C">
      <w:r>
        <w:separator/>
      </w:r>
    </w:p>
  </w:footnote>
  <w:footnote w:type="continuationSeparator" w:id="0">
    <w:p w:rsidR="00117B9C" w:rsidRDefault="00117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3EC1"/>
    <w:multiLevelType w:val="hybridMultilevel"/>
    <w:tmpl w:val="4368485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E166E9"/>
    <w:multiLevelType w:val="hybridMultilevel"/>
    <w:tmpl w:val="9692E52A"/>
    <w:lvl w:ilvl="0" w:tplc="01B4AF9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5C9452B"/>
    <w:multiLevelType w:val="multilevel"/>
    <w:tmpl w:val="82905796"/>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3F"/>
    <w:rsid w:val="00117B9C"/>
    <w:rsid w:val="00124DA0"/>
    <w:rsid w:val="001373DE"/>
    <w:rsid w:val="001C7717"/>
    <w:rsid w:val="001D3DC6"/>
    <w:rsid w:val="002C13A1"/>
    <w:rsid w:val="004738F8"/>
    <w:rsid w:val="004F61A9"/>
    <w:rsid w:val="0051603F"/>
    <w:rsid w:val="00533F13"/>
    <w:rsid w:val="005B7042"/>
    <w:rsid w:val="006D78D0"/>
    <w:rsid w:val="00791337"/>
    <w:rsid w:val="00834606"/>
    <w:rsid w:val="00A245E5"/>
    <w:rsid w:val="00B10CF7"/>
    <w:rsid w:val="00BB67C9"/>
    <w:rsid w:val="00C37B59"/>
    <w:rsid w:val="00CB5F0E"/>
    <w:rsid w:val="00D65194"/>
    <w:rsid w:val="00D838A1"/>
    <w:rsid w:val="00DB4D88"/>
    <w:rsid w:val="00E677CD"/>
    <w:rsid w:val="00F1030E"/>
    <w:rsid w:val="00F704C9"/>
    <w:rsid w:val="00FA6F8F"/>
    <w:rsid w:val="00FC0E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rPr>
      <w:rFonts w:ascii="Arial" w:eastAsia="Times New Roman"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rsid w:val="0051603F"/>
    <w:pPr>
      <w:spacing w:line="360" w:lineRule="auto"/>
      <w:jc w:val="both"/>
    </w:pPr>
  </w:style>
  <w:style w:type="character" w:customStyle="1" w:styleId="TextoindependienteCar">
    <w:name w:val="Texto independiente Ca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1C7717"/>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1C7717"/>
    <w:rPr>
      <w:rFonts w:ascii="Bookman Old Style" w:eastAsia="Times New Roman" w:hAnsi="Bookman Old Style"/>
      <w:snapToGrid w:val="0"/>
      <w:spacing w:val="-3"/>
      <w:sz w:val="24"/>
      <w:lang w:val="es-ES_tradnl" w:eastAsia="es-ES"/>
    </w:rPr>
  </w:style>
  <w:style w:type="paragraph" w:customStyle="1" w:styleId="Encabezadodetda">
    <w:name w:val="Encabezado de tda"/>
    <w:basedOn w:val="Normal"/>
    <w:rsid w:val="001C7717"/>
    <w:pPr>
      <w:widowControl w:val="0"/>
      <w:tabs>
        <w:tab w:val="right" w:pos="9360"/>
      </w:tabs>
      <w:suppressAutoHyphens/>
    </w:pPr>
    <w:rPr>
      <w:rFonts w:ascii="Courier" w:hAnsi="Courier"/>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rPr>
      <w:rFonts w:ascii="Arial" w:eastAsia="Times New Roman"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rsid w:val="0051603F"/>
    <w:pPr>
      <w:spacing w:line="360" w:lineRule="auto"/>
      <w:jc w:val="both"/>
    </w:pPr>
  </w:style>
  <w:style w:type="character" w:customStyle="1" w:styleId="TextoindependienteCar">
    <w:name w:val="Texto independiente Car"/>
    <w:link w:val="Textoindependiente"/>
    <w:semiHidden/>
    <w:rsid w:val="0051603F"/>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1C7717"/>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1C7717"/>
    <w:rPr>
      <w:rFonts w:ascii="Bookman Old Style" w:eastAsia="Times New Roman" w:hAnsi="Bookman Old Style"/>
      <w:snapToGrid w:val="0"/>
      <w:spacing w:val="-3"/>
      <w:sz w:val="24"/>
      <w:lang w:val="es-ES_tradnl" w:eastAsia="es-ES"/>
    </w:rPr>
  </w:style>
  <w:style w:type="paragraph" w:customStyle="1" w:styleId="Encabezadodetda">
    <w:name w:val="Encabezado de tda"/>
    <w:basedOn w:val="Normal"/>
    <w:rsid w:val="001C7717"/>
    <w:pPr>
      <w:widowControl w:val="0"/>
      <w:tabs>
        <w:tab w:val="right" w:pos="9360"/>
      </w:tabs>
      <w:suppressAutoHyphens/>
    </w:pPr>
    <w:rPr>
      <w:rFonts w:ascii="Courier" w:hAnsi="Courier"/>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965</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De Souza</dc:creator>
  <cp:lastModifiedBy> </cp:lastModifiedBy>
  <cp:revision>4</cp:revision>
  <cp:lastPrinted>2016-06-29T21:05:00Z</cp:lastPrinted>
  <dcterms:created xsi:type="dcterms:W3CDTF">2016-06-29T21:06:00Z</dcterms:created>
  <dcterms:modified xsi:type="dcterms:W3CDTF">2016-10-06T17:11:00Z</dcterms:modified>
</cp:coreProperties>
</file>