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72" w:rsidRPr="00786EEB" w:rsidRDefault="00DB5972" w:rsidP="00685459">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2240</w:t>
      </w:r>
      <w:r w:rsidRPr="00786EEB">
        <w:rPr>
          <w:rFonts w:cs="Arial"/>
          <w:b/>
          <w:sz w:val="28"/>
          <w:szCs w:val="28"/>
          <w:lang w:val="es-ES_tradnl"/>
        </w:rPr>
        <w:t>/16</w:t>
      </w:r>
    </w:p>
    <w:p w:rsidR="00DB5972" w:rsidRDefault="00DB5972" w:rsidP="00685459">
      <w:pPr>
        <w:tabs>
          <w:tab w:val="center" w:pos="4253"/>
        </w:tabs>
        <w:suppressAutoHyphens/>
        <w:jc w:val="right"/>
        <w:rPr>
          <w:rFonts w:cs="Arial"/>
          <w:b/>
          <w:lang w:val="es-ES_tradnl"/>
        </w:rPr>
      </w:pPr>
    </w:p>
    <w:p w:rsidR="00DB5972" w:rsidRPr="00762B34" w:rsidRDefault="00DB5972">
      <w:pPr>
        <w:tabs>
          <w:tab w:val="center" w:pos="4253"/>
        </w:tabs>
        <w:suppressAutoHyphens/>
        <w:jc w:val="center"/>
        <w:rPr>
          <w:rFonts w:cs="Arial"/>
          <w:b/>
          <w:lang w:val="es-ES_tradnl"/>
        </w:rPr>
      </w:pPr>
      <w:r w:rsidRPr="00762B34">
        <w:rPr>
          <w:rFonts w:cs="Arial"/>
          <w:b/>
          <w:lang w:val="es-ES_tradnl"/>
        </w:rPr>
        <w:t>RESOLUCION ADOPTADA POR EL</w:t>
      </w:r>
    </w:p>
    <w:p w:rsidR="00DB5972" w:rsidRPr="00762B34" w:rsidRDefault="00DB5972">
      <w:pPr>
        <w:tabs>
          <w:tab w:val="left" w:pos="-720"/>
        </w:tabs>
        <w:suppressAutoHyphens/>
        <w:jc w:val="center"/>
        <w:rPr>
          <w:rFonts w:cs="Arial"/>
          <w:b/>
          <w:lang w:val="es-ES_tradnl"/>
        </w:rPr>
      </w:pPr>
    </w:p>
    <w:p w:rsidR="00DB5972" w:rsidRPr="00762B34" w:rsidRDefault="00DB5972">
      <w:pPr>
        <w:tabs>
          <w:tab w:val="center" w:pos="4253"/>
        </w:tabs>
        <w:suppressAutoHyphens/>
        <w:jc w:val="center"/>
        <w:rPr>
          <w:rFonts w:cs="Arial"/>
          <w:b/>
          <w:lang w:val="es-ES_tradnl"/>
        </w:rPr>
      </w:pPr>
      <w:r w:rsidRPr="00762B34">
        <w:rPr>
          <w:rFonts w:cs="Arial"/>
          <w:b/>
          <w:lang w:val="es-ES_tradnl"/>
        </w:rPr>
        <w:t>TRIBUNAL DE CUENTAS</w:t>
      </w:r>
    </w:p>
    <w:p w:rsidR="00DB5972" w:rsidRPr="00762B34" w:rsidRDefault="00DB5972">
      <w:pPr>
        <w:tabs>
          <w:tab w:val="left" w:pos="-720"/>
        </w:tabs>
        <w:suppressAutoHyphens/>
        <w:jc w:val="center"/>
        <w:rPr>
          <w:rFonts w:cs="Arial"/>
          <w:b/>
          <w:lang w:val="es-ES_tradnl"/>
        </w:rPr>
      </w:pPr>
    </w:p>
    <w:p w:rsidR="00DB5972" w:rsidRPr="00762B34" w:rsidRDefault="00DB5972">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29 DE JUNIO DE 2016</w:t>
      </w:r>
    </w:p>
    <w:p w:rsidR="00DB5972" w:rsidRPr="00762B34" w:rsidRDefault="00DB5972">
      <w:pPr>
        <w:tabs>
          <w:tab w:val="center" w:pos="4253"/>
        </w:tabs>
        <w:suppressAutoHyphens/>
        <w:jc w:val="center"/>
        <w:rPr>
          <w:rFonts w:cs="Arial"/>
          <w:b/>
          <w:lang w:val="es-ES_tradnl"/>
        </w:rPr>
      </w:pPr>
    </w:p>
    <w:p w:rsidR="00DB5972" w:rsidRPr="00685459" w:rsidRDefault="00DB5972">
      <w:pPr>
        <w:tabs>
          <w:tab w:val="center" w:pos="4253"/>
        </w:tabs>
        <w:suppressAutoHyphens/>
        <w:jc w:val="center"/>
        <w:rPr>
          <w:rFonts w:cs="Arial"/>
          <w:b/>
          <w:lang w:val="es-UY"/>
        </w:rPr>
      </w:pPr>
      <w:r w:rsidRPr="00685459">
        <w:rPr>
          <w:rFonts w:cs="Arial"/>
          <w:b/>
          <w:lang w:val="es-UY"/>
        </w:rPr>
        <w:t xml:space="preserve">(E. E. Nº 2016-17-1-0002053, </w:t>
      </w:r>
      <w:proofErr w:type="spellStart"/>
      <w:r w:rsidRPr="00685459">
        <w:rPr>
          <w:rFonts w:cs="Arial"/>
          <w:b/>
          <w:lang w:val="es-UY"/>
        </w:rPr>
        <w:t>Ent</w:t>
      </w:r>
      <w:proofErr w:type="spellEnd"/>
      <w:r w:rsidRPr="00685459">
        <w:rPr>
          <w:rFonts w:cs="Arial"/>
          <w:b/>
          <w:lang w:val="es-UY"/>
        </w:rPr>
        <w:t>. N° 1601/16)</w:t>
      </w:r>
    </w:p>
    <w:p w:rsidR="00DB5972" w:rsidRDefault="00DB5972" w:rsidP="00EB0D3F">
      <w:pPr>
        <w:spacing w:line="360" w:lineRule="auto"/>
        <w:ind w:firstLine="851"/>
        <w:jc w:val="both"/>
        <w:rPr>
          <w:rFonts w:cs="Arial"/>
          <w:b/>
        </w:rPr>
      </w:pPr>
    </w:p>
    <w:p w:rsidR="00DB5972" w:rsidRDefault="00DB5972" w:rsidP="00EB0D3F">
      <w:pPr>
        <w:spacing w:line="360" w:lineRule="auto"/>
        <w:ind w:firstLine="851"/>
        <w:jc w:val="both"/>
        <w:rPr>
          <w:rFonts w:cs="Arial"/>
          <w:b/>
        </w:rPr>
      </w:pPr>
    </w:p>
    <w:p w:rsidR="00EB0D3F" w:rsidRDefault="00EB0D3F" w:rsidP="00EB0D3F">
      <w:pPr>
        <w:spacing w:line="360" w:lineRule="auto"/>
        <w:ind w:firstLine="851"/>
        <w:jc w:val="both"/>
        <w:rPr>
          <w:rFonts w:cs="Arial"/>
        </w:rPr>
      </w:pPr>
      <w:r>
        <w:rPr>
          <w:rFonts w:cs="Arial"/>
          <w:b/>
        </w:rPr>
        <w:t>VISTO:</w:t>
      </w:r>
      <w:r>
        <w:rPr>
          <w:rFonts w:cs="Arial"/>
        </w:rPr>
        <w:t xml:space="preserve"> la Rendición de Cuentas y Balance de Ejecución Presupuestal de la Junta Departamental de Rivera correspondiente al Ejercicio 2015;</w:t>
      </w:r>
    </w:p>
    <w:p w:rsidR="00EB0D3F" w:rsidRDefault="00EB0D3F" w:rsidP="00EB0D3F">
      <w:pPr>
        <w:spacing w:line="360" w:lineRule="auto"/>
        <w:ind w:firstLine="851"/>
        <w:jc w:val="both"/>
        <w:rPr>
          <w:rFonts w:cs="Arial"/>
        </w:rPr>
      </w:pPr>
      <w:r>
        <w:rPr>
          <w:rFonts w:cs="Arial"/>
          <w:b/>
        </w:rPr>
        <w:t xml:space="preserve">RESULTANDO: </w:t>
      </w:r>
      <w:r w:rsidRPr="00304109">
        <w:rPr>
          <w:rFonts w:cs="Arial"/>
        </w:rPr>
        <w:t>que el examen se efectuó de acuerdo con los Principios Fundamentales de Auditor</w:t>
      </w:r>
      <w:r>
        <w:rPr>
          <w:rFonts w:cs="Arial"/>
        </w:rPr>
        <w:t>í</w:t>
      </w:r>
      <w:r w:rsidRPr="00304109">
        <w:rPr>
          <w:rFonts w:cs="Arial"/>
        </w:rPr>
        <w:t>a (ISSAI 100 y 200) y las Directrices de Auditor</w:t>
      </w:r>
      <w:r>
        <w:rPr>
          <w:rFonts w:cs="Arial"/>
        </w:rPr>
        <w:t>í</w:t>
      </w:r>
      <w:r w:rsidRPr="00304109">
        <w:rPr>
          <w:rFonts w:cs="Arial"/>
        </w:rPr>
        <w:t>a Financiera (ISSAI 1000 a 1810)  de la Organización Internacional de Entidades Fiscalizadoras Superiores (INTOSAI), habiéndose llevado a cabo los procedimientos considerados necesarios en las circunstancias;</w:t>
      </w:r>
    </w:p>
    <w:p w:rsidR="00EB0D3F" w:rsidRDefault="00EB0D3F" w:rsidP="009A0F77">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EB0D3F" w:rsidRDefault="00EB0D3F" w:rsidP="00685459">
      <w:pPr>
        <w:spacing w:line="360" w:lineRule="auto"/>
        <w:ind w:firstLine="851"/>
      </w:pPr>
      <w:r>
        <w:rPr>
          <w:b/>
        </w:rPr>
        <w:t xml:space="preserve">ATENTO: </w:t>
      </w:r>
      <w:r>
        <w:t>a lo dispuesto por el Artículo 211 Literal C) de la Constitución de la República;</w:t>
      </w:r>
    </w:p>
    <w:p w:rsidR="00EB0D3F" w:rsidRDefault="00EB0D3F" w:rsidP="00EB0D3F">
      <w:pPr>
        <w:pStyle w:val="Textoindependiente"/>
        <w:jc w:val="center"/>
        <w:rPr>
          <w:b/>
          <w:bCs/>
        </w:rPr>
      </w:pPr>
      <w:r>
        <w:rPr>
          <w:b/>
          <w:bCs/>
        </w:rPr>
        <w:t>EL TRIBUNAL ACUERDA</w:t>
      </w:r>
    </w:p>
    <w:p w:rsidR="00EB0D3F" w:rsidRDefault="00EB0D3F" w:rsidP="00EB0D3F">
      <w:pPr>
        <w:numPr>
          <w:ilvl w:val="0"/>
          <w:numId w:val="1"/>
        </w:numPr>
        <w:spacing w:line="360" w:lineRule="auto"/>
        <w:jc w:val="both"/>
        <w:rPr>
          <w:rFonts w:cs="Arial"/>
        </w:rPr>
      </w:pPr>
      <w:r>
        <w:rPr>
          <w:rFonts w:cs="Arial"/>
        </w:rPr>
        <w:t>Expedirse en los términos del Informe de Auditoría que se adjunta;</w:t>
      </w:r>
    </w:p>
    <w:p w:rsidR="00EB0D3F" w:rsidRDefault="00EB0D3F" w:rsidP="00EB0D3F">
      <w:pPr>
        <w:numPr>
          <w:ilvl w:val="0"/>
          <w:numId w:val="1"/>
        </w:numPr>
        <w:spacing w:line="360" w:lineRule="auto"/>
        <w:jc w:val="both"/>
        <w:rPr>
          <w:rFonts w:cs="Arial"/>
        </w:rPr>
      </w:pPr>
      <w:r>
        <w:rPr>
          <w:rFonts w:cs="Arial"/>
        </w:rPr>
        <w:t>Comunicar la presente Resolución a la Junta Departamental, a la Intendencia de Rivera  y al Contador Delegado;</w:t>
      </w:r>
    </w:p>
    <w:p w:rsidR="00EB0D3F" w:rsidRDefault="00EB0D3F" w:rsidP="00EB0D3F">
      <w:pPr>
        <w:numPr>
          <w:ilvl w:val="0"/>
          <w:numId w:val="1"/>
        </w:numPr>
        <w:spacing w:line="360" w:lineRule="auto"/>
        <w:jc w:val="both"/>
        <w:rPr>
          <w:rFonts w:cs="Arial"/>
        </w:rPr>
      </w:pPr>
      <w:r>
        <w:rPr>
          <w:rFonts w:cs="Arial"/>
        </w:rPr>
        <w:t>Dar cuenta a la Asamblea General</w:t>
      </w:r>
      <w:r w:rsidR="003B5F67">
        <w:rPr>
          <w:rFonts w:cs="Arial"/>
        </w:rPr>
        <w:t>; y</w:t>
      </w:r>
    </w:p>
    <w:p w:rsidR="003B5F67" w:rsidRDefault="003B5F67" w:rsidP="00EB0D3F">
      <w:pPr>
        <w:numPr>
          <w:ilvl w:val="0"/>
          <w:numId w:val="1"/>
        </w:numPr>
        <w:spacing w:line="360" w:lineRule="auto"/>
        <w:jc w:val="both"/>
        <w:rPr>
          <w:rFonts w:cs="Arial"/>
        </w:rPr>
      </w:pPr>
      <w:r>
        <w:rPr>
          <w:rFonts w:cs="Arial"/>
        </w:rPr>
        <w:t>Devuélvase.</w:t>
      </w:r>
    </w:p>
    <w:p w:rsidR="004D01BB" w:rsidRDefault="004D01BB" w:rsidP="004D01BB">
      <w:pPr>
        <w:spacing w:line="360" w:lineRule="auto"/>
        <w:rPr>
          <w:rFonts w:cs="Arial"/>
        </w:rPr>
      </w:pPr>
    </w:p>
    <w:p w:rsidR="00C6685C" w:rsidRDefault="00C6685C" w:rsidP="004D01BB">
      <w:pPr>
        <w:spacing w:line="360" w:lineRule="auto"/>
        <w:rPr>
          <w:rFonts w:cs="Arial"/>
        </w:rPr>
      </w:pPr>
    </w:p>
    <w:p w:rsidR="00C6685C" w:rsidRDefault="00C6685C" w:rsidP="004D01BB">
      <w:pPr>
        <w:spacing w:line="360" w:lineRule="auto"/>
        <w:rPr>
          <w:rFonts w:cs="Arial"/>
        </w:rPr>
      </w:pPr>
    </w:p>
    <w:p w:rsidR="00C6685C" w:rsidRPr="00A64F9C" w:rsidRDefault="00C6685C" w:rsidP="00685459">
      <w:pPr>
        <w:pStyle w:val="Ttulo1"/>
        <w:jc w:val="center"/>
      </w:pPr>
      <w:bookmarkStart w:id="1" w:name="_Toc390872929"/>
      <w:r w:rsidRPr="00A64F9C">
        <w:lastRenderedPageBreak/>
        <w:t>DICTAMEN</w:t>
      </w:r>
      <w:bookmarkEnd w:id="1"/>
    </w:p>
    <w:p w:rsidR="00C6685C" w:rsidRDefault="00C6685C" w:rsidP="00685459">
      <w:pPr>
        <w:pStyle w:val="Subttulo"/>
        <w:rPr>
          <w:rFonts w:ascii="Arial" w:hAnsi="Arial" w:cs="Arial"/>
          <w:b w:val="0"/>
        </w:rPr>
      </w:pPr>
      <w:r>
        <w:rPr>
          <w:rFonts w:ascii="Arial" w:hAnsi="Arial" w:cs="Arial"/>
          <w:b w:val="0"/>
        </w:rPr>
        <w:t xml:space="preserve"> </w:t>
      </w:r>
    </w:p>
    <w:p w:rsidR="00C6685C" w:rsidRDefault="00C6685C" w:rsidP="00685459">
      <w:pPr>
        <w:pStyle w:val="Subttulo"/>
        <w:rPr>
          <w:rFonts w:ascii="Arial" w:hAnsi="Arial" w:cs="Arial"/>
          <w:b w:val="0"/>
        </w:rPr>
      </w:pPr>
      <w:r>
        <w:rPr>
          <w:rFonts w:ascii="Arial" w:hAnsi="Arial" w:cs="Arial"/>
          <w:b w:val="0"/>
        </w:rPr>
        <w:t>El Tribunal de Cuentas ha examinado la Rendición de Cuentas y el Balance de Ejecución Presupuestal de la Junta Departamental de Rivera, que comprenden siguientes Estados: de ejecución presupuestal con relación a los créditos, de evolución de las obligaciones presupuestales impagas, de fondos indisponibles y otros estados complementarios por el ejercicio finalizado el 31 de diciembre de 2015.</w:t>
      </w:r>
    </w:p>
    <w:p w:rsidR="00C6685C" w:rsidRPr="00D41F8C" w:rsidRDefault="00C6685C" w:rsidP="00685459">
      <w:pPr>
        <w:spacing w:line="360" w:lineRule="auto"/>
        <w:jc w:val="both"/>
        <w:rPr>
          <w:rFonts w:cs="Arial"/>
        </w:rPr>
      </w:pPr>
      <w:r>
        <w:rPr>
          <w:rFonts w:cs="Arial"/>
        </w:rPr>
        <w:t>También se presentan, en caso de corresponder, los incumplimientos legales constatados por el Tribunal de Cuentas en el curso de la auditoría efectuada.</w:t>
      </w:r>
    </w:p>
    <w:p w:rsidR="00C6685C" w:rsidRDefault="00C6685C" w:rsidP="00685459">
      <w:pPr>
        <w:pStyle w:val="Subttulo"/>
        <w:rPr>
          <w:rFonts w:cs="Arial"/>
        </w:rPr>
      </w:pPr>
      <w:r>
        <w:rPr>
          <w:rFonts w:ascii="Arial" w:hAnsi="Arial" w:cs="Arial"/>
          <w:b w:val="0"/>
        </w:rPr>
        <w:t xml:space="preserve"> </w:t>
      </w:r>
    </w:p>
    <w:p w:rsidR="00C6685C" w:rsidRDefault="00C6685C" w:rsidP="00685459">
      <w:pPr>
        <w:pStyle w:val="Subttulo"/>
        <w:rPr>
          <w:rFonts w:ascii="Arial" w:hAnsi="Arial" w:cs="Arial"/>
          <w:bCs/>
        </w:rPr>
      </w:pPr>
      <w:r>
        <w:rPr>
          <w:rFonts w:ascii="Arial" w:hAnsi="Arial" w:cs="Arial"/>
          <w:bCs/>
        </w:rPr>
        <w:t>Responsabilidad de la Junta Departamental</w:t>
      </w:r>
    </w:p>
    <w:p w:rsidR="00C6685C" w:rsidRDefault="00C6685C" w:rsidP="00685459">
      <w:pPr>
        <w:spacing w:line="360" w:lineRule="auto"/>
        <w:jc w:val="both"/>
        <w:rPr>
          <w:rFonts w:cs="Arial"/>
        </w:rPr>
      </w:pPr>
      <w:r>
        <w:rPr>
          <w:rFonts w:cs="Arial"/>
        </w:rPr>
        <w:t>La Junta Departamental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C6685C" w:rsidRDefault="00C6685C" w:rsidP="00685459">
      <w:pPr>
        <w:rPr>
          <w:rFonts w:cs="Arial"/>
        </w:rPr>
      </w:pPr>
    </w:p>
    <w:p w:rsidR="00C6685C" w:rsidRDefault="00C6685C" w:rsidP="00685459">
      <w:pPr>
        <w:pStyle w:val="Subttulo"/>
        <w:rPr>
          <w:rFonts w:ascii="Arial" w:hAnsi="Arial" w:cs="Arial"/>
          <w:bCs/>
        </w:rPr>
      </w:pPr>
      <w:r>
        <w:rPr>
          <w:rFonts w:ascii="Arial" w:hAnsi="Arial" w:cs="Arial"/>
          <w:bCs/>
        </w:rPr>
        <w:t>Responsabilidad del Auditor</w:t>
      </w:r>
    </w:p>
    <w:p w:rsidR="00C6685C" w:rsidRDefault="00C6685C" w:rsidP="00685459">
      <w:pPr>
        <w:pStyle w:val="Subttulo"/>
        <w:rPr>
          <w:rFonts w:ascii="Arial" w:hAnsi="Arial"/>
          <w:b w:val="0"/>
        </w:rPr>
      </w:pPr>
      <w:r>
        <w:rPr>
          <w:rFonts w:ascii="Arial" w:hAnsi="Arial" w:cs="Arial"/>
          <w:b w:val="0"/>
        </w:rPr>
        <w:t>La responsabilidad del Tribunal de Cuentas es expresar una opinión sobre dichos estados basada en la auditoría realizada</w:t>
      </w:r>
      <w:r w:rsidRPr="00DC0385">
        <w:rPr>
          <w:rFonts w:ascii="Arial" w:hAnsi="Arial" w:cs="Arial"/>
          <w:b w:val="0"/>
          <w:shd w:val="clear" w:color="auto" w:fill="FFFFFF"/>
        </w:rPr>
        <w:t xml:space="preserve">. </w:t>
      </w:r>
      <w:r>
        <w:rPr>
          <w:rFonts w:ascii="Arial" w:hAnsi="Arial"/>
          <w:b w:val="0"/>
          <w:shd w:val="clear" w:color="auto" w:fill="FFFFFF"/>
        </w:rPr>
        <w:t>Esta auditorí</w:t>
      </w:r>
      <w:r w:rsidRPr="00DC0385">
        <w:rPr>
          <w:rFonts w:ascii="Arial" w:hAnsi="Arial"/>
          <w:b w:val="0"/>
          <w:shd w:val="clear" w:color="auto" w:fill="FFFFFF"/>
        </w:rPr>
        <w:t>a fue practicada de acuerdo con los Prin</w:t>
      </w:r>
      <w:r>
        <w:rPr>
          <w:rFonts w:ascii="Arial" w:hAnsi="Arial"/>
          <w:b w:val="0"/>
          <w:shd w:val="clear" w:color="auto" w:fill="FFFFFF"/>
        </w:rPr>
        <w:t>cipios Fundamentales de Auditorí</w:t>
      </w:r>
      <w:r w:rsidRPr="00DC0385">
        <w:rPr>
          <w:rFonts w:ascii="Arial" w:hAnsi="Arial"/>
          <w:b w:val="0"/>
          <w:shd w:val="clear" w:color="auto" w:fill="FFFFFF"/>
        </w:rPr>
        <w:t>a (ISSAI 100</w:t>
      </w:r>
      <w:r>
        <w:rPr>
          <w:rFonts w:ascii="Arial" w:hAnsi="Arial"/>
          <w:b w:val="0"/>
          <w:shd w:val="clear" w:color="auto" w:fill="FFFFFF"/>
        </w:rPr>
        <w:t xml:space="preserve"> y</w:t>
      </w:r>
      <w:r w:rsidRPr="00DC0385">
        <w:rPr>
          <w:rFonts w:ascii="Arial" w:hAnsi="Arial"/>
          <w:b w:val="0"/>
          <w:shd w:val="clear" w:color="auto" w:fill="FFFFFF"/>
        </w:rPr>
        <w:t xml:space="preserve"> 200</w:t>
      </w:r>
      <w:r>
        <w:rPr>
          <w:rFonts w:ascii="Arial" w:hAnsi="Arial"/>
          <w:b w:val="0"/>
          <w:shd w:val="clear" w:color="auto" w:fill="FFFFFF"/>
        </w:rPr>
        <w:t>) y las Directrices de Auditorí</w:t>
      </w:r>
      <w:r w:rsidRPr="00DC0385">
        <w:rPr>
          <w:rFonts w:ascii="Arial" w:hAnsi="Arial"/>
          <w:b w:val="0"/>
          <w:shd w:val="clear" w:color="auto" w:fill="FFFFFF"/>
        </w:rPr>
        <w:t xml:space="preserve">a Financiera (ISSAI 1000 a </w:t>
      </w:r>
      <w:r>
        <w:rPr>
          <w:rFonts w:ascii="Arial" w:hAnsi="Arial"/>
          <w:b w:val="0"/>
          <w:shd w:val="clear" w:color="auto" w:fill="FFFFFF"/>
        </w:rPr>
        <w:t>1810</w:t>
      </w:r>
      <w:r w:rsidRPr="00DC0385">
        <w:rPr>
          <w:rFonts w:ascii="Arial" w:hAnsi="Arial"/>
          <w:b w:val="0"/>
          <w:shd w:val="clear" w:color="auto" w:fill="FFFFFF"/>
        </w:rPr>
        <w:t>) de la Organización Internacional de Entidades Fiscalizadoras Superiores (INTOSAI).</w:t>
      </w:r>
      <w:r>
        <w:rPr>
          <w:rFonts w:ascii="Arial" w:hAnsi="Arial"/>
          <w:b w:val="0"/>
        </w:rPr>
        <w:t xml:space="preserve"> Estas normas requieren que se cumpla con requisitos éticos, se planifique y se realice la auditoría para obtener seguridad razonable acerca de si los estados están libres de errores significativos.</w:t>
      </w:r>
    </w:p>
    <w:p w:rsidR="00C6685C" w:rsidRPr="0020103B" w:rsidRDefault="00C6685C" w:rsidP="00685459">
      <w:pPr>
        <w:pStyle w:val="Textoindependiente"/>
        <w:rPr>
          <w:lang w:eastAsia="ar-SA"/>
        </w:rPr>
      </w:pPr>
    </w:p>
    <w:p w:rsidR="00C6685C" w:rsidRDefault="00C6685C" w:rsidP="00685459">
      <w:pPr>
        <w:pStyle w:val="Subttulo"/>
        <w:rPr>
          <w:rFonts w:ascii="Arial" w:hAnsi="Arial" w:cs="Arial"/>
          <w:b w:val="0"/>
        </w:rPr>
      </w:pPr>
      <w:r>
        <w:rPr>
          <w:rFonts w:ascii="Arial" w:hAnsi="Arial"/>
          <w:b w:val="0"/>
        </w:rPr>
        <w:t>Una auditoría implica realizar procedimientos para obtener evidencia acerca de los montos contables.</w:t>
      </w:r>
      <w:r>
        <w:rPr>
          <w:rFonts w:ascii="Arial" w:hAnsi="Arial" w:cs="Arial"/>
          <w:b w:val="0"/>
        </w:rPr>
        <w:t xml:space="preserve">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Junta Departamental de Rivera, así como evaluar la presentación general de los estados.</w:t>
      </w:r>
    </w:p>
    <w:p w:rsidR="00C6685C" w:rsidRDefault="00C6685C" w:rsidP="00685459">
      <w:pPr>
        <w:spacing w:line="360" w:lineRule="auto"/>
        <w:rPr>
          <w:rFonts w:cs="Arial"/>
        </w:rPr>
      </w:pPr>
      <w:r>
        <w:rPr>
          <w:rFonts w:cs="Arial"/>
        </w:rPr>
        <w:t>Se considera que la evidencia de auditoría obtenida brinda una base suficiente y apropiada para sustentar la opinión.</w:t>
      </w:r>
    </w:p>
    <w:p w:rsidR="00C6685C" w:rsidRDefault="00C6685C" w:rsidP="00685459">
      <w:pPr>
        <w:rPr>
          <w:rFonts w:cs="Arial"/>
          <w:bCs/>
        </w:rPr>
      </w:pPr>
    </w:p>
    <w:p w:rsidR="00C6685C" w:rsidRDefault="00C6685C" w:rsidP="00685459">
      <w:pPr>
        <w:pStyle w:val="Textoindependiente"/>
        <w:rPr>
          <w:rFonts w:cs="Arial"/>
          <w:b/>
          <w:bCs/>
        </w:rPr>
      </w:pPr>
      <w:r>
        <w:rPr>
          <w:rFonts w:cs="Arial"/>
          <w:b/>
          <w:bCs/>
        </w:rPr>
        <w:t>Opinión</w:t>
      </w:r>
    </w:p>
    <w:p w:rsidR="00C6685C" w:rsidRDefault="00C6685C" w:rsidP="00685459">
      <w:pPr>
        <w:spacing w:line="360" w:lineRule="auto"/>
        <w:jc w:val="both"/>
        <w:rPr>
          <w:rFonts w:cs="Arial"/>
        </w:rPr>
      </w:pPr>
      <w:r>
        <w:rPr>
          <w:rFonts w:cs="Arial"/>
        </w:rPr>
        <w:t>En opinión del Tribunal de Cuentas, los estados mencionados presentan razonablemente, en todos sus aspectos importantes, la ejecución presupuestal de la Junta Departamental de Rivera correspondiente al ejercicio finalizado el 31 de diciembre de 2015, la evolución de las obligaciones presupuestales impagas y de los fondos indisponibles de acuerdo con las normas establecidas en el TOCAF y la Resolución de este Tribunal de fecha 28 de enero de 2004.</w:t>
      </w:r>
    </w:p>
    <w:p w:rsidR="00C6685C" w:rsidRDefault="00C6685C" w:rsidP="00685459">
      <w:pPr>
        <w:spacing w:line="360" w:lineRule="auto"/>
        <w:jc w:val="both"/>
        <w:rPr>
          <w:rFonts w:cs="Arial"/>
        </w:rPr>
      </w:pPr>
      <w:r>
        <w:rPr>
          <w:rFonts w:cs="Arial"/>
        </w:rPr>
        <w:t xml:space="preserve">Con relación a la normativa vigente, en el curso de la auditoría realizada se han constatado </w:t>
      </w:r>
      <w:r w:rsidR="00685459">
        <w:rPr>
          <w:rFonts w:cs="Arial"/>
        </w:rPr>
        <w:t>los siguientes incumplimientos:</w:t>
      </w:r>
    </w:p>
    <w:p w:rsidR="00C6685C" w:rsidRDefault="00C6685C" w:rsidP="00685459">
      <w:pPr>
        <w:rPr>
          <w:rFonts w:cs="Arial"/>
        </w:rPr>
      </w:pPr>
      <w:r>
        <w:rPr>
          <w:rFonts w:cs="Arial"/>
        </w:rPr>
        <w:t xml:space="preserve"> </w:t>
      </w:r>
    </w:p>
    <w:p w:rsidR="00C6685C" w:rsidRDefault="00C6685C" w:rsidP="00685459">
      <w:pPr>
        <w:spacing w:line="360" w:lineRule="auto"/>
        <w:jc w:val="both"/>
        <w:rPr>
          <w:rFonts w:cs="Arial"/>
        </w:rPr>
      </w:pPr>
      <w:r>
        <w:rPr>
          <w:rFonts w:cs="Arial"/>
          <w:b/>
        </w:rPr>
        <w:t xml:space="preserve">1.- </w:t>
      </w:r>
      <w:r w:rsidRPr="00C03938">
        <w:rPr>
          <w:rFonts w:cs="Arial"/>
          <w:b/>
        </w:rPr>
        <w:t>Artículo 86 de la Constitución de la República:</w:t>
      </w:r>
      <w:r w:rsidRPr="001654A4">
        <w:rPr>
          <w:rFonts w:cs="Arial"/>
        </w:rPr>
        <w:t xml:space="preserve"> </w:t>
      </w:r>
      <w:r>
        <w:rPr>
          <w:rFonts w:cs="Arial"/>
        </w:rPr>
        <w:t>Se realizaron g</w:t>
      </w:r>
      <w:r w:rsidRPr="001654A4">
        <w:rPr>
          <w:rFonts w:cs="Arial"/>
        </w:rPr>
        <w:t>astos no previstos en el Presupuesto</w:t>
      </w:r>
      <w:r>
        <w:rPr>
          <w:rFonts w:cs="Arial"/>
        </w:rPr>
        <w:t>.</w:t>
      </w:r>
    </w:p>
    <w:p w:rsidR="00C6685C" w:rsidRDefault="00C6685C" w:rsidP="00685459">
      <w:pPr>
        <w:spacing w:line="360" w:lineRule="auto"/>
        <w:jc w:val="both"/>
        <w:rPr>
          <w:rFonts w:cs="Arial"/>
          <w:snapToGrid w:val="0"/>
          <w:spacing w:val="-3"/>
          <w:lang w:val="es-ES_tradnl"/>
        </w:rPr>
      </w:pPr>
      <w:r>
        <w:rPr>
          <w:rFonts w:cs="Arial"/>
          <w:b/>
        </w:rPr>
        <w:t xml:space="preserve">2.- </w:t>
      </w:r>
      <w:r w:rsidRPr="009C2F68">
        <w:rPr>
          <w:rFonts w:cs="Arial"/>
          <w:b/>
        </w:rPr>
        <w:t xml:space="preserve">Artículo 295 de la Constitución de la República y Resolución de fecha 22/12/10: </w:t>
      </w:r>
      <w:r w:rsidRPr="009C2F68">
        <w:rPr>
          <w:rFonts w:cs="Arial"/>
          <w:snapToGrid w:val="0"/>
          <w:spacing w:val="-3"/>
          <w:lang w:val="es-ES_tradnl"/>
        </w:rPr>
        <w:t>En oportunidad de examinarse la Modificación Presupuestal para lo</w:t>
      </w:r>
      <w:r w:rsidRPr="00E41BF3">
        <w:rPr>
          <w:rFonts w:cs="Arial"/>
          <w:snapToGrid w:val="0"/>
          <w:spacing w:val="-3"/>
          <w:lang w:val="es-ES_tradnl"/>
        </w:rPr>
        <w:t>s Ejercicios 201</w:t>
      </w:r>
      <w:r>
        <w:rPr>
          <w:rFonts w:cs="Arial"/>
          <w:snapToGrid w:val="0"/>
          <w:spacing w:val="-3"/>
          <w:lang w:val="es-ES_tradnl"/>
        </w:rPr>
        <w:t>4</w:t>
      </w:r>
      <w:r w:rsidRPr="00E41BF3">
        <w:rPr>
          <w:rFonts w:cs="Arial"/>
          <w:snapToGrid w:val="0"/>
          <w:spacing w:val="-3"/>
          <w:lang w:val="es-ES_tradnl"/>
        </w:rPr>
        <w:t xml:space="preserve"> – 2015  este Tribunal </w:t>
      </w:r>
      <w:r>
        <w:rPr>
          <w:rFonts w:cs="Arial"/>
          <w:snapToGrid w:val="0"/>
          <w:spacing w:val="-3"/>
          <w:lang w:val="es-ES_tradnl"/>
        </w:rPr>
        <w:t>en Resolución de f</w:t>
      </w:r>
      <w:r w:rsidRPr="00E41BF3">
        <w:rPr>
          <w:rFonts w:cs="Arial"/>
          <w:snapToGrid w:val="0"/>
          <w:spacing w:val="-3"/>
          <w:lang w:val="es-ES_tradnl"/>
        </w:rPr>
        <w:t xml:space="preserve">echa </w:t>
      </w:r>
      <w:r>
        <w:rPr>
          <w:rFonts w:cs="Arial"/>
          <w:snapToGrid w:val="0"/>
          <w:spacing w:val="-3"/>
          <w:lang w:val="es-ES_tradnl"/>
        </w:rPr>
        <w:t>30</w:t>
      </w:r>
      <w:r w:rsidRPr="00070EE9">
        <w:rPr>
          <w:rFonts w:cs="Arial"/>
          <w:snapToGrid w:val="0"/>
          <w:spacing w:val="-3"/>
          <w:lang w:val="es-ES_tradnl"/>
        </w:rPr>
        <w:t>/0</w:t>
      </w:r>
      <w:r>
        <w:rPr>
          <w:rFonts w:cs="Arial"/>
          <w:snapToGrid w:val="0"/>
          <w:spacing w:val="-3"/>
          <w:lang w:val="es-ES_tradnl"/>
        </w:rPr>
        <w:t>4</w:t>
      </w:r>
      <w:r w:rsidRPr="00070EE9">
        <w:rPr>
          <w:rFonts w:cs="Arial"/>
          <w:snapToGrid w:val="0"/>
          <w:spacing w:val="-3"/>
          <w:lang w:val="es-ES_tradnl"/>
        </w:rPr>
        <w:t>/1</w:t>
      </w:r>
      <w:r>
        <w:rPr>
          <w:rFonts w:cs="Arial"/>
          <w:snapToGrid w:val="0"/>
          <w:spacing w:val="-3"/>
          <w:lang w:val="es-ES_tradnl"/>
        </w:rPr>
        <w:t>4</w:t>
      </w:r>
      <w:r w:rsidRPr="00E41BF3">
        <w:rPr>
          <w:rFonts w:cs="Arial"/>
          <w:snapToGrid w:val="0"/>
          <w:spacing w:val="-3"/>
          <w:lang w:val="es-ES_tradnl"/>
        </w:rPr>
        <w:t>, mantuvo las siguientes observaciones</w:t>
      </w:r>
      <w:r>
        <w:rPr>
          <w:rFonts w:cs="Arial"/>
          <w:snapToGrid w:val="0"/>
          <w:spacing w:val="-3"/>
          <w:lang w:val="es-ES_tradnl"/>
        </w:rPr>
        <w:t xml:space="preserve"> las cuales se repiten desde ejercicios anteriores</w:t>
      </w:r>
      <w:r w:rsidRPr="00E41BF3">
        <w:rPr>
          <w:rFonts w:cs="Arial"/>
          <w:snapToGrid w:val="0"/>
          <w:spacing w:val="-3"/>
          <w:lang w:val="es-ES_tradnl"/>
        </w:rPr>
        <w:t xml:space="preserve">:  </w:t>
      </w:r>
    </w:p>
    <w:p w:rsidR="00C6685C" w:rsidRDefault="00C6685C" w:rsidP="00685459">
      <w:pPr>
        <w:spacing w:line="360" w:lineRule="auto"/>
        <w:jc w:val="both"/>
        <w:rPr>
          <w:rFonts w:cs="Arial"/>
          <w:snapToGrid w:val="0"/>
          <w:spacing w:val="-3"/>
          <w:lang w:val="es-ES_tradnl"/>
        </w:rPr>
      </w:pPr>
      <w:r w:rsidRPr="00E41BF3">
        <w:rPr>
          <w:rFonts w:cs="Arial"/>
          <w:snapToGrid w:val="0"/>
          <w:spacing w:val="-3"/>
          <w:lang w:val="es-ES_tradnl"/>
        </w:rPr>
        <w:t>- Las normas presupuestales que se mantienen vigentes respecto al reintegro del gasto de combustible previsto en los Artículos 13 y 14 (Modificación Presupuestal 2012-2015 y su Anexo I - Reglamento para el Reintegro de Gastos de Combustibles y Telefonía a Ediles</w:t>
      </w:r>
      <w:r>
        <w:rPr>
          <w:rFonts w:cs="Arial"/>
          <w:snapToGrid w:val="0"/>
          <w:spacing w:val="-3"/>
          <w:lang w:val="es-ES_tradnl"/>
        </w:rPr>
        <w:t xml:space="preserve">, así como las modificaciones que se introducen en la oportunidad, que fijan en $24.000 por banca, </w:t>
      </w:r>
      <w:r w:rsidRPr="00E41BF3">
        <w:rPr>
          <w:rFonts w:cs="Arial"/>
          <w:snapToGrid w:val="0"/>
          <w:spacing w:val="-3"/>
          <w:lang w:val="es-ES_tradnl"/>
        </w:rPr>
        <w:t xml:space="preserve">al estar previsto el mismo como partida mensual y no exigirse rendición de cuentas documentada, reviste naturaleza retributiva resultando violatoria de lo establecido por el Artículo 295 de </w:t>
      </w:r>
      <w:r>
        <w:rPr>
          <w:rFonts w:cs="Arial"/>
          <w:snapToGrid w:val="0"/>
          <w:spacing w:val="-3"/>
          <w:lang w:val="es-ES_tradnl"/>
        </w:rPr>
        <w:t>la Constitución de la República y también contraviene lo establecido en la Resolución de este Tribunal de fecha 22/12/2010.</w:t>
      </w:r>
    </w:p>
    <w:p w:rsidR="00C6685C" w:rsidRPr="00E41BF3" w:rsidRDefault="00C6685C" w:rsidP="00685459">
      <w:pPr>
        <w:spacing w:line="360" w:lineRule="auto"/>
        <w:jc w:val="both"/>
        <w:rPr>
          <w:rFonts w:cs="Arial"/>
          <w:snapToGrid w:val="0"/>
          <w:spacing w:val="-3"/>
          <w:lang w:val="es-ES_tradnl"/>
        </w:rPr>
      </w:pPr>
      <w:r w:rsidRPr="00E41BF3">
        <w:rPr>
          <w:rFonts w:cs="Arial"/>
          <w:snapToGrid w:val="0"/>
          <w:spacing w:val="-3"/>
          <w:lang w:val="es-ES_tradnl"/>
        </w:rPr>
        <w:t>- Además la norma presupuestal que se mantiene vigente, referente a las partidas para viáticos previstas en el Reglamento General de Viáticos de 06/05/06 (con las modificaciones introducidas con fecha 23/09/09 y por el Artículo 16 de la Modificación Presupuestal 2012-2015), no se ajustan a lo dispuesto en el Punto 1.4 de la Resolución de este Tribunal de fecha 22/12/10, por cuanto para la percepción de las mismas no se exige declaración jurada detallando como mínimo las fechas en las que asistió a sesión de la Junta o de sus Comisiones, así como las fechas y lugares a los que concurrió en c</w:t>
      </w:r>
      <w:r w:rsidR="00685459">
        <w:rPr>
          <w:rFonts w:cs="Arial"/>
          <w:snapToGrid w:val="0"/>
          <w:spacing w:val="-3"/>
          <w:lang w:val="es-ES_tradnl"/>
        </w:rPr>
        <w:t>umplimiento de otras funciones.</w:t>
      </w:r>
    </w:p>
    <w:p w:rsidR="00C6685C" w:rsidRDefault="00C6685C" w:rsidP="00685459">
      <w:pPr>
        <w:spacing w:line="360" w:lineRule="auto"/>
        <w:jc w:val="both"/>
        <w:rPr>
          <w:rFonts w:cs="Arial"/>
          <w:snapToGrid w:val="0"/>
          <w:spacing w:val="-3"/>
          <w:lang w:val="es-ES_tradnl"/>
        </w:rPr>
      </w:pPr>
      <w:r w:rsidRPr="00E41BF3">
        <w:rPr>
          <w:rFonts w:cs="Arial"/>
          <w:snapToGrid w:val="0"/>
          <w:spacing w:val="-3"/>
          <w:lang w:val="es-ES_tradnl"/>
        </w:rPr>
        <w:tab/>
        <w:t>Las observaciones efectuadas no fueron aceptadas por la Junta Departamental, remitiendo los antecedentes a la Asamblea General, conforme al procedimiento establecido en el Artículo 225 de la Constitución de la República.  Por</w:t>
      </w:r>
      <w:r w:rsidRPr="00142445">
        <w:t xml:space="preserve"> </w:t>
      </w:r>
      <w:r w:rsidRPr="00E41BF3">
        <w:rPr>
          <w:rFonts w:cs="Arial"/>
          <w:snapToGrid w:val="0"/>
          <w:spacing w:val="-3"/>
          <w:lang w:val="es-ES_tradnl"/>
        </w:rPr>
        <w:t xml:space="preserve">Oficio Nº </w:t>
      </w:r>
      <w:r>
        <w:rPr>
          <w:rFonts w:cs="Arial"/>
          <w:snapToGrid w:val="0"/>
          <w:spacing w:val="-3"/>
          <w:lang w:val="es-ES_tradnl"/>
        </w:rPr>
        <w:t>727</w:t>
      </w:r>
      <w:r w:rsidRPr="00E41BF3">
        <w:rPr>
          <w:rFonts w:cs="Arial"/>
          <w:snapToGrid w:val="0"/>
          <w:spacing w:val="-3"/>
          <w:lang w:val="es-ES_tradnl"/>
        </w:rPr>
        <w:t>/1</w:t>
      </w:r>
      <w:r>
        <w:rPr>
          <w:rFonts w:cs="Arial"/>
          <w:snapToGrid w:val="0"/>
          <w:spacing w:val="-3"/>
          <w:lang w:val="es-ES_tradnl"/>
        </w:rPr>
        <w:t>4</w:t>
      </w:r>
      <w:r w:rsidRPr="00E41BF3">
        <w:rPr>
          <w:rFonts w:cs="Arial"/>
          <w:snapToGrid w:val="0"/>
          <w:spacing w:val="-3"/>
          <w:lang w:val="es-ES_tradnl"/>
        </w:rPr>
        <w:t xml:space="preserve"> de fecha </w:t>
      </w:r>
      <w:r>
        <w:rPr>
          <w:rFonts w:cs="Arial"/>
          <w:snapToGrid w:val="0"/>
          <w:spacing w:val="-3"/>
          <w:lang w:val="es-ES_tradnl"/>
        </w:rPr>
        <w:t>24</w:t>
      </w:r>
      <w:r w:rsidRPr="00E41BF3">
        <w:rPr>
          <w:rFonts w:cs="Arial"/>
          <w:snapToGrid w:val="0"/>
          <w:spacing w:val="-3"/>
          <w:lang w:val="es-ES_tradnl"/>
        </w:rPr>
        <w:t>/07/1</w:t>
      </w:r>
      <w:r>
        <w:rPr>
          <w:rFonts w:cs="Arial"/>
          <w:snapToGrid w:val="0"/>
          <w:spacing w:val="-3"/>
          <w:lang w:val="es-ES_tradnl"/>
        </w:rPr>
        <w:t>4</w:t>
      </w:r>
      <w:r w:rsidRPr="00E41BF3">
        <w:rPr>
          <w:rFonts w:cs="Arial"/>
          <w:snapToGrid w:val="0"/>
          <w:spacing w:val="-3"/>
          <w:lang w:val="es-ES_tradnl"/>
        </w:rPr>
        <w:t>,  la Junta Departamental comunicó a este Tribunal que la Asamblea General devolvió los antecedentes sin haberse pronunciado respecto a las discrepancias planteadas dentro de los plazos constitucionales, por lo que las partidas observadas fueron</w:t>
      </w:r>
      <w:r>
        <w:rPr>
          <w:rFonts w:cs="Arial"/>
          <w:snapToGrid w:val="0"/>
          <w:spacing w:val="-3"/>
          <w:lang w:val="es-ES_tradnl"/>
        </w:rPr>
        <w:t xml:space="preserve"> ejecutadas en el Ejercicio 2014</w:t>
      </w:r>
      <w:r w:rsidRPr="00E41BF3">
        <w:rPr>
          <w:rFonts w:cs="Arial"/>
          <w:snapToGrid w:val="0"/>
          <w:spacing w:val="-3"/>
          <w:lang w:val="es-ES_tradnl"/>
        </w:rPr>
        <w:t>.</w:t>
      </w:r>
    </w:p>
    <w:p w:rsidR="00C6685C" w:rsidRDefault="00C6685C" w:rsidP="00685459">
      <w:pPr>
        <w:spacing w:line="360" w:lineRule="auto"/>
        <w:jc w:val="both"/>
        <w:rPr>
          <w:rFonts w:cs="Arial"/>
          <w:b/>
          <w:bCs/>
          <w:color w:val="FF0000"/>
        </w:rPr>
      </w:pPr>
      <w:r>
        <w:rPr>
          <w:rFonts w:cs="Arial"/>
          <w:b/>
          <w:bCs/>
        </w:rPr>
        <w:t xml:space="preserve">3.- </w:t>
      </w:r>
      <w:r w:rsidRPr="00CB5478">
        <w:rPr>
          <w:rFonts w:cs="Arial"/>
          <w:b/>
          <w:bCs/>
        </w:rPr>
        <w:t>Artículo 14 del TOCAF:</w:t>
      </w:r>
      <w:r w:rsidRPr="00CB5478">
        <w:rPr>
          <w:rFonts w:cs="Arial"/>
        </w:rPr>
        <w:t xml:space="preserve"> No se cumple con la mencionada norma debido a que se efectúan adquisiciones a proveedores sin contar oportunamente con la orden de compra correspondiente.</w:t>
      </w:r>
    </w:p>
    <w:p w:rsidR="00C6685C" w:rsidRDefault="00C6685C" w:rsidP="00685459">
      <w:pPr>
        <w:spacing w:line="360" w:lineRule="auto"/>
        <w:jc w:val="both"/>
        <w:rPr>
          <w:rFonts w:cs="Arial"/>
          <w:b/>
          <w:bCs/>
          <w:color w:val="FF0000"/>
        </w:rPr>
      </w:pPr>
      <w:r>
        <w:rPr>
          <w:rFonts w:cs="Arial"/>
          <w:b/>
          <w:bCs/>
        </w:rPr>
        <w:t xml:space="preserve">4.- </w:t>
      </w:r>
      <w:r w:rsidRPr="00AF055E">
        <w:rPr>
          <w:rFonts w:cs="Arial"/>
          <w:b/>
          <w:bCs/>
        </w:rPr>
        <w:t>Artículo 15 del TOCAF:</w:t>
      </w:r>
      <w:r w:rsidRPr="00AF055E">
        <w:rPr>
          <w:rFonts w:cs="Arial"/>
        </w:rPr>
        <w:t xml:space="preserve"> En el Ejercicio 201</w:t>
      </w:r>
      <w:r>
        <w:rPr>
          <w:rFonts w:cs="Arial"/>
        </w:rPr>
        <w:t>5</w:t>
      </w:r>
      <w:r w:rsidRPr="00AF055E">
        <w:rPr>
          <w:rFonts w:cs="Arial"/>
        </w:rPr>
        <w:t xml:space="preserve"> se produjeron excesos de gastos</w:t>
      </w:r>
      <w:r>
        <w:rPr>
          <w:rFonts w:cs="Arial"/>
        </w:rPr>
        <w:t xml:space="preserve"> en relación a los créditos presupuestales vigentes, los que fueron observados por el Conta</w:t>
      </w:r>
      <w:r w:rsidR="00685459">
        <w:rPr>
          <w:rFonts w:cs="Arial"/>
        </w:rPr>
        <w:t>dor Delegado de este Tribunal.</w:t>
      </w:r>
    </w:p>
    <w:p w:rsidR="00C6685C" w:rsidRDefault="00C6685C" w:rsidP="00685459">
      <w:pPr>
        <w:spacing w:line="360" w:lineRule="auto"/>
        <w:jc w:val="both"/>
        <w:rPr>
          <w:rFonts w:cs="Arial"/>
          <w:b/>
          <w:bCs/>
          <w:color w:val="FF0000"/>
        </w:rPr>
      </w:pPr>
      <w:r>
        <w:rPr>
          <w:rFonts w:cs="Arial"/>
          <w:b/>
        </w:rPr>
        <w:t xml:space="preserve">5.- </w:t>
      </w:r>
      <w:r w:rsidRPr="00AF055E">
        <w:rPr>
          <w:rFonts w:cs="Arial"/>
          <w:b/>
        </w:rPr>
        <w:t xml:space="preserve">Artículo 20 del TOCAF: </w:t>
      </w:r>
      <w:r w:rsidRPr="00AF055E">
        <w:rPr>
          <w:rFonts w:cs="Arial"/>
          <w:bCs/>
        </w:rPr>
        <w:t>L</w:t>
      </w:r>
      <w:r w:rsidRPr="00AF055E">
        <w:rPr>
          <w:rFonts w:cs="Arial"/>
        </w:rPr>
        <w:t>os comprobantes de gastos incurridos por la</w:t>
      </w:r>
      <w:r>
        <w:rPr>
          <w:rFonts w:cs="Arial"/>
        </w:rPr>
        <w:t xml:space="preserve"> Corporación no contaban, en todos los casos, con la recepción conforme del objeto adquirido o la prestación del servicio contratado, por parte</w:t>
      </w:r>
      <w:r w:rsidR="00685459">
        <w:rPr>
          <w:rFonts w:cs="Arial"/>
        </w:rPr>
        <w:t xml:space="preserve"> de un funcionario responsable.</w:t>
      </w:r>
    </w:p>
    <w:p w:rsidR="00C6685C" w:rsidRDefault="00C6685C" w:rsidP="00685459">
      <w:pPr>
        <w:pStyle w:val="Encabezado"/>
        <w:tabs>
          <w:tab w:val="left" w:pos="360"/>
        </w:tabs>
        <w:spacing w:line="360" w:lineRule="auto"/>
        <w:jc w:val="both"/>
        <w:rPr>
          <w:rFonts w:cs="Arial"/>
        </w:rPr>
      </w:pPr>
      <w:r>
        <w:rPr>
          <w:rFonts w:cs="Arial"/>
          <w:b/>
          <w:bCs/>
        </w:rPr>
        <w:t xml:space="preserve">6.- </w:t>
      </w:r>
      <w:r w:rsidRPr="00AF055E">
        <w:rPr>
          <w:rFonts w:cs="Arial"/>
          <w:b/>
          <w:bCs/>
        </w:rPr>
        <w:t xml:space="preserve">Artículo 33 del TOCAF: </w:t>
      </w:r>
      <w:r w:rsidRPr="00AF055E">
        <w:rPr>
          <w:rFonts w:cs="Arial"/>
        </w:rPr>
        <w:t>La Junta ha contratado en forma directa con empresas, no cumpliendo con los procedimientos establecidos en el TOCAF.</w:t>
      </w:r>
    </w:p>
    <w:p w:rsidR="00C6685C" w:rsidRDefault="00C6685C" w:rsidP="00685459">
      <w:pPr>
        <w:pStyle w:val="Encabezado"/>
        <w:tabs>
          <w:tab w:val="left" w:pos="360"/>
        </w:tabs>
        <w:spacing w:line="360" w:lineRule="auto"/>
        <w:jc w:val="both"/>
        <w:rPr>
          <w:rFonts w:cs="Arial"/>
        </w:rPr>
      </w:pPr>
      <w:r>
        <w:rPr>
          <w:rFonts w:cs="Arial"/>
          <w:b/>
          <w:bCs/>
        </w:rPr>
        <w:t xml:space="preserve">7.- </w:t>
      </w:r>
      <w:r w:rsidRPr="00CB5478">
        <w:rPr>
          <w:rFonts w:cs="Arial"/>
          <w:b/>
          <w:bCs/>
        </w:rPr>
        <w:t xml:space="preserve">Artículo 52 del TOCAF: </w:t>
      </w:r>
      <w:r w:rsidRPr="00CB5478">
        <w:rPr>
          <w:rFonts w:cs="Arial"/>
        </w:rPr>
        <w:t>Se incumplió este artículo porque la Junta omitió</w:t>
      </w:r>
      <w:r>
        <w:rPr>
          <w:rFonts w:cs="Arial"/>
        </w:rPr>
        <w:t xml:space="preserve"> publicar en la página web de Compras y Contrataciones Estatales la Licitación Abreviada realizada de servicios de limpieza.</w:t>
      </w:r>
    </w:p>
    <w:p w:rsidR="00C6685C" w:rsidRDefault="00C6685C" w:rsidP="00685459">
      <w:pPr>
        <w:pStyle w:val="Encabezado"/>
        <w:tabs>
          <w:tab w:val="left" w:pos="360"/>
        </w:tabs>
        <w:spacing w:line="360" w:lineRule="auto"/>
        <w:jc w:val="both"/>
        <w:rPr>
          <w:rFonts w:cs="Arial"/>
          <w:bCs/>
        </w:rPr>
      </w:pPr>
      <w:r>
        <w:rPr>
          <w:rFonts w:cs="Arial"/>
          <w:b/>
        </w:rPr>
        <w:t xml:space="preserve">8.- Artículos </w:t>
      </w:r>
      <w:r>
        <w:rPr>
          <w:b/>
        </w:rPr>
        <w:t>84 y 97 del TOCAF</w:t>
      </w:r>
      <w:r>
        <w:rPr>
          <w:rFonts w:cs="Arial"/>
          <w:b/>
          <w:bCs/>
        </w:rPr>
        <w:t>:</w:t>
      </w:r>
      <w:r>
        <w:rPr>
          <w:rFonts w:cs="Arial"/>
        </w:rPr>
        <w:t xml:space="preserve"> la Junta no posee un inventario valuado de bienes.</w:t>
      </w:r>
    </w:p>
    <w:p w:rsidR="00C6685C" w:rsidRDefault="00C6685C" w:rsidP="00685459">
      <w:pPr>
        <w:spacing w:line="360" w:lineRule="auto"/>
        <w:jc w:val="both"/>
        <w:rPr>
          <w:rFonts w:cs="Arial"/>
        </w:rPr>
      </w:pPr>
      <w:r>
        <w:rPr>
          <w:rFonts w:cs="Arial"/>
          <w:b/>
        </w:rPr>
        <w:t xml:space="preserve">9.- </w:t>
      </w:r>
      <w:r w:rsidRPr="00AF055E">
        <w:rPr>
          <w:rFonts w:cs="Arial"/>
          <w:b/>
        </w:rPr>
        <w:t>Artículo 94 del TOCAF y Ordenanza N° 81 del Tribunal de Cuentas:</w:t>
      </w:r>
      <w:r w:rsidRPr="00AF055E">
        <w:rPr>
          <w:rFonts w:cs="Arial"/>
          <w:b/>
          <w:bCs/>
        </w:rPr>
        <w:t xml:space="preserve"> </w:t>
      </w:r>
      <w:r w:rsidRPr="00AF055E">
        <w:rPr>
          <w:rFonts w:cs="Arial"/>
        </w:rPr>
        <w:t>La Junta Departamental no utiliza su sistema contable de forma que le permi</w:t>
      </w:r>
      <w:r>
        <w:rPr>
          <w:rFonts w:cs="Arial"/>
        </w:rPr>
        <w:t>ta cumplir con lo establecido por las mencionadas normas en lo referente a la gestión presupuestaria y patrimonial de la corporación.</w:t>
      </w:r>
    </w:p>
    <w:p w:rsidR="00C6685C" w:rsidRDefault="00C6685C" w:rsidP="00685459">
      <w:pPr>
        <w:pStyle w:val="Encabezado"/>
        <w:tabs>
          <w:tab w:val="left" w:pos="360"/>
        </w:tabs>
        <w:spacing w:line="360" w:lineRule="auto"/>
        <w:jc w:val="both"/>
        <w:rPr>
          <w:rFonts w:cs="Arial"/>
          <w:bCs/>
        </w:rPr>
      </w:pPr>
      <w:bookmarkStart w:id="2" w:name="OLE_LINK1"/>
      <w:r>
        <w:rPr>
          <w:rFonts w:cs="Arial"/>
          <w:b/>
          <w:bCs/>
        </w:rPr>
        <w:t xml:space="preserve">10.- </w:t>
      </w:r>
      <w:r w:rsidRPr="00AF055E">
        <w:rPr>
          <w:rFonts w:cs="Arial"/>
          <w:b/>
          <w:bCs/>
        </w:rPr>
        <w:t>Artículo 71 de la Ley Nº 18.083</w:t>
      </w:r>
      <w:bookmarkEnd w:id="2"/>
      <w:r w:rsidRPr="00AF055E">
        <w:rPr>
          <w:rFonts w:cs="Arial"/>
          <w:b/>
          <w:bCs/>
        </w:rPr>
        <w:t xml:space="preserve">: </w:t>
      </w:r>
      <w:r w:rsidRPr="00AF055E">
        <w:rPr>
          <w:rFonts w:cs="Arial"/>
          <w:bCs/>
        </w:rPr>
        <w:t>La Junta realizó contrataciones con</w:t>
      </w:r>
      <w:r>
        <w:rPr>
          <w:rFonts w:cs="Arial"/>
          <w:bCs/>
        </w:rPr>
        <w:t xml:space="preserve"> empresas monotributistas contraviniendo lo establecido en esta norma, las que fueron observadas por el Contador Del</w:t>
      </w:r>
      <w:r w:rsidR="00685459">
        <w:rPr>
          <w:rFonts w:cs="Arial"/>
          <w:bCs/>
        </w:rPr>
        <w:t>e</w:t>
      </w:r>
      <w:r>
        <w:rPr>
          <w:rFonts w:cs="Arial"/>
          <w:bCs/>
        </w:rPr>
        <w:t>gado.</w:t>
      </w:r>
    </w:p>
    <w:p w:rsidR="00C6685C" w:rsidRDefault="00685459" w:rsidP="00685459">
      <w:pPr>
        <w:jc w:val="right"/>
        <w:rPr>
          <w:rFonts w:cs="Arial"/>
        </w:rPr>
      </w:pPr>
      <w:r>
        <w:rPr>
          <w:rFonts w:cs="Arial"/>
        </w:rPr>
        <w:t>Montevideo, 14 de junio de 2016</w:t>
      </w:r>
    </w:p>
    <w:p w:rsidR="00C6685C" w:rsidRDefault="00C6685C" w:rsidP="00685459">
      <w:pPr>
        <w:rPr>
          <w:rFonts w:cs="Arial"/>
        </w:rPr>
      </w:pPr>
    </w:p>
    <w:p w:rsidR="00685459" w:rsidRDefault="00685459" w:rsidP="00685459">
      <w:pPr>
        <w:rPr>
          <w:rFonts w:cs="Arial"/>
        </w:rPr>
      </w:pPr>
    </w:p>
    <w:p w:rsidR="00685459" w:rsidRDefault="00685459" w:rsidP="00685459">
      <w:pPr>
        <w:rPr>
          <w:rFonts w:cs="Arial"/>
        </w:rPr>
      </w:pPr>
    </w:p>
    <w:p w:rsidR="00685459" w:rsidRDefault="00685459" w:rsidP="00685459">
      <w:pPr>
        <w:rPr>
          <w:rFonts w:cs="Arial"/>
        </w:rPr>
      </w:pPr>
    </w:p>
    <w:p w:rsidR="00685459" w:rsidRDefault="00685459" w:rsidP="00685459">
      <w:pPr>
        <w:rPr>
          <w:rFonts w:cs="Arial"/>
        </w:rPr>
      </w:pPr>
    </w:p>
    <w:p w:rsidR="00C6685C" w:rsidRDefault="00C6685C" w:rsidP="00685459">
      <w:pPr>
        <w:rPr>
          <w:rFonts w:cs="Arial"/>
        </w:rPr>
      </w:pPr>
    </w:p>
    <w:p w:rsidR="00C6685C" w:rsidRDefault="00C6685C" w:rsidP="00685459">
      <w:pPr>
        <w:pStyle w:val="Ttulo1"/>
        <w:jc w:val="center"/>
      </w:pPr>
      <w:bookmarkStart w:id="3" w:name="_Toc390872931"/>
      <w:r>
        <w:t>INFORME A LA ADMINISTRACIÓN</w:t>
      </w:r>
      <w:bookmarkEnd w:id="3"/>
    </w:p>
    <w:p w:rsidR="00C6685C" w:rsidRDefault="00C6685C" w:rsidP="00685459"/>
    <w:p w:rsidR="00C6685C" w:rsidRDefault="00C6685C" w:rsidP="00685459"/>
    <w:p w:rsidR="00C6685C" w:rsidRDefault="00C6685C" w:rsidP="00685459">
      <w:pPr>
        <w:pStyle w:val="Textoindependiente21"/>
        <w:jc w:val="both"/>
        <w:rPr>
          <w:rFonts w:ascii="Arial" w:hAnsi="Arial"/>
        </w:rPr>
      </w:pPr>
      <w:r>
        <w:rPr>
          <w:rFonts w:ascii="Arial" w:hAnsi="Arial"/>
        </w:rPr>
        <w:t>El Tribunal de Cuentas ha examinado la Rendición de Cuentas y Balance de Ejecución Presupuestal correspondiente al Ejercicio 2015 y ha emitido su correspondiente Dictamen.</w:t>
      </w:r>
    </w:p>
    <w:p w:rsidR="00C6685C" w:rsidRDefault="00C6685C" w:rsidP="00685459">
      <w:pPr>
        <w:spacing w:line="360" w:lineRule="auto"/>
        <w:jc w:val="both"/>
      </w:pPr>
      <w: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C6685C" w:rsidRPr="00393C24" w:rsidRDefault="00C6685C" w:rsidP="00685459">
      <w:pPr>
        <w:pStyle w:val="Ttulo2"/>
        <w:rPr>
          <w:rFonts w:ascii="Arial" w:hAnsi="Arial" w:cs="Arial"/>
          <w:color w:val="auto"/>
        </w:rPr>
      </w:pPr>
      <w:r w:rsidRPr="00393C24">
        <w:rPr>
          <w:rFonts w:ascii="Arial" w:hAnsi="Arial" w:cs="Arial"/>
          <w:color w:val="auto"/>
        </w:rPr>
        <w:t>1. Situación en materia de fondos</w:t>
      </w:r>
    </w:p>
    <w:p w:rsidR="00C6685C" w:rsidRDefault="00C6685C" w:rsidP="00685459"/>
    <w:p w:rsidR="00C6685C" w:rsidRDefault="00C6685C" w:rsidP="00685459">
      <w:pPr>
        <w:pStyle w:val="Textoindependiente"/>
      </w:pPr>
      <w:r>
        <w:t>De acuerdo con los estados incluidos en la Rendición de Cuentas, se elaboró un resumen de la situación en materia de fondos de la Junta Departamental, con relación a la Intendencia al 31 de diciembre de 2015:</w:t>
      </w:r>
    </w:p>
    <w:tbl>
      <w:tblPr>
        <w:tblW w:w="0" w:type="auto"/>
        <w:jc w:val="center"/>
        <w:tblLayout w:type="fixed"/>
        <w:tblCellMar>
          <w:left w:w="30" w:type="dxa"/>
          <w:right w:w="30" w:type="dxa"/>
        </w:tblCellMar>
        <w:tblLook w:val="0000" w:firstRow="0" w:lastRow="0" w:firstColumn="0" w:lastColumn="0" w:noHBand="0" w:noVBand="0"/>
      </w:tblPr>
      <w:tblGrid>
        <w:gridCol w:w="5052"/>
        <w:gridCol w:w="3360"/>
      </w:tblGrid>
      <w:tr w:rsidR="00C6685C" w:rsidRPr="00BD51DB" w:rsidTr="00685459">
        <w:trPr>
          <w:trHeight w:val="380"/>
          <w:jc w:val="center"/>
        </w:trPr>
        <w:tc>
          <w:tcPr>
            <w:tcW w:w="5052" w:type="dxa"/>
          </w:tcPr>
          <w:p w:rsidR="00C6685C" w:rsidRPr="00BD51DB" w:rsidRDefault="00C6685C" w:rsidP="00685459">
            <w:pPr>
              <w:snapToGrid w:val="0"/>
              <w:rPr>
                <w:rFonts w:cs="Arial"/>
                <w:color w:val="000000"/>
              </w:rPr>
            </w:pPr>
            <w:r w:rsidRPr="00BD51DB">
              <w:rPr>
                <w:rFonts w:cs="Arial"/>
                <w:color w:val="000000"/>
              </w:rPr>
              <w:t xml:space="preserve">Disponibilidades  </w:t>
            </w:r>
          </w:p>
        </w:tc>
        <w:tc>
          <w:tcPr>
            <w:tcW w:w="3360" w:type="dxa"/>
          </w:tcPr>
          <w:p w:rsidR="00C6685C" w:rsidRPr="00BD51DB" w:rsidRDefault="00C6685C" w:rsidP="00685459">
            <w:pPr>
              <w:snapToGrid w:val="0"/>
              <w:jc w:val="right"/>
              <w:rPr>
                <w:rFonts w:cs="Arial"/>
                <w:color w:val="000000"/>
              </w:rPr>
            </w:pPr>
            <w:r w:rsidRPr="00BD51DB">
              <w:rPr>
                <w:rFonts w:cs="Arial"/>
                <w:color w:val="000000"/>
              </w:rPr>
              <w:t>$ 291.791</w:t>
            </w:r>
          </w:p>
        </w:tc>
      </w:tr>
      <w:tr w:rsidR="00C6685C" w:rsidRPr="00BD51DB" w:rsidTr="00685459">
        <w:trPr>
          <w:trHeight w:val="376"/>
          <w:jc w:val="center"/>
        </w:trPr>
        <w:tc>
          <w:tcPr>
            <w:tcW w:w="5052" w:type="dxa"/>
          </w:tcPr>
          <w:p w:rsidR="00C6685C" w:rsidRPr="00BD51DB" w:rsidRDefault="00C6685C" w:rsidP="00685459">
            <w:pPr>
              <w:snapToGrid w:val="0"/>
              <w:rPr>
                <w:rFonts w:cs="Arial"/>
                <w:color w:val="000000"/>
              </w:rPr>
            </w:pPr>
            <w:r w:rsidRPr="00BD51DB">
              <w:rPr>
                <w:rFonts w:cs="Arial"/>
                <w:color w:val="000000"/>
              </w:rPr>
              <w:t>Menos:</w:t>
            </w:r>
          </w:p>
        </w:tc>
        <w:tc>
          <w:tcPr>
            <w:tcW w:w="3360" w:type="dxa"/>
          </w:tcPr>
          <w:p w:rsidR="00C6685C" w:rsidRPr="00BD51DB" w:rsidRDefault="00C6685C" w:rsidP="00685459">
            <w:pPr>
              <w:snapToGrid w:val="0"/>
              <w:rPr>
                <w:rFonts w:cs="Arial"/>
                <w:color w:val="000000"/>
                <w:shd w:val="clear" w:color="auto" w:fill="FFFF00"/>
              </w:rPr>
            </w:pPr>
          </w:p>
        </w:tc>
      </w:tr>
      <w:tr w:rsidR="00C6685C" w:rsidRPr="00BD51DB" w:rsidTr="00685459">
        <w:trPr>
          <w:trHeight w:val="376"/>
          <w:jc w:val="center"/>
        </w:trPr>
        <w:tc>
          <w:tcPr>
            <w:tcW w:w="5052" w:type="dxa"/>
          </w:tcPr>
          <w:p w:rsidR="00C6685C" w:rsidRPr="00BD51DB" w:rsidRDefault="00C6685C" w:rsidP="00685459">
            <w:pPr>
              <w:snapToGrid w:val="0"/>
              <w:rPr>
                <w:rFonts w:cs="Arial"/>
                <w:color w:val="000000"/>
              </w:rPr>
            </w:pPr>
            <w:r w:rsidRPr="00BD51DB">
              <w:rPr>
                <w:rFonts w:cs="Arial"/>
                <w:color w:val="000000"/>
              </w:rPr>
              <w:t>Obligaciones Presupuestales Impagas</w:t>
            </w:r>
          </w:p>
        </w:tc>
        <w:tc>
          <w:tcPr>
            <w:tcW w:w="3360" w:type="dxa"/>
          </w:tcPr>
          <w:p w:rsidR="00C6685C" w:rsidRPr="00BD51DB" w:rsidRDefault="00C6685C" w:rsidP="00685459">
            <w:pPr>
              <w:snapToGrid w:val="0"/>
              <w:rPr>
                <w:rFonts w:cs="Arial"/>
                <w:color w:val="000000"/>
              </w:rPr>
            </w:pPr>
            <w:r w:rsidRPr="00BD51DB">
              <w:rPr>
                <w:rFonts w:cs="Arial"/>
                <w:color w:val="000000"/>
              </w:rPr>
              <w:t xml:space="preserve"> $ 2.242.168</w:t>
            </w:r>
          </w:p>
        </w:tc>
      </w:tr>
      <w:tr w:rsidR="00C6685C" w:rsidRPr="00BD51DB" w:rsidTr="00685459">
        <w:trPr>
          <w:trHeight w:val="380"/>
          <w:jc w:val="center"/>
        </w:trPr>
        <w:tc>
          <w:tcPr>
            <w:tcW w:w="5052" w:type="dxa"/>
          </w:tcPr>
          <w:p w:rsidR="00C6685C" w:rsidRPr="00BD51DB" w:rsidRDefault="00C6685C" w:rsidP="00685459">
            <w:pPr>
              <w:snapToGrid w:val="0"/>
              <w:rPr>
                <w:rFonts w:cs="Arial"/>
                <w:color w:val="000000"/>
              </w:rPr>
            </w:pPr>
            <w:r w:rsidRPr="00BD51DB">
              <w:rPr>
                <w:rFonts w:cs="Arial"/>
                <w:color w:val="000000"/>
              </w:rPr>
              <w:t xml:space="preserve">Indisponibles  </w:t>
            </w:r>
          </w:p>
        </w:tc>
        <w:tc>
          <w:tcPr>
            <w:tcW w:w="3360" w:type="dxa"/>
          </w:tcPr>
          <w:p w:rsidR="00C6685C" w:rsidRPr="00BD51DB" w:rsidRDefault="00C6685C" w:rsidP="00685459">
            <w:pPr>
              <w:snapToGrid w:val="0"/>
              <w:rPr>
                <w:rFonts w:cs="Arial"/>
                <w:color w:val="000000"/>
                <w:u w:val="single"/>
              </w:rPr>
            </w:pPr>
            <w:r w:rsidRPr="00BD51DB">
              <w:rPr>
                <w:rFonts w:cs="Arial"/>
                <w:color w:val="000000"/>
              </w:rPr>
              <w:t xml:space="preserve"> </w:t>
            </w:r>
            <w:r w:rsidRPr="00BD51DB">
              <w:rPr>
                <w:rFonts w:cs="Arial"/>
                <w:color w:val="000000"/>
                <w:u w:val="single"/>
              </w:rPr>
              <w:t>$    868.994</w:t>
            </w:r>
          </w:p>
          <w:p w:rsidR="00C6685C" w:rsidRPr="00BD51DB" w:rsidRDefault="00C6685C" w:rsidP="00685459">
            <w:pPr>
              <w:snapToGrid w:val="0"/>
              <w:jc w:val="right"/>
              <w:rPr>
                <w:rFonts w:cs="Arial"/>
                <w:color w:val="000000"/>
                <w:u w:val="single"/>
              </w:rPr>
            </w:pPr>
            <w:r w:rsidRPr="00BD51DB">
              <w:rPr>
                <w:rFonts w:cs="Arial"/>
                <w:color w:val="000000"/>
              </w:rPr>
              <w:t xml:space="preserve">                            (</w:t>
            </w:r>
            <w:r w:rsidRPr="00BD51DB">
              <w:rPr>
                <w:rFonts w:cs="Arial"/>
                <w:color w:val="000000"/>
                <w:u w:val="single"/>
              </w:rPr>
              <w:t>$ 3.111.162)</w:t>
            </w:r>
          </w:p>
        </w:tc>
      </w:tr>
      <w:tr w:rsidR="00C6685C" w:rsidRPr="00BD51DB" w:rsidTr="00685459">
        <w:trPr>
          <w:trHeight w:val="380"/>
          <w:jc w:val="center"/>
        </w:trPr>
        <w:tc>
          <w:tcPr>
            <w:tcW w:w="5052" w:type="dxa"/>
          </w:tcPr>
          <w:p w:rsidR="00C6685C" w:rsidRPr="00BD51DB" w:rsidRDefault="00C6685C" w:rsidP="00685459">
            <w:pPr>
              <w:snapToGrid w:val="0"/>
              <w:rPr>
                <w:rFonts w:cs="Arial"/>
                <w:color w:val="000000"/>
              </w:rPr>
            </w:pPr>
          </w:p>
        </w:tc>
        <w:tc>
          <w:tcPr>
            <w:tcW w:w="3360" w:type="dxa"/>
          </w:tcPr>
          <w:p w:rsidR="00C6685C" w:rsidRPr="00BD51DB" w:rsidRDefault="00C6685C" w:rsidP="00685459">
            <w:pPr>
              <w:snapToGrid w:val="0"/>
              <w:rPr>
                <w:rFonts w:cs="Arial"/>
                <w:color w:val="000000"/>
                <w:u w:val="single"/>
              </w:rPr>
            </w:pPr>
          </w:p>
        </w:tc>
      </w:tr>
      <w:tr w:rsidR="00C6685C" w:rsidRPr="006D7868" w:rsidTr="00685459">
        <w:trPr>
          <w:trHeight w:val="380"/>
          <w:jc w:val="center"/>
        </w:trPr>
        <w:tc>
          <w:tcPr>
            <w:tcW w:w="5052" w:type="dxa"/>
          </w:tcPr>
          <w:p w:rsidR="00C6685C" w:rsidRPr="00BD51DB" w:rsidRDefault="00C6685C" w:rsidP="00685459">
            <w:pPr>
              <w:snapToGrid w:val="0"/>
              <w:rPr>
                <w:rFonts w:cs="Arial"/>
                <w:color w:val="000000"/>
              </w:rPr>
            </w:pPr>
            <w:r w:rsidRPr="00BD51DB">
              <w:rPr>
                <w:rFonts w:cs="Arial"/>
                <w:color w:val="000000"/>
              </w:rPr>
              <w:t xml:space="preserve">Saldo adeudado por la Intendencia a la Junta  </w:t>
            </w:r>
          </w:p>
        </w:tc>
        <w:tc>
          <w:tcPr>
            <w:tcW w:w="3360" w:type="dxa"/>
            <w:shd w:val="clear" w:color="auto" w:fill="auto"/>
          </w:tcPr>
          <w:p w:rsidR="00C6685C" w:rsidRPr="006D7868" w:rsidRDefault="00C6685C" w:rsidP="00685459">
            <w:pPr>
              <w:snapToGrid w:val="0"/>
              <w:jc w:val="right"/>
              <w:rPr>
                <w:rFonts w:cs="Arial"/>
                <w:color w:val="000000"/>
              </w:rPr>
            </w:pPr>
            <w:r w:rsidRPr="00BD51DB">
              <w:rPr>
                <w:rFonts w:cs="Arial"/>
                <w:color w:val="000000"/>
              </w:rPr>
              <w:t>($ 2.819.371</w:t>
            </w:r>
            <w:r w:rsidRPr="00BD51DB">
              <w:rPr>
                <w:rFonts w:cs="Arial"/>
                <w:bCs/>
              </w:rPr>
              <w:t>)</w:t>
            </w:r>
          </w:p>
        </w:tc>
      </w:tr>
      <w:tr w:rsidR="00C6685C" w:rsidRPr="006D7868" w:rsidTr="00685459">
        <w:trPr>
          <w:trHeight w:val="380"/>
          <w:jc w:val="center"/>
        </w:trPr>
        <w:tc>
          <w:tcPr>
            <w:tcW w:w="5052" w:type="dxa"/>
          </w:tcPr>
          <w:p w:rsidR="00C6685C" w:rsidRDefault="00C6685C" w:rsidP="00685459">
            <w:pPr>
              <w:snapToGrid w:val="0"/>
              <w:rPr>
                <w:rFonts w:cs="Arial"/>
                <w:color w:val="000000"/>
              </w:rPr>
            </w:pPr>
          </w:p>
        </w:tc>
        <w:tc>
          <w:tcPr>
            <w:tcW w:w="3360" w:type="dxa"/>
            <w:shd w:val="clear" w:color="auto" w:fill="auto"/>
          </w:tcPr>
          <w:p w:rsidR="00C6685C" w:rsidRPr="006D7868" w:rsidRDefault="00C6685C" w:rsidP="00685459">
            <w:pPr>
              <w:snapToGrid w:val="0"/>
              <w:jc w:val="right"/>
              <w:rPr>
                <w:rFonts w:cs="Arial"/>
                <w:color w:val="000000"/>
              </w:rPr>
            </w:pPr>
          </w:p>
        </w:tc>
      </w:tr>
    </w:tbl>
    <w:p w:rsidR="00C6685C" w:rsidRPr="00393C24" w:rsidRDefault="00C6685C" w:rsidP="00685459">
      <w:pPr>
        <w:pStyle w:val="Ttulo2"/>
        <w:rPr>
          <w:rFonts w:ascii="Arial" w:hAnsi="Arial" w:cs="Arial"/>
          <w:color w:val="auto"/>
        </w:rPr>
      </w:pPr>
      <w:bookmarkStart w:id="4" w:name="_Toc390872933"/>
      <w:r w:rsidRPr="00393C24">
        <w:rPr>
          <w:rFonts w:ascii="Arial" w:hAnsi="Arial" w:cs="Arial"/>
          <w:color w:val="auto"/>
        </w:rPr>
        <w:t>2. Constataciones que no afectan la opinión</w:t>
      </w:r>
      <w:bookmarkEnd w:id="4"/>
      <w:r w:rsidRPr="00393C24">
        <w:rPr>
          <w:rFonts w:ascii="Arial" w:hAnsi="Arial" w:cs="Arial"/>
          <w:color w:val="auto"/>
        </w:rPr>
        <w:t xml:space="preserve"> de los estados contables</w:t>
      </w:r>
    </w:p>
    <w:p w:rsidR="00C6685C" w:rsidRPr="00393C24" w:rsidRDefault="00C6685C" w:rsidP="00685459">
      <w:pPr>
        <w:pStyle w:val="Ttulo2"/>
        <w:spacing w:line="360" w:lineRule="auto"/>
        <w:rPr>
          <w:rFonts w:ascii="Arial" w:hAnsi="Arial" w:cs="Arial"/>
          <w:color w:val="auto"/>
        </w:rPr>
      </w:pPr>
      <w:bookmarkStart w:id="5" w:name="_Toc390872934"/>
      <w:r w:rsidRPr="00393C24">
        <w:rPr>
          <w:rFonts w:ascii="Arial" w:hAnsi="Arial" w:cs="Arial"/>
          <w:color w:val="auto"/>
        </w:rPr>
        <w:t>2.1 Sistema contable</w:t>
      </w:r>
      <w:bookmarkEnd w:id="5"/>
    </w:p>
    <w:p w:rsidR="00C6685C" w:rsidRPr="00AF055E" w:rsidRDefault="00C6685C" w:rsidP="00685459">
      <w:pPr>
        <w:tabs>
          <w:tab w:val="left" w:pos="2880"/>
        </w:tabs>
        <w:spacing w:line="360" w:lineRule="auto"/>
        <w:jc w:val="both"/>
        <w:rPr>
          <w:rFonts w:cs="Arial"/>
          <w:lang w:val="es-MX"/>
        </w:rPr>
      </w:pPr>
      <w:r w:rsidRPr="00AF055E">
        <w:rPr>
          <w:rFonts w:cs="Arial"/>
          <w:lang w:val="es-MX"/>
        </w:rPr>
        <w:t>La Junta Departamental no cuenta con un software especialmente diseñado para contabilidad pública y utiliza un sistema contable comercial al que se le realizaron algunos ajustes a efectos de atender las necesidades básicas del balance de ejecución presupuestal con registración por partida doble.</w:t>
      </w:r>
    </w:p>
    <w:p w:rsidR="00C6685C" w:rsidRPr="00393C24" w:rsidRDefault="00C6685C" w:rsidP="00685459">
      <w:pPr>
        <w:pStyle w:val="Ttulo2"/>
        <w:spacing w:before="0" w:line="360" w:lineRule="auto"/>
        <w:jc w:val="both"/>
        <w:rPr>
          <w:rFonts w:ascii="Arial" w:hAnsi="Arial" w:cs="Arial"/>
          <w:color w:val="auto"/>
        </w:rPr>
      </w:pPr>
      <w:bookmarkStart w:id="6" w:name="_Toc390872935"/>
      <w:r w:rsidRPr="00393C24">
        <w:rPr>
          <w:rFonts w:ascii="Arial" w:hAnsi="Arial" w:cs="Arial"/>
          <w:color w:val="auto"/>
        </w:rPr>
        <w:t xml:space="preserve">2.2 </w:t>
      </w:r>
      <w:bookmarkStart w:id="7" w:name="_Toc390872941"/>
      <w:bookmarkEnd w:id="6"/>
      <w:r w:rsidRPr="00393C24">
        <w:rPr>
          <w:rFonts w:ascii="Arial" w:hAnsi="Arial" w:cs="Arial"/>
          <w:color w:val="auto"/>
        </w:rPr>
        <w:t>Control Interno</w:t>
      </w:r>
      <w:bookmarkEnd w:id="7"/>
    </w:p>
    <w:p w:rsidR="00C6685C" w:rsidRPr="00393C24" w:rsidRDefault="00C6685C" w:rsidP="00685459">
      <w:pPr>
        <w:pStyle w:val="Ttulo2"/>
        <w:spacing w:before="0" w:line="360" w:lineRule="auto"/>
        <w:rPr>
          <w:rFonts w:ascii="Arial" w:hAnsi="Arial" w:cs="Arial"/>
          <w:color w:val="auto"/>
        </w:rPr>
      </w:pPr>
      <w:bookmarkStart w:id="8" w:name="_Toc390872942"/>
      <w:r w:rsidRPr="00393C24">
        <w:rPr>
          <w:rFonts w:ascii="Arial" w:hAnsi="Arial" w:cs="Arial"/>
          <w:color w:val="auto"/>
        </w:rPr>
        <w:t>Proveedores</w:t>
      </w:r>
      <w:bookmarkEnd w:id="8"/>
    </w:p>
    <w:p w:rsidR="00C6685C" w:rsidRDefault="00C6685C" w:rsidP="00685459">
      <w:pPr>
        <w:pStyle w:val="Textoindependiente"/>
      </w:pPr>
      <w:r w:rsidRPr="0009648F">
        <w:t>La Junta no realizó la circularización de saldos de proveedores. Se mantienen dentro de las Obligaciones Presupuestales Impagas saldos deudores de algunos proveedores</w:t>
      </w:r>
      <w:r w:rsidRPr="00782335">
        <w:t xml:space="preserve"> generados en el Ejercicio 2009 por $ 1.673.</w:t>
      </w:r>
    </w:p>
    <w:p w:rsidR="00C6685C" w:rsidRDefault="00C6685C" w:rsidP="00685459">
      <w:pPr>
        <w:pStyle w:val="Textoindependiente"/>
      </w:pPr>
    </w:p>
    <w:p w:rsidR="00C6685C" w:rsidRPr="00393C24" w:rsidRDefault="00C6685C" w:rsidP="00685459">
      <w:pPr>
        <w:pStyle w:val="Ttulo2"/>
        <w:spacing w:before="0" w:line="360" w:lineRule="auto"/>
        <w:rPr>
          <w:rFonts w:ascii="Arial" w:hAnsi="Arial" w:cs="Arial"/>
          <w:color w:val="auto"/>
        </w:rPr>
      </w:pPr>
      <w:bookmarkStart w:id="9" w:name="_Toc390872943"/>
      <w:r w:rsidRPr="00393C24">
        <w:rPr>
          <w:rFonts w:ascii="Arial" w:hAnsi="Arial" w:cs="Arial"/>
          <w:color w:val="auto"/>
        </w:rPr>
        <w:t>3. Recomendaciones</w:t>
      </w:r>
      <w:bookmarkEnd w:id="9"/>
    </w:p>
    <w:p w:rsidR="00C6685C" w:rsidRPr="00393C24" w:rsidRDefault="00C6685C" w:rsidP="00685459">
      <w:pPr>
        <w:pStyle w:val="Ttulo2"/>
        <w:spacing w:before="0" w:line="360" w:lineRule="auto"/>
        <w:rPr>
          <w:rFonts w:ascii="Arial" w:hAnsi="Arial" w:cs="Arial"/>
          <w:color w:val="auto"/>
        </w:rPr>
      </w:pPr>
      <w:r w:rsidRPr="00393C24">
        <w:rPr>
          <w:rFonts w:ascii="Arial" w:hAnsi="Arial" w:cs="Arial"/>
          <w:color w:val="auto"/>
        </w:rPr>
        <w:t>3.1 Recomendaciones del ejercicio anterior cumplidas</w:t>
      </w:r>
    </w:p>
    <w:p w:rsidR="00C6685C" w:rsidRPr="00E83EDB" w:rsidRDefault="00C6685C" w:rsidP="00685459">
      <w:pPr>
        <w:pStyle w:val="Encabezado"/>
        <w:tabs>
          <w:tab w:val="left" w:pos="360"/>
        </w:tabs>
        <w:spacing w:line="360" w:lineRule="auto"/>
        <w:jc w:val="both"/>
        <w:rPr>
          <w:rFonts w:cs="Arial"/>
          <w:bCs/>
        </w:rPr>
      </w:pPr>
      <w:r>
        <w:rPr>
          <w:rFonts w:cs="Arial"/>
          <w:b/>
          <w:bCs/>
        </w:rPr>
        <w:t>3.1</w:t>
      </w:r>
      <w:r w:rsidRPr="003E7ABB">
        <w:rPr>
          <w:rFonts w:cs="Arial"/>
          <w:b/>
          <w:bCs/>
        </w:rPr>
        <w:t>.</w:t>
      </w:r>
      <w:r>
        <w:rPr>
          <w:rFonts w:cs="Arial"/>
          <w:b/>
          <w:bCs/>
        </w:rPr>
        <w:t>1</w:t>
      </w:r>
      <w:r w:rsidRPr="003E7ABB">
        <w:rPr>
          <w:rFonts w:cs="Arial"/>
          <w:b/>
          <w:bCs/>
        </w:rPr>
        <w:t xml:space="preserve"> </w:t>
      </w:r>
      <w:r>
        <w:rPr>
          <w:rFonts w:cs="Arial"/>
          <w:b/>
          <w:bCs/>
        </w:rPr>
        <w:t xml:space="preserve">Ley Nº  17.738, Artículo 124. </w:t>
      </w:r>
      <w:r w:rsidRPr="003E7ABB">
        <w:rPr>
          <w:rFonts w:cs="Arial"/>
          <w:bCs/>
        </w:rPr>
        <w:t xml:space="preserve">La Junta </w:t>
      </w:r>
      <w:r>
        <w:rPr>
          <w:rFonts w:cs="Arial"/>
          <w:bCs/>
        </w:rPr>
        <w:t xml:space="preserve">efectúa </w:t>
      </w:r>
      <w:r w:rsidRPr="003E7ABB">
        <w:rPr>
          <w:rFonts w:cs="Arial"/>
          <w:bCs/>
        </w:rPr>
        <w:t>el control de que los</w:t>
      </w:r>
      <w:r>
        <w:rPr>
          <w:rFonts w:cs="Arial"/>
          <w:bCs/>
        </w:rPr>
        <w:t xml:space="preserve"> funcionarios que son profesionales tengan vigente el certificado que acredite que se encuentran al día con la Caja de Jubilaciones y Pensiones de Profesionales Universitarios</w:t>
      </w:r>
      <w:r w:rsidRPr="00E83EDB">
        <w:rPr>
          <w:rFonts w:cs="Arial"/>
          <w:bCs/>
        </w:rPr>
        <w:t>.</w:t>
      </w:r>
    </w:p>
    <w:p w:rsidR="00C6685C" w:rsidRPr="005870BE" w:rsidRDefault="00C6685C" w:rsidP="00685459">
      <w:pPr>
        <w:pStyle w:val="Ttulo2"/>
        <w:spacing w:before="0" w:line="360" w:lineRule="auto"/>
        <w:ind w:left="708" w:hanging="708"/>
        <w:jc w:val="both"/>
        <w:rPr>
          <w:rFonts w:ascii="Arial" w:hAnsi="Arial" w:cs="Arial"/>
          <w:color w:val="auto"/>
          <w:sz w:val="24"/>
          <w:szCs w:val="24"/>
          <w:lang w:eastAsia="ar-SA"/>
        </w:rPr>
      </w:pPr>
      <w:bookmarkStart w:id="10" w:name="_Toc390872950"/>
      <w:r w:rsidRPr="005870BE">
        <w:rPr>
          <w:rFonts w:ascii="Arial" w:hAnsi="Arial" w:cs="Arial"/>
          <w:color w:val="auto"/>
          <w:sz w:val="24"/>
          <w:szCs w:val="24"/>
          <w:lang w:eastAsia="ar-SA"/>
        </w:rPr>
        <w:t>3.1.2 Artículo 7 de la Ley 13.142, Artículo 1 del Decreto Ley 14.632 y</w:t>
      </w:r>
    </w:p>
    <w:p w:rsidR="00C6685C" w:rsidRDefault="00C6685C" w:rsidP="00685459">
      <w:pPr>
        <w:pStyle w:val="Encabezado"/>
        <w:tabs>
          <w:tab w:val="left" w:pos="360"/>
        </w:tabs>
        <w:spacing w:line="360" w:lineRule="auto"/>
        <w:jc w:val="both"/>
        <w:rPr>
          <w:rFonts w:cs="Arial"/>
          <w:bCs/>
        </w:rPr>
      </w:pPr>
      <w:r w:rsidRPr="005870BE">
        <w:rPr>
          <w:rFonts w:cs="Arial"/>
          <w:b/>
          <w:bCs/>
        </w:rPr>
        <w:t>Decreto Nº 342/992</w:t>
      </w:r>
      <w:bookmarkEnd w:id="10"/>
      <w:r w:rsidRPr="005870BE">
        <w:rPr>
          <w:rFonts w:cs="Arial"/>
          <w:b/>
          <w:bCs/>
        </w:rPr>
        <w:t xml:space="preserve">. </w:t>
      </w:r>
      <w:r w:rsidRPr="005870BE">
        <w:rPr>
          <w:rFonts w:cs="Arial"/>
          <w:bCs/>
        </w:rPr>
        <w:t>Se controla al autorizarse los pagos a proveedores que los mismos estén al día con sus obligaciones legales con el Banco de Previsión Social y la Dirección General Impositiva.</w:t>
      </w:r>
    </w:p>
    <w:p w:rsidR="00C6685C" w:rsidRDefault="00C6685C" w:rsidP="00685459">
      <w:pPr>
        <w:spacing w:line="360" w:lineRule="auto"/>
        <w:jc w:val="both"/>
      </w:pPr>
      <w:r w:rsidRPr="00CB5478">
        <w:rPr>
          <w:b/>
        </w:rPr>
        <w:t>3.</w:t>
      </w:r>
      <w:r>
        <w:rPr>
          <w:b/>
        </w:rPr>
        <w:t>1</w:t>
      </w:r>
      <w:r w:rsidRPr="00CB5478">
        <w:rPr>
          <w:b/>
        </w:rPr>
        <w:t>.</w:t>
      </w:r>
      <w:r>
        <w:rPr>
          <w:b/>
        </w:rPr>
        <w:t>3</w:t>
      </w:r>
      <w:r w:rsidRPr="00CB5478">
        <w:rPr>
          <w:b/>
        </w:rPr>
        <w:t xml:space="preserve"> Artículo 102 del TOCAF: </w:t>
      </w:r>
      <w:r>
        <w:t>Se informó en forma previa a la licitación abreviada realizada la disponibilidad del crédito para ese objeto y su monto.</w:t>
      </w:r>
    </w:p>
    <w:p w:rsidR="00C6685C" w:rsidRPr="00393C24" w:rsidRDefault="00C6685C" w:rsidP="00685459">
      <w:pPr>
        <w:pStyle w:val="Ttulo2"/>
        <w:spacing w:before="0" w:line="360" w:lineRule="auto"/>
        <w:rPr>
          <w:rFonts w:ascii="Arial" w:hAnsi="Arial" w:cs="Arial"/>
          <w:color w:val="auto"/>
        </w:rPr>
      </w:pPr>
      <w:bookmarkStart w:id="11" w:name="_Toc390872944"/>
      <w:r>
        <w:rPr>
          <w:rFonts w:ascii="Arial" w:hAnsi="Arial" w:cs="Arial"/>
          <w:color w:val="auto"/>
        </w:rPr>
        <w:t>3</w:t>
      </w:r>
      <w:r w:rsidRPr="00393C24">
        <w:rPr>
          <w:rFonts w:ascii="Arial" w:hAnsi="Arial" w:cs="Arial"/>
          <w:color w:val="auto"/>
        </w:rPr>
        <w:t>.2 Recomendaciones del ejercicio anterior no cumplidas</w:t>
      </w:r>
      <w:bookmarkEnd w:id="11"/>
    </w:p>
    <w:p w:rsidR="00C6685C" w:rsidRPr="00393C24" w:rsidRDefault="00C6685C" w:rsidP="00685459">
      <w:pPr>
        <w:pStyle w:val="Ttulo2"/>
        <w:spacing w:before="0" w:line="360" w:lineRule="auto"/>
        <w:jc w:val="both"/>
        <w:rPr>
          <w:rFonts w:ascii="Arial" w:hAnsi="Arial" w:cs="Arial"/>
          <w:color w:val="auto"/>
        </w:rPr>
      </w:pPr>
      <w:bookmarkStart w:id="12" w:name="_Toc390872945"/>
      <w:r w:rsidRPr="00393C24">
        <w:rPr>
          <w:rFonts w:ascii="Arial" w:hAnsi="Arial" w:cs="Arial"/>
          <w:color w:val="auto"/>
        </w:rPr>
        <w:t>3.2.1 Artículo 295 de la Constitución de la República y Resoluciones de 28 de noviembre de 2000 y de 22 de diciembre de 2010 del Tribunal de Cuentas</w:t>
      </w:r>
      <w:bookmarkEnd w:id="12"/>
    </w:p>
    <w:p w:rsidR="00C6685C" w:rsidRDefault="00C6685C" w:rsidP="00685459">
      <w:pPr>
        <w:spacing w:line="360" w:lineRule="auto"/>
        <w:jc w:val="both"/>
      </w:pPr>
      <w:r w:rsidRPr="00AF055E">
        <w:t>La entrega de partidas a los Señores Ediles para resarcir los gastos en que</w:t>
      </w:r>
      <w:r>
        <w:t xml:space="preserve"> deban incurrir en cumplimiento de sus funciones, deberá reglamentarse y ejecutarse conforme con lo dispuesto en la norma constitucional y en la Resolución de fecha 22 de diciembre de 2010, modificativa de la del 28 de noviembre de 2000 de este Tribunal.</w:t>
      </w:r>
    </w:p>
    <w:p w:rsidR="00C6685C" w:rsidRPr="00393C24" w:rsidRDefault="00C6685C" w:rsidP="00685459">
      <w:pPr>
        <w:pStyle w:val="Ttulo2"/>
        <w:spacing w:before="0" w:line="360" w:lineRule="auto"/>
        <w:rPr>
          <w:rFonts w:ascii="Arial" w:hAnsi="Arial" w:cs="Arial"/>
          <w:color w:val="auto"/>
        </w:rPr>
      </w:pPr>
      <w:bookmarkStart w:id="13" w:name="_Toc390872946"/>
      <w:r w:rsidRPr="00393C24">
        <w:rPr>
          <w:rFonts w:ascii="Arial" w:hAnsi="Arial" w:cs="Arial"/>
          <w:color w:val="auto"/>
        </w:rPr>
        <w:t>3.2.2 Artículo 20 del TOCAF</w:t>
      </w:r>
      <w:bookmarkEnd w:id="13"/>
    </w:p>
    <w:p w:rsidR="00C6685C" w:rsidRDefault="00C6685C" w:rsidP="00685459">
      <w:pPr>
        <w:pStyle w:val="Textoindependiente"/>
      </w:pPr>
      <w:r>
        <w:t>A efectos de dar cumplimiento a lo dispuesto por este artículo, en todos los comprobantes de gastos de la Junta deberá constar el “recibido conforme” por el funcionario que verifique el ingreso del bien o la prestación del servicio.</w:t>
      </w:r>
    </w:p>
    <w:p w:rsidR="00C6685C" w:rsidRPr="00393C24" w:rsidRDefault="00C6685C" w:rsidP="00685459">
      <w:pPr>
        <w:pStyle w:val="Ttulo2"/>
        <w:spacing w:before="0" w:line="360" w:lineRule="auto"/>
        <w:rPr>
          <w:rFonts w:ascii="Arial" w:hAnsi="Arial" w:cs="Arial"/>
          <w:color w:val="auto"/>
        </w:rPr>
      </w:pPr>
      <w:bookmarkStart w:id="14" w:name="_Toc390872947"/>
      <w:r w:rsidRPr="00393C24">
        <w:rPr>
          <w:rFonts w:ascii="Arial" w:hAnsi="Arial" w:cs="Arial"/>
          <w:color w:val="auto"/>
        </w:rPr>
        <w:t>3.2.3 Inventario de bienes de uso</w:t>
      </w:r>
      <w:bookmarkEnd w:id="14"/>
    </w:p>
    <w:p w:rsidR="00C6685C" w:rsidRDefault="00C6685C" w:rsidP="00685459">
      <w:pPr>
        <w:spacing w:line="360" w:lineRule="auto"/>
        <w:jc w:val="both"/>
      </w:pPr>
      <w:r>
        <w:t xml:space="preserve">De acuerdo con lo dispuesto por el Artículo </w:t>
      </w:r>
      <w:r>
        <w:rPr>
          <w:bCs/>
        </w:rPr>
        <w:t>97 del TOCAF</w:t>
      </w:r>
      <w:r>
        <w:t>, deberá mantenerse un registro permanente y valuado de los bienes de uso que integran el patrimonio de la Corporación.</w:t>
      </w:r>
    </w:p>
    <w:p w:rsidR="00C6685C" w:rsidRPr="00393C24" w:rsidRDefault="00C6685C" w:rsidP="00685459">
      <w:pPr>
        <w:pStyle w:val="Ttulo2"/>
        <w:spacing w:before="0" w:line="360" w:lineRule="auto"/>
        <w:rPr>
          <w:rFonts w:ascii="Arial" w:hAnsi="Arial" w:cs="Arial"/>
          <w:color w:val="auto"/>
        </w:rPr>
      </w:pPr>
      <w:bookmarkStart w:id="15" w:name="_Toc390872948"/>
      <w:r w:rsidRPr="00393C24">
        <w:rPr>
          <w:rFonts w:ascii="Arial" w:hAnsi="Arial" w:cs="Arial"/>
          <w:color w:val="auto"/>
        </w:rPr>
        <w:t>3.2.4 Contabilidad Patrimonial</w:t>
      </w:r>
      <w:bookmarkEnd w:id="15"/>
    </w:p>
    <w:p w:rsidR="00C6685C" w:rsidRDefault="00C6685C" w:rsidP="00685459">
      <w:pPr>
        <w:spacing w:line="360" w:lineRule="auto"/>
        <w:jc w:val="both"/>
      </w:pPr>
      <w:r>
        <w:t xml:space="preserve">De acuerdo con lo establecido en el Artículo </w:t>
      </w:r>
      <w:r>
        <w:rPr>
          <w:bCs/>
        </w:rPr>
        <w:t xml:space="preserve">94 del TOCAF </w:t>
      </w:r>
      <w:r>
        <w:t xml:space="preserve">la Corporación </w:t>
      </w:r>
      <w:proofErr w:type="gramStart"/>
      <w:r>
        <w:t>deberá</w:t>
      </w:r>
      <w:proofErr w:type="gramEnd"/>
      <w:r>
        <w:t xml:space="preserve"> implementar un sistema que permita conocer la gestión patrimonial y formular los estados financieros requeridos por la Ordenanza Nº 81 de este Tribunal.</w:t>
      </w:r>
    </w:p>
    <w:p w:rsidR="00C6685C" w:rsidRPr="00393C24" w:rsidRDefault="00C6685C" w:rsidP="00685459">
      <w:pPr>
        <w:pStyle w:val="Ttulo2"/>
        <w:spacing w:before="0" w:line="360" w:lineRule="auto"/>
        <w:rPr>
          <w:rFonts w:ascii="Arial" w:hAnsi="Arial" w:cs="Arial"/>
          <w:color w:val="auto"/>
        </w:rPr>
      </w:pPr>
      <w:bookmarkStart w:id="16" w:name="_Toc390872949"/>
      <w:r w:rsidRPr="00393C24">
        <w:rPr>
          <w:rFonts w:ascii="Arial" w:hAnsi="Arial" w:cs="Arial"/>
          <w:color w:val="auto"/>
        </w:rPr>
        <w:t>3.2.5 Sistema contable</w:t>
      </w:r>
      <w:bookmarkEnd w:id="16"/>
    </w:p>
    <w:p w:rsidR="00C6685C" w:rsidRDefault="00C6685C" w:rsidP="00685459">
      <w:pPr>
        <w:spacing w:line="360" w:lineRule="auto"/>
        <w:jc w:val="both"/>
      </w:pPr>
      <w:r>
        <w:t>La Junta Departamental deberá implementar un sistema contable que sea una herramienta adecuada a los requerimientos de su especialidad, permitiendo la obtención permanente de información actualizada a efectos de la toma de decisiones  relativas a la ejecución presupuestal.</w:t>
      </w:r>
    </w:p>
    <w:p w:rsidR="00C6685C" w:rsidRPr="00393C24" w:rsidRDefault="00C6685C" w:rsidP="00685459">
      <w:pPr>
        <w:pStyle w:val="Ttulo2"/>
        <w:spacing w:before="0" w:line="360" w:lineRule="auto"/>
        <w:rPr>
          <w:rFonts w:ascii="Arial" w:hAnsi="Arial" w:cs="Arial"/>
          <w:color w:val="auto"/>
        </w:rPr>
      </w:pPr>
      <w:bookmarkStart w:id="17" w:name="_Toc390872951"/>
      <w:r w:rsidRPr="00393C24">
        <w:rPr>
          <w:rFonts w:ascii="Arial" w:hAnsi="Arial" w:cs="Arial"/>
          <w:color w:val="auto"/>
        </w:rPr>
        <w:t>3.2.</w:t>
      </w:r>
      <w:r>
        <w:rPr>
          <w:rFonts w:ascii="Arial" w:hAnsi="Arial" w:cs="Arial"/>
          <w:color w:val="auto"/>
        </w:rPr>
        <w:t>6</w:t>
      </w:r>
      <w:r w:rsidRPr="00393C24">
        <w:rPr>
          <w:rFonts w:ascii="Arial" w:hAnsi="Arial" w:cs="Arial"/>
          <w:color w:val="auto"/>
        </w:rPr>
        <w:t xml:space="preserve"> Circularización a proveedores</w:t>
      </w:r>
      <w:bookmarkEnd w:id="17"/>
    </w:p>
    <w:p w:rsidR="00C6685C" w:rsidRDefault="00C6685C" w:rsidP="00685459">
      <w:pPr>
        <w:pStyle w:val="Textoindependiente"/>
      </w:pPr>
      <w:r w:rsidRPr="00FA0DA7">
        <w:t>La Junta Departamental deberá implementar como práctica habitual la  circularización a los proveedores para corregir los casos en los que existan errores o diferencias.</w:t>
      </w:r>
    </w:p>
    <w:p w:rsidR="00C6685C" w:rsidRPr="00393C24" w:rsidRDefault="00C6685C" w:rsidP="00685459">
      <w:pPr>
        <w:pStyle w:val="Ttulo2"/>
        <w:spacing w:before="0" w:line="360" w:lineRule="auto"/>
        <w:rPr>
          <w:rFonts w:ascii="Arial" w:hAnsi="Arial" w:cs="Arial"/>
          <w:color w:val="auto"/>
        </w:rPr>
      </w:pPr>
      <w:bookmarkStart w:id="18" w:name="_Toc390872952"/>
      <w:r w:rsidRPr="00393C24">
        <w:rPr>
          <w:rFonts w:ascii="Arial" w:hAnsi="Arial" w:cs="Arial"/>
          <w:color w:val="auto"/>
        </w:rPr>
        <w:t>3.2.</w:t>
      </w:r>
      <w:r>
        <w:rPr>
          <w:rFonts w:ascii="Arial" w:hAnsi="Arial" w:cs="Arial"/>
          <w:color w:val="auto"/>
        </w:rPr>
        <w:t>7 Artículo 71 de la L</w:t>
      </w:r>
      <w:r w:rsidRPr="00393C24">
        <w:rPr>
          <w:rFonts w:ascii="Arial" w:hAnsi="Arial" w:cs="Arial"/>
          <w:color w:val="auto"/>
        </w:rPr>
        <w:t>ey Nº 18.083</w:t>
      </w:r>
      <w:bookmarkEnd w:id="18"/>
    </w:p>
    <w:p w:rsidR="00C6685C" w:rsidRDefault="00C6685C" w:rsidP="00685459">
      <w:pPr>
        <w:spacing w:line="360" w:lineRule="auto"/>
        <w:jc w:val="both"/>
      </w:pPr>
      <w:r w:rsidRPr="009F7E42">
        <w:t xml:space="preserve">La Junta no deberá contratar con empresas monotributistas a efectos de dar </w:t>
      </w:r>
      <w:r w:rsidRPr="00A17277">
        <w:t xml:space="preserve">cumplimiento </w:t>
      </w:r>
      <w:r w:rsidR="009A0F77">
        <w:t>a lo establecido en esta norma.</w:t>
      </w:r>
    </w:p>
    <w:p w:rsidR="00C6685C" w:rsidRPr="009F7E42" w:rsidRDefault="00C6685C" w:rsidP="00685459">
      <w:pPr>
        <w:pStyle w:val="Ttulo2"/>
        <w:spacing w:before="0" w:line="360" w:lineRule="auto"/>
        <w:rPr>
          <w:rFonts w:ascii="Arial" w:hAnsi="Arial" w:cs="Arial"/>
          <w:color w:val="auto"/>
        </w:rPr>
      </w:pPr>
      <w:r w:rsidRPr="009F7E42">
        <w:rPr>
          <w:rFonts w:ascii="Arial" w:hAnsi="Arial" w:cs="Arial"/>
          <w:color w:val="auto"/>
        </w:rPr>
        <w:t>3.2.8 Artículo 14 del TOCAF</w:t>
      </w:r>
    </w:p>
    <w:p w:rsidR="00C6685C" w:rsidRPr="009F7E42" w:rsidRDefault="00C6685C" w:rsidP="00685459">
      <w:pPr>
        <w:spacing w:line="360" w:lineRule="auto"/>
        <w:jc w:val="both"/>
      </w:pPr>
      <w:r w:rsidRPr="009F7E42">
        <w:t>No deberán efectuarse adquisiciones a proveedores sin contar oportunamente con la orden de compra correspondiente.</w:t>
      </w:r>
    </w:p>
    <w:p w:rsidR="00C6685C" w:rsidRPr="009F7E42" w:rsidRDefault="00C6685C" w:rsidP="00685459">
      <w:pPr>
        <w:pStyle w:val="Ttulo2"/>
        <w:spacing w:before="0" w:line="360" w:lineRule="auto"/>
        <w:rPr>
          <w:rFonts w:ascii="Arial" w:hAnsi="Arial" w:cs="Arial"/>
          <w:color w:val="auto"/>
        </w:rPr>
      </w:pPr>
      <w:r w:rsidRPr="009F7E42">
        <w:rPr>
          <w:rFonts w:ascii="Arial" w:hAnsi="Arial" w:cs="Arial"/>
          <w:color w:val="auto"/>
        </w:rPr>
        <w:t>3.2.9 Artículo 52 del TOCAF</w:t>
      </w:r>
    </w:p>
    <w:p w:rsidR="00C6685C" w:rsidRPr="009F7E42" w:rsidRDefault="00C6685C" w:rsidP="00685459">
      <w:pPr>
        <w:spacing w:line="360" w:lineRule="auto"/>
        <w:jc w:val="both"/>
      </w:pPr>
      <w:r w:rsidRPr="009F7E42">
        <w:t>La Junta Departamental deberá publicar en la página web de Compras y Contrataciones Estatales la convocatoria de las Licitaciones Abreviadas a realizarse.</w:t>
      </w:r>
    </w:p>
    <w:p w:rsidR="00C6685C" w:rsidRDefault="009A0F77" w:rsidP="00685459">
      <w:pPr>
        <w:pStyle w:val="Textoindependiente"/>
        <w:jc w:val="right"/>
      </w:pPr>
      <w:r>
        <w:t>Montevideo, 14 de junio de 2016</w:t>
      </w:r>
    </w:p>
    <w:p w:rsidR="00C6685C" w:rsidRDefault="00C6685C" w:rsidP="00685459">
      <w:pPr>
        <w:pStyle w:val="Textoindependiente"/>
      </w:pPr>
    </w:p>
    <w:p w:rsidR="00C6685C" w:rsidRDefault="00C6685C" w:rsidP="00685459">
      <w:pPr>
        <w:pStyle w:val="Textoindependiente"/>
      </w:pPr>
    </w:p>
    <w:p w:rsidR="00C6685C" w:rsidRPr="00C6685C" w:rsidRDefault="00C6685C" w:rsidP="00C6685C">
      <w:pPr>
        <w:pStyle w:val="Textoindependiente"/>
      </w:pPr>
      <w:proofErr w:type="spellStart"/>
      <w:proofErr w:type="gramStart"/>
      <w:r>
        <w:t>aa</w:t>
      </w:r>
      <w:proofErr w:type="spellEnd"/>
      <w:proofErr w:type="gramEnd"/>
    </w:p>
    <w:sectPr w:rsidR="00C6685C" w:rsidRPr="00C6685C" w:rsidSect="003B5F67">
      <w:headerReference w:type="even" r:id="rId8"/>
      <w:headerReference w:type="default" r:id="rId9"/>
      <w:footerReference w:type="even" r:id="rId10"/>
      <w:footerReference w:type="default" r:id="rId11"/>
      <w:headerReference w:type="first" r:id="rId12"/>
      <w:footerReference w:type="first" r:id="rId13"/>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77" w:rsidRDefault="009A0F77">
      <w:r>
        <w:separator/>
      </w:r>
    </w:p>
  </w:endnote>
  <w:endnote w:type="continuationSeparator" w:id="0">
    <w:p w:rsidR="009A0F77" w:rsidRDefault="009A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77" w:rsidRDefault="009A0F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77" w:rsidRDefault="009A0F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77" w:rsidRDefault="009A0F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77" w:rsidRDefault="009A0F77">
      <w:r>
        <w:separator/>
      </w:r>
    </w:p>
  </w:footnote>
  <w:footnote w:type="continuationSeparator" w:id="0">
    <w:p w:rsidR="009A0F77" w:rsidRDefault="009A0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77" w:rsidRDefault="009A0F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77" w:rsidRDefault="009A0F7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77" w:rsidRDefault="009A0F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3F"/>
    <w:rsid w:val="00174277"/>
    <w:rsid w:val="003B5F67"/>
    <w:rsid w:val="004D01BB"/>
    <w:rsid w:val="005B7FBA"/>
    <w:rsid w:val="005C4411"/>
    <w:rsid w:val="00685459"/>
    <w:rsid w:val="006C127C"/>
    <w:rsid w:val="008E694D"/>
    <w:rsid w:val="009A0F77"/>
    <w:rsid w:val="009C36D5"/>
    <w:rsid w:val="00BE3CEE"/>
    <w:rsid w:val="00C6685C"/>
    <w:rsid w:val="00DB5972"/>
    <w:rsid w:val="00EB0D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3F"/>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C6685C"/>
    <w:pPr>
      <w:keepNext/>
      <w:spacing w:line="360" w:lineRule="auto"/>
      <w:outlineLvl w:val="0"/>
    </w:pPr>
    <w:rPr>
      <w:rFonts w:cs="Arial"/>
      <w:b/>
      <w:bCs/>
      <w:color w:val="000000"/>
    </w:rPr>
  </w:style>
  <w:style w:type="paragraph" w:styleId="Ttulo2">
    <w:name w:val="heading 2"/>
    <w:basedOn w:val="Normal"/>
    <w:next w:val="Normal"/>
    <w:link w:val="Ttulo2Car"/>
    <w:uiPriority w:val="9"/>
    <w:unhideWhenUsed/>
    <w:qFormat/>
    <w:rsid w:val="00C6685C"/>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B0D3F"/>
    <w:pPr>
      <w:spacing w:line="360" w:lineRule="auto"/>
      <w:jc w:val="both"/>
    </w:pPr>
  </w:style>
  <w:style w:type="character" w:customStyle="1" w:styleId="TextoindependienteCar">
    <w:name w:val="Texto independiente Car"/>
    <w:basedOn w:val="Fuentedeprrafopredeter"/>
    <w:link w:val="Textoindependiente"/>
    <w:semiHidden/>
    <w:rsid w:val="00EB0D3F"/>
    <w:rPr>
      <w:rFonts w:ascii="Arial" w:eastAsia="Times New Roman" w:hAnsi="Arial" w:cs="Times New Roman"/>
      <w:sz w:val="24"/>
      <w:szCs w:val="24"/>
      <w:lang w:val="es-ES" w:eastAsia="es-ES"/>
    </w:rPr>
  </w:style>
  <w:style w:type="paragraph" w:styleId="Encabezado">
    <w:name w:val="header"/>
    <w:basedOn w:val="Normal"/>
    <w:link w:val="EncabezadoCar"/>
    <w:semiHidden/>
    <w:rsid w:val="00EB0D3F"/>
    <w:pPr>
      <w:tabs>
        <w:tab w:val="center" w:pos="4252"/>
        <w:tab w:val="right" w:pos="8504"/>
      </w:tabs>
      <w:suppressAutoHyphens/>
    </w:pPr>
    <w:rPr>
      <w:lang w:eastAsia="ar-SA"/>
    </w:rPr>
  </w:style>
  <w:style w:type="character" w:customStyle="1" w:styleId="EncabezadoCar">
    <w:name w:val="Encabezado Car"/>
    <w:basedOn w:val="Fuentedeprrafopredeter"/>
    <w:link w:val="Encabezado"/>
    <w:semiHidden/>
    <w:rsid w:val="00EB0D3F"/>
    <w:rPr>
      <w:rFonts w:ascii="Arial" w:eastAsia="Times New Roman" w:hAnsi="Arial" w:cs="Times New Roman"/>
      <w:sz w:val="24"/>
      <w:szCs w:val="24"/>
      <w:lang w:val="es-ES" w:eastAsia="ar-SA"/>
    </w:rPr>
  </w:style>
  <w:style w:type="paragraph" w:styleId="Piedepgina">
    <w:name w:val="footer"/>
    <w:basedOn w:val="Normal"/>
    <w:link w:val="PiedepginaCar"/>
    <w:uiPriority w:val="99"/>
    <w:unhideWhenUsed/>
    <w:rsid w:val="00EB0D3F"/>
    <w:pPr>
      <w:tabs>
        <w:tab w:val="center" w:pos="4252"/>
        <w:tab w:val="right" w:pos="8504"/>
      </w:tabs>
    </w:pPr>
  </w:style>
  <w:style w:type="character" w:customStyle="1" w:styleId="PiedepginaCar">
    <w:name w:val="Pie de página Car"/>
    <w:basedOn w:val="Fuentedeprrafopredeter"/>
    <w:link w:val="Piedepgina"/>
    <w:uiPriority w:val="99"/>
    <w:rsid w:val="00EB0D3F"/>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C6685C"/>
    <w:rPr>
      <w:rFonts w:ascii="Arial" w:eastAsia="Times New Roman" w:hAnsi="Arial" w:cs="Arial"/>
      <w:b/>
      <w:bCs/>
      <w:color w:val="000000"/>
      <w:sz w:val="24"/>
      <w:szCs w:val="24"/>
      <w:lang w:val="es-ES" w:eastAsia="es-ES"/>
    </w:rPr>
  </w:style>
  <w:style w:type="paragraph" w:styleId="Subttulo">
    <w:name w:val="Subtitle"/>
    <w:basedOn w:val="Normal"/>
    <w:next w:val="Textoindependiente"/>
    <w:link w:val="SubttuloCar"/>
    <w:qFormat/>
    <w:rsid w:val="00C6685C"/>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C6685C"/>
    <w:rPr>
      <w:rFonts w:ascii="Bookman Old Style" w:eastAsia="Times New Roman" w:hAnsi="Bookman Old Style" w:cs="Times New Roman"/>
      <w:b/>
      <w:kern w:val="1"/>
      <w:sz w:val="24"/>
      <w:szCs w:val="20"/>
      <w:lang w:val="es-ES" w:eastAsia="ar-SA"/>
    </w:rPr>
  </w:style>
  <w:style w:type="paragraph" w:styleId="Ttulo">
    <w:name w:val="Title"/>
    <w:basedOn w:val="Normal"/>
    <w:next w:val="Normal"/>
    <w:link w:val="TtuloCar"/>
    <w:qFormat/>
    <w:rsid w:val="00C6685C"/>
    <w:pPr>
      <w:suppressAutoHyphens/>
      <w:spacing w:line="360" w:lineRule="auto"/>
      <w:jc w:val="center"/>
    </w:pPr>
    <w:rPr>
      <w:b/>
      <w:caps/>
      <w:kern w:val="1"/>
      <w:sz w:val="28"/>
      <w:szCs w:val="20"/>
      <w:lang w:eastAsia="ar-SA"/>
    </w:rPr>
  </w:style>
  <w:style w:type="character" w:customStyle="1" w:styleId="TtuloCar">
    <w:name w:val="Título Car"/>
    <w:basedOn w:val="Fuentedeprrafopredeter"/>
    <w:link w:val="Ttulo"/>
    <w:rsid w:val="00C6685C"/>
    <w:rPr>
      <w:rFonts w:ascii="Arial" w:eastAsia="Times New Roman" w:hAnsi="Arial" w:cs="Times New Roman"/>
      <w:b/>
      <w:caps/>
      <w:kern w:val="1"/>
      <w:sz w:val="28"/>
      <w:szCs w:val="20"/>
      <w:lang w:val="es-ES" w:eastAsia="ar-SA"/>
    </w:rPr>
  </w:style>
  <w:style w:type="character" w:customStyle="1" w:styleId="Ttulo2Car">
    <w:name w:val="Título 2 Car"/>
    <w:basedOn w:val="Fuentedeprrafopredeter"/>
    <w:link w:val="Ttulo2"/>
    <w:uiPriority w:val="9"/>
    <w:rsid w:val="00C6685C"/>
    <w:rPr>
      <w:rFonts w:ascii="Cambria" w:eastAsia="Times New Roman" w:hAnsi="Cambria" w:cs="Times New Roman"/>
      <w:b/>
      <w:bCs/>
      <w:color w:val="4F81BD"/>
      <w:sz w:val="26"/>
      <w:szCs w:val="26"/>
      <w:lang w:val="es-ES" w:eastAsia="es-ES"/>
    </w:rPr>
  </w:style>
  <w:style w:type="paragraph" w:customStyle="1" w:styleId="Textoindependiente21">
    <w:name w:val="Texto independiente 21"/>
    <w:basedOn w:val="Normal"/>
    <w:rsid w:val="00C6685C"/>
    <w:pPr>
      <w:suppressAutoHyphens/>
      <w:spacing w:line="360" w:lineRule="auto"/>
    </w:pPr>
    <w:rPr>
      <w:rFonts w:ascii="Bookman Old Style" w:hAnsi="Bookman Old Style"/>
      <w:kern w:val="1"/>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3F"/>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C6685C"/>
    <w:pPr>
      <w:keepNext/>
      <w:spacing w:line="360" w:lineRule="auto"/>
      <w:outlineLvl w:val="0"/>
    </w:pPr>
    <w:rPr>
      <w:rFonts w:cs="Arial"/>
      <w:b/>
      <w:bCs/>
      <w:color w:val="000000"/>
    </w:rPr>
  </w:style>
  <w:style w:type="paragraph" w:styleId="Ttulo2">
    <w:name w:val="heading 2"/>
    <w:basedOn w:val="Normal"/>
    <w:next w:val="Normal"/>
    <w:link w:val="Ttulo2Car"/>
    <w:uiPriority w:val="9"/>
    <w:unhideWhenUsed/>
    <w:qFormat/>
    <w:rsid w:val="00C6685C"/>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B0D3F"/>
    <w:pPr>
      <w:spacing w:line="360" w:lineRule="auto"/>
      <w:jc w:val="both"/>
    </w:pPr>
  </w:style>
  <w:style w:type="character" w:customStyle="1" w:styleId="TextoindependienteCar">
    <w:name w:val="Texto independiente Car"/>
    <w:basedOn w:val="Fuentedeprrafopredeter"/>
    <w:link w:val="Textoindependiente"/>
    <w:semiHidden/>
    <w:rsid w:val="00EB0D3F"/>
    <w:rPr>
      <w:rFonts w:ascii="Arial" w:eastAsia="Times New Roman" w:hAnsi="Arial" w:cs="Times New Roman"/>
      <w:sz w:val="24"/>
      <w:szCs w:val="24"/>
      <w:lang w:val="es-ES" w:eastAsia="es-ES"/>
    </w:rPr>
  </w:style>
  <w:style w:type="paragraph" w:styleId="Encabezado">
    <w:name w:val="header"/>
    <w:basedOn w:val="Normal"/>
    <w:link w:val="EncabezadoCar"/>
    <w:semiHidden/>
    <w:rsid w:val="00EB0D3F"/>
    <w:pPr>
      <w:tabs>
        <w:tab w:val="center" w:pos="4252"/>
        <w:tab w:val="right" w:pos="8504"/>
      </w:tabs>
      <w:suppressAutoHyphens/>
    </w:pPr>
    <w:rPr>
      <w:lang w:eastAsia="ar-SA"/>
    </w:rPr>
  </w:style>
  <w:style w:type="character" w:customStyle="1" w:styleId="EncabezadoCar">
    <w:name w:val="Encabezado Car"/>
    <w:basedOn w:val="Fuentedeprrafopredeter"/>
    <w:link w:val="Encabezado"/>
    <w:semiHidden/>
    <w:rsid w:val="00EB0D3F"/>
    <w:rPr>
      <w:rFonts w:ascii="Arial" w:eastAsia="Times New Roman" w:hAnsi="Arial" w:cs="Times New Roman"/>
      <w:sz w:val="24"/>
      <w:szCs w:val="24"/>
      <w:lang w:val="es-ES" w:eastAsia="ar-SA"/>
    </w:rPr>
  </w:style>
  <w:style w:type="paragraph" w:styleId="Piedepgina">
    <w:name w:val="footer"/>
    <w:basedOn w:val="Normal"/>
    <w:link w:val="PiedepginaCar"/>
    <w:uiPriority w:val="99"/>
    <w:unhideWhenUsed/>
    <w:rsid w:val="00EB0D3F"/>
    <w:pPr>
      <w:tabs>
        <w:tab w:val="center" w:pos="4252"/>
        <w:tab w:val="right" w:pos="8504"/>
      </w:tabs>
    </w:pPr>
  </w:style>
  <w:style w:type="character" w:customStyle="1" w:styleId="PiedepginaCar">
    <w:name w:val="Pie de página Car"/>
    <w:basedOn w:val="Fuentedeprrafopredeter"/>
    <w:link w:val="Piedepgina"/>
    <w:uiPriority w:val="99"/>
    <w:rsid w:val="00EB0D3F"/>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C6685C"/>
    <w:rPr>
      <w:rFonts w:ascii="Arial" w:eastAsia="Times New Roman" w:hAnsi="Arial" w:cs="Arial"/>
      <w:b/>
      <w:bCs/>
      <w:color w:val="000000"/>
      <w:sz w:val="24"/>
      <w:szCs w:val="24"/>
      <w:lang w:val="es-ES" w:eastAsia="es-ES"/>
    </w:rPr>
  </w:style>
  <w:style w:type="paragraph" w:styleId="Subttulo">
    <w:name w:val="Subtitle"/>
    <w:basedOn w:val="Normal"/>
    <w:next w:val="Textoindependiente"/>
    <w:link w:val="SubttuloCar"/>
    <w:qFormat/>
    <w:rsid w:val="00C6685C"/>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C6685C"/>
    <w:rPr>
      <w:rFonts w:ascii="Bookman Old Style" w:eastAsia="Times New Roman" w:hAnsi="Bookman Old Style" w:cs="Times New Roman"/>
      <w:b/>
      <w:kern w:val="1"/>
      <w:sz w:val="24"/>
      <w:szCs w:val="20"/>
      <w:lang w:val="es-ES" w:eastAsia="ar-SA"/>
    </w:rPr>
  </w:style>
  <w:style w:type="paragraph" w:styleId="Ttulo">
    <w:name w:val="Title"/>
    <w:basedOn w:val="Normal"/>
    <w:next w:val="Normal"/>
    <w:link w:val="TtuloCar"/>
    <w:qFormat/>
    <w:rsid w:val="00C6685C"/>
    <w:pPr>
      <w:suppressAutoHyphens/>
      <w:spacing w:line="360" w:lineRule="auto"/>
      <w:jc w:val="center"/>
    </w:pPr>
    <w:rPr>
      <w:b/>
      <w:caps/>
      <w:kern w:val="1"/>
      <w:sz w:val="28"/>
      <w:szCs w:val="20"/>
      <w:lang w:eastAsia="ar-SA"/>
    </w:rPr>
  </w:style>
  <w:style w:type="character" w:customStyle="1" w:styleId="TtuloCar">
    <w:name w:val="Título Car"/>
    <w:basedOn w:val="Fuentedeprrafopredeter"/>
    <w:link w:val="Ttulo"/>
    <w:rsid w:val="00C6685C"/>
    <w:rPr>
      <w:rFonts w:ascii="Arial" w:eastAsia="Times New Roman" w:hAnsi="Arial" w:cs="Times New Roman"/>
      <w:b/>
      <w:caps/>
      <w:kern w:val="1"/>
      <w:sz w:val="28"/>
      <w:szCs w:val="20"/>
      <w:lang w:val="es-ES" w:eastAsia="ar-SA"/>
    </w:rPr>
  </w:style>
  <w:style w:type="character" w:customStyle="1" w:styleId="Ttulo2Car">
    <w:name w:val="Título 2 Car"/>
    <w:basedOn w:val="Fuentedeprrafopredeter"/>
    <w:link w:val="Ttulo2"/>
    <w:uiPriority w:val="9"/>
    <w:rsid w:val="00C6685C"/>
    <w:rPr>
      <w:rFonts w:ascii="Cambria" w:eastAsia="Times New Roman" w:hAnsi="Cambria" w:cs="Times New Roman"/>
      <w:b/>
      <w:bCs/>
      <w:color w:val="4F81BD"/>
      <w:sz w:val="26"/>
      <w:szCs w:val="26"/>
      <w:lang w:val="es-ES" w:eastAsia="es-ES"/>
    </w:rPr>
  </w:style>
  <w:style w:type="paragraph" w:customStyle="1" w:styleId="Textoindependiente21">
    <w:name w:val="Texto independiente 21"/>
    <w:basedOn w:val="Normal"/>
    <w:rsid w:val="00C6685C"/>
    <w:pPr>
      <w:suppressAutoHyphens/>
      <w:spacing w:line="360" w:lineRule="auto"/>
    </w:pPr>
    <w:rPr>
      <w:rFonts w:ascii="Bookman Old Style" w:hAnsi="Bookman Old Style"/>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2005</Words>
  <Characters>11033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 </cp:lastModifiedBy>
  <cp:revision>4</cp:revision>
  <cp:lastPrinted>2016-07-05T13:15:00Z</cp:lastPrinted>
  <dcterms:created xsi:type="dcterms:W3CDTF">2016-07-05T13:28:00Z</dcterms:created>
  <dcterms:modified xsi:type="dcterms:W3CDTF">2016-10-04T19:32:00Z</dcterms:modified>
</cp:coreProperties>
</file>