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54C" w:rsidRPr="00786EEB" w:rsidRDefault="00A6254C" w:rsidP="00A6254C">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2170</w:t>
      </w:r>
      <w:r w:rsidRPr="00786EEB">
        <w:rPr>
          <w:rFonts w:cs="Arial"/>
          <w:b/>
          <w:sz w:val="28"/>
          <w:szCs w:val="28"/>
          <w:lang w:val="es-ES_tradnl"/>
        </w:rPr>
        <w:t>/16</w:t>
      </w:r>
    </w:p>
    <w:p w:rsidR="00A6254C" w:rsidRDefault="00A6254C" w:rsidP="00DF4F9C">
      <w:pPr>
        <w:tabs>
          <w:tab w:val="center" w:pos="4253"/>
        </w:tabs>
        <w:suppressAutoHyphens/>
        <w:jc w:val="right"/>
        <w:rPr>
          <w:rFonts w:cs="Arial"/>
          <w:b/>
          <w:lang w:val="es-ES_tradnl"/>
        </w:rPr>
      </w:pPr>
    </w:p>
    <w:p w:rsidR="00A6254C" w:rsidRPr="00762B34" w:rsidRDefault="00A6254C">
      <w:pPr>
        <w:tabs>
          <w:tab w:val="center" w:pos="4253"/>
        </w:tabs>
        <w:suppressAutoHyphens/>
        <w:jc w:val="center"/>
        <w:rPr>
          <w:rFonts w:cs="Arial"/>
          <w:b/>
          <w:lang w:val="es-ES_tradnl"/>
        </w:rPr>
      </w:pPr>
      <w:r w:rsidRPr="00762B34">
        <w:rPr>
          <w:rFonts w:cs="Arial"/>
          <w:b/>
          <w:lang w:val="es-ES_tradnl"/>
        </w:rPr>
        <w:t>RESOLUCION ADOPTADA POR EL</w:t>
      </w:r>
    </w:p>
    <w:p w:rsidR="00A6254C" w:rsidRPr="00762B34" w:rsidRDefault="00A6254C">
      <w:pPr>
        <w:tabs>
          <w:tab w:val="left" w:pos="-720"/>
        </w:tabs>
        <w:suppressAutoHyphens/>
        <w:jc w:val="center"/>
        <w:rPr>
          <w:rFonts w:cs="Arial"/>
          <w:b/>
          <w:lang w:val="es-ES_tradnl"/>
        </w:rPr>
      </w:pPr>
    </w:p>
    <w:p w:rsidR="00A6254C" w:rsidRPr="00762B34" w:rsidRDefault="00A6254C">
      <w:pPr>
        <w:tabs>
          <w:tab w:val="center" w:pos="4253"/>
        </w:tabs>
        <w:suppressAutoHyphens/>
        <w:jc w:val="center"/>
        <w:rPr>
          <w:rFonts w:cs="Arial"/>
          <w:b/>
          <w:lang w:val="es-ES_tradnl"/>
        </w:rPr>
      </w:pPr>
      <w:r w:rsidRPr="00762B34">
        <w:rPr>
          <w:rFonts w:cs="Arial"/>
          <w:b/>
          <w:lang w:val="es-ES_tradnl"/>
        </w:rPr>
        <w:t>TRIBUNAL DE CUENTAS</w:t>
      </w:r>
    </w:p>
    <w:p w:rsidR="00A6254C" w:rsidRPr="00762B34" w:rsidRDefault="00A6254C">
      <w:pPr>
        <w:tabs>
          <w:tab w:val="left" w:pos="-720"/>
        </w:tabs>
        <w:suppressAutoHyphens/>
        <w:jc w:val="center"/>
        <w:rPr>
          <w:rFonts w:cs="Arial"/>
          <w:b/>
          <w:lang w:val="es-ES_tradnl"/>
        </w:rPr>
      </w:pPr>
    </w:p>
    <w:p w:rsidR="00A6254C" w:rsidRPr="00762B34" w:rsidRDefault="00A6254C">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22 DE JUNIO DE 2016</w:t>
      </w:r>
    </w:p>
    <w:p w:rsidR="00A6254C" w:rsidRPr="00762B34" w:rsidRDefault="00A6254C">
      <w:pPr>
        <w:tabs>
          <w:tab w:val="center" w:pos="4253"/>
        </w:tabs>
        <w:suppressAutoHyphens/>
        <w:jc w:val="center"/>
        <w:rPr>
          <w:rFonts w:cs="Arial"/>
          <w:b/>
          <w:lang w:val="es-ES_tradnl"/>
        </w:rPr>
      </w:pPr>
    </w:p>
    <w:p w:rsidR="00A6254C" w:rsidRPr="00BC581D" w:rsidRDefault="00A6254C">
      <w:pPr>
        <w:tabs>
          <w:tab w:val="center" w:pos="4253"/>
        </w:tabs>
        <w:suppressAutoHyphens/>
        <w:jc w:val="center"/>
        <w:rPr>
          <w:rFonts w:cs="Arial"/>
          <w:b/>
        </w:rPr>
      </w:pPr>
      <w:r w:rsidRPr="00BC581D">
        <w:rPr>
          <w:rFonts w:cs="Arial"/>
          <w:b/>
        </w:rPr>
        <w:t xml:space="preserve">(E. E. Nº </w:t>
      </w:r>
      <w:r w:rsidRPr="007004DB">
        <w:rPr>
          <w:b/>
        </w:rPr>
        <w:t>2016-17-1-000</w:t>
      </w:r>
      <w:r>
        <w:rPr>
          <w:b/>
        </w:rPr>
        <w:t>3739</w:t>
      </w:r>
      <w:r w:rsidRPr="00BC581D">
        <w:rPr>
          <w:rFonts w:cs="Arial"/>
          <w:b/>
        </w:rPr>
        <w:t xml:space="preserve">, </w:t>
      </w:r>
      <w:proofErr w:type="spellStart"/>
      <w:r w:rsidRPr="00BC581D">
        <w:rPr>
          <w:rFonts w:cs="Arial"/>
          <w:b/>
        </w:rPr>
        <w:t>Ent</w:t>
      </w:r>
      <w:proofErr w:type="spellEnd"/>
      <w:r w:rsidRPr="00BC581D">
        <w:rPr>
          <w:rFonts w:cs="Arial"/>
          <w:b/>
        </w:rPr>
        <w:t>. N°</w:t>
      </w:r>
      <w:r w:rsidR="00DF4F9C">
        <w:rPr>
          <w:rFonts w:cs="Arial"/>
          <w:b/>
        </w:rPr>
        <w:t xml:space="preserve"> </w:t>
      </w:r>
      <w:r>
        <w:rPr>
          <w:b/>
        </w:rPr>
        <w:t>2862/16</w:t>
      </w:r>
      <w:r w:rsidRPr="00BC581D">
        <w:rPr>
          <w:rFonts w:cs="Arial"/>
          <w:b/>
        </w:rPr>
        <w:t>)</w:t>
      </w:r>
    </w:p>
    <w:p w:rsidR="0051603F" w:rsidRDefault="0051603F" w:rsidP="00A6254C">
      <w:pPr>
        <w:pStyle w:val="Textoindependiente"/>
      </w:pPr>
    </w:p>
    <w:p w:rsidR="00DF4F9C" w:rsidRDefault="00DF4F9C" w:rsidP="00A6254C">
      <w:pPr>
        <w:pStyle w:val="Textoindependiente"/>
      </w:pPr>
    </w:p>
    <w:p w:rsidR="007B19C8" w:rsidRDefault="0051603F" w:rsidP="00A6254C">
      <w:pPr>
        <w:pStyle w:val="Textoindependiente"/>
        <w:ind w:firstLine="851"/>
      </w:pPr>
      <w:r>
        <w:rPr>
          <w:b/>
        </w:rPr>
        <w:t>VISTO:</w:t>
      </w:r>
      <w:r>
        <w:t xml:space="preserve"> </w:t>
      </w:r>
      <w:r w:rsidR="007B19C8">
        <w:t xml:space="preserve">el Proyecto de Presupuesto Quinquenal de la Junta Departamental de Maldonado para los </w:t>
      </w:r>
      <w:r w:rsidR="00A6254C">
        <w:t>E</w:t>
      </w:r>
      <w:r w:rsidR="007B19C8">
        <w:t>jercicios 2016 -2020;</w:t>
      </w:r>
    </w:p>
    <w:p w:rsidR="0051603F" w:rsidRDefault="0051603F" w:rsidP="00A6254C">
      <w:pPr>
        <w:pStyle w:val="Textoindependiente"/>
        <w:ind w:firstLine="851"/>
        <w:rPr>
          <w:bCs/>
        </w:rPr>
      </w:pPr>
      <w:r>
        <w:rPr>
          <w:b/>
        </w:rPr>
        <w:t>CONSIDERANDO:</w:t>
      </w:r>
      <w:r>
        <w:t xml:space="preserve"> </w:t>
      </w:r>
      <w:r>
        <w:rPr>
          <w:b/>
        </w:rPr>
        <w:t xml:space="preserve">1) </w:t>
      </w:r>
      <w:r>
        <w:rPr>
          <w:bCs/>
        </w:rPr>
        <w:t>que se ha dado cumplimiento a lo establecido en los Artículos 273 N</w:t>
      </w:r>
      <w:r w:rsidR="00A6254C">
        <w:rPr>
          <w:bCs/>
        </w:rPr>
        <w:t>ume</w:t>
      </w:r>
      <w:r>
        <w:rPr>
          <w:bCs/>
        </w:rPr>
        <w:t xml:space="preserve">ral 6° de la Constitución de la República y 483 de la Ley </w:t>
      </w:r>
      <w:r w:rsidR="00A6254C">
        <w:rPr>
          <w:bCs/>
        </w:rPr>
        <w:t xml:space="preserve">   </w:t>
      </w:r>
      <w:r w:rsidR="00DF4F9C">
        <w:rPr>
          <w:bCs/>
        </w:rPr>
        <w:t>N° 17.296;</w:t>
      </w:r>
    </w:p>
    <w:p w:rsidR="0051603F" w:rsidRDefault="0051603F" w:rsidP="00BC581D">
      <w:pPr>
        <w:pStyle w:val="Textoindependiente"/>
        <w:ind w:firstLine="2977"/>
      </w:pPr>
      <w:r>
        <w:rPr>
          <w:b/>
          <w:bCs/>
        </w:rPr>
        <w:t>2)</w:t>
      </w:r>
      <w:r>
        <w:t xml:space="preserve"> que las conclusiones y evidencias obtenidas son las que se expresan en el Dictamen que se adjunta;</w:t>
      </w:r>
    </w:p>
    <w:p w:rsidR="0051603F" w:rsidRDefault="0051603F" w:rsidP="00BC581D">
      <w:pPr>
        <w:pStyle w:val="Textoindependiente"/>
        <w:ind w:firstLine="851"/>
      </w:pPr>
      <w:r>
        <w:rPr>
          <w:b/>
        </w:rPr>
        <w:t>ATENTO:</w:t>
      </w:r>
      <w:r>
        <w:t xml:space="preserve"> a lo dispuesto por los Artículos 211 </w:t>
      </w:r>
      <w:r w:rsidR="00A6254C">
        <w:t>L</w:t>
      </w:r>
      <w:r>
        <w:t>iteral A) y 225 de la Constitución de la República y Artículo 483 de la Ley N° 17.296;</w:t>
      </w:r>
    </w:p>
    <w:p w:rsidR="0051603F" w:rsidRDefault="0051603F" w:rsidP="00A6254C">
      <w:pPr>
        <w:pStyle w:val="Textoindependiente"/>
        <w:jc w:val="center"/>
        <w:rPr>
          <w:b/>
        </w:rPr>
      </w:pPr>
      <w:r>
        <w:rPr>
          <w:b/>
        </w:rPr>
        <w:t>EL TRIBUNAL ACUERDA</w:t>
      </w:r>
    </w:p>
    <w:p w:rsidR="0051603F" w:rsidRDefault="0051603F" w:rsidP="0051603F">
      <w:pPr>
        <w:pStyle w:val="Textoindependiente"/>
        <w:numPr>
          <w:ilvl w:val="0"/>
          <w:numId w:val="1"/>
        </w:numPr>
        <w:tabs>
          <w:tab w:val="clear" w:pos="720"/>
          <w:tab w:val="num" w:pos="360"/>
        </w:tabs>
        <w:ind w:left="360"/>
      </w:pPr>
      <w:r>
        <w:t xml:space="preserve">Emitir su pronunciamiento respecto al Proyecto de Presupuesto Quinquenal de la Junta Departamental de </w:t>
      </w:r>
      <w:r w:rsidR="0048723D">
        <w:t>Maldonado</w:t>
      </w:r>
      <w:r>
        <w:t xml:space="preserve"> correspondiente al período 2016-2020, en los térmi</w:t>
      </w:r>
      <w:r w:rsidR="00DF4F9C">
        <w:t>nos del Dictamen que se adjunta;</w:t>
      </w:r>
    </w:p>
    <w:p w:rsidR="0051603F" w:rsidRDefault="0051603F" w:rsidP="0051603F">
      <w:pPr>
        <w:pStyle w:val="Textoindependiente"/>
        <w:numPr>
          <w:ilvl w:val="0"/>
          <w:numId w:val="1"/>
        </w:numPr>
        <w:tabs>
          <w:tab w:val="clear" w:pos="720"/>
          <w:tab w:val="num" w:pos="360"/>
        </w:tabs>
        <w:ind w:left="360"/>
      </w:pPr>
      <w:r w:rsidRPr="007004DB">
        <w:t xml:space="preserve">Observar el referido documento por lo expresado </w:t>
      </w:r>
      <w:r w:rsidR="005B7042" w:rsidRPr="007004DB">
        <w:t xml:space="preserve">en </w:t>
      </w:r>
      <w:r w:rsidR="007004DB" w:rsidRPr="007004DB">
        <w:t xml:space="preserve">los </w:t>
      </w:r>
      <w:r w:rsidR="005B7042" w:rsidRPr="007004DB">
        <w:t>párrafo</w:t>
      </w:r>
      <w:r w:rsidR="007004DB" w:rsidRPr="007004DB">
        <w:t>s</w:t>
      </w:r>
      <w:r w:rsidR="005B7042" w:rsidRPr="007004DB">
        <w:t xml:space="preserve"> </w:t>
      </w:r>
      <w:r w:rsidR="007B19C8">
        <w:t>2.</w:t>
      </w:r>
      <w:r w:rsidR="00D451F4">
        <w:t>2</w:t>
      </w:r>
      <w:r w:rsidR="007B19C8">
        <w:t>)</w:t>
      </w:r>
      <w:r w:rsidR="006B6C76">
        <w:t>, 2.3)</w:t>
      </w:r>
      <w:r w:rsidR="007B19C8">
        <w:t xml:space="preserve"> y </w:t>
      </w:r>
      <w:r w:rsidR="005B7042" w:rsidRPr="007004DB">
        <w:t>3.</w:t>
      </w:r>
      <w:r w:rsidR="001373DE" w:rsidRPr="007004DB">
        <w:t>2</w:t>
      </w:r>
      <w:r w:rsidR="005B7042" w:rsidRPr="007004DB">
        <w:t>) de este</w:t>
      </w:r>
      <w:r w:rsidR="00DF4F9C">
        <w:t xml:space="preserve"> Dictamen;</w:t>
      </w:r>
    </w:p>
    <w:p w:rsidR="007B19C8" w:rsidRPr="007004DB" w:rsidRDefault="007B19C8" w:rsidP="007B19C8">
      <w:pPr>
        <w:pStyle w:val="Textoindependiente"/>
        <w:numPr>
          <w:ilvl w:val="0"/>
          <w:numId w:val="1"/>
        </w:numPr>
        <w:tabs>
          <w:tab w:val="clear" w:pos="720"/>
          <w:tab w:val="num" w:pos="360"/>
        </w:tabs>
        <w:ind w:left="360"/>
      </w:pPr>
      <w:r w:rsidRPr="007B19C8">
        <w:t>Té</w:t>
      </w:r>
      <w:r w:rsidR="00035EE4">
        <w:t>ngase presente lo expresado en el</w:t>
      </w:r>
      <w:r w:rsidRPr="007B19C8">
        <w:t xml:space="preserve"> párrafo 3.</w:t>
      </w:r>
      <w:r>
        <w:t>3</w:t>
      </w:r>
      <w:r w:rsidRPr="007B19C8">
        <w:t>);</w:t>
      </w:r>
    </w:p>
    <w:p w:rsidR="0051603F" w:rsidRDefault="0051603F" w:rsidP="0051603F">
      <w:pPr>
        <w:pStyle w:val="Textoindependiente"/>
        <w:numPr>
          <w:ilvl w:val="0"/>
          <w:numId w:val="1"/>
        </w:numPr>
        <w:tabs>
          <w:tab w:val="clear" w:pos="720"/>
          <w:tab w:val="num" w:pos="360"/>
        </w:tabs>
        <w:ind w:left="360"/>
      </w:pPr>
      <w:r>
        <w:t xml:space="preserve">Señalar que las asignaciones presupuestales proyectadas deberán ser financiadas por la Intendencia de </w:t>
      </w:r>
      <w:r w:rsidR="007004DB">
        <w:t>Maldonado</w:t>
      </w:r>
      <w:r w:rsidR="00DF4F9C">
        <w:t>;</w:t>
      </w:r>
    </w:p>
    <w:p w:rsidR="0051603F" w:rsidRDefault="0051603F" w:rsidP="0051603F">
      <w:pPr>
        <w:pStyle w:val="Textoindependiente"/>
        <w:numPr>
          <w:ilvl w:val="0"/>
          <w:numId w:val="1"/>
        </w:numPr>
        <w:tabs>
          <w:tab w:val="clear" w:pos="720"/>
          <w:tab w:val="num" w:pos="360"/>
        </w:tabs>
        <w:ind w:left="360"/>
      </w:pPr>
      <w:r>
        <w:t xml:space="preserve">Comunicar la presente Resolución a la Intendencia de </w:t>
      </w:r>
      <w:r w:rsidR="007004DB">
        <w:t>Maldonado</w:t>
      </w:r>
      <w:r w:rsidR="00DF4F9C">
        <w:t>;</w:t>
      </w:r>
    </w:p>
    <w:p w:rsidR="0051603F" w:rsidRDefault="0051603F" w:rsidP="0051603F">
      <w:pPr>
        <w:pStyle w:val="Textoindependiente"/>
        <w:numPr>
          <w:ilvl w:val="0"/>
          <w:numId w:val="1"/>
        </w:numPr>
        <w:tabs>
          <w:tab w:val="clear" w:pos="720"/>
          <w:tab w:val="num" w:pos="360"/>
        </w:tabs>
        <w:ind w:left="360"/>
      </w:pPr>
      <w:r>
        <w:t xml:space="preserve">Devolver los antecedentes a la Junta Departamental de </w:t>
      </w:r>
      <w:r w:rsidR="007004DB">
        <w:t>Maldonado</w:t>
      </w:r>
      <w:r>
        <w:t>.</w:t>
      </w:r>
    </w:p>
    <w:p w:rsidR="0051603F" w:rsidRDefault="0051603F" w:rsidP="0051603F">
      <w:pPr>
        <w:tabs>
          <w:tab w:val="left" w:pos="360"/>
        </w:tabs>
        <w:spacing w:line="360" w:lineRule="auto"/>
        <w:jc w:val="both"/>
      </w:pPr>
    </w:p>
    <w:p w:rsidR="0051603F" w:rsidRDefault="0051603F" w:rsidP="0051603F">
      <w:pPr>
        <w:tabs>
          <w:tab w:val="left" w:pos="360"/>
        </w:tabs>
        <w:spacing w:line="360" w:lineRule="auto"/>
        <w:jc w:val="both"/>
        <w:rPr>
          <w:sz w:val="20"/>
          <w:szCs w:val="20"/>
          <w:lang w:val="es-UY"/>
        </w:rPr>
      </w:pPr>
    </w:p>
    <w:p w:rsidR="00696258" w:rsidRDefault="00696258" w:rsidP="00DF4F9C">
      <w:pPr>
        <w:jc w:val="center"/>
        <w:rPr>
          <w:b/>
        </w:rPr>
      </w:pPr>
      <w:r>
        <w:rPr>
          <w:b/>
        </w:rPr>
        <w:lastRenderedPageBreak/>
        <w:t>DICTAMEN</w:t>
      </w:r>
    </w:p>
    <w:p w:rsidR="00DF4F9C" w:rsidRDefault="00DF4F9C" w:rsidP="00DF4F9C">
      <w:pPr>
        <w:jc w:val="center"/>
      </w:pPr>
    </w:p>
    <w:p w:rsidR="00F20C47" w:rsidRDefault="00F20C47">
      <w:pPr>
        <w:jc w:val="right"/>
      </w:pPr>
    </w:p>
    <w:p w:rsidR="00696258" w:rsidRDefault="00696258">
      <w:pPr>
        <w:jc w:val="right"/>
        <w:rPr>
          <w:b/>
        </w:rPr>
      </w:pPr>
      <w:r>
        <w:t xml:space="preserve">      </w:t>
      </w:r>
    </w:p>
    <w:p w:rsidR="00696258" w:rsidRDefault="00696258">
      <w:pPr>
        <w:pStyle w:val="Textoindependiente"/>
        <w:ind w:firstLine="708"/>
      </w:pPr>
      <w:r>
        <w:t>El Tribunal de Cuentas ha examinado el Proyecto de Presupuesto para el período 2016 - 2020  de la Junta Departamental de Maldonado. Toda la información incluida en el referido Proyecto y los supuestos sobre los que se basa, son responsabilidad del Organismo que los emite. La responsabilidad del Tribunal de Cuentas es expresar una opinión sobre dicho Proyecto de Presupuesto, de acuerdo a lo dispuesto por los Artículos 211 Literal A),  225 de la Constitución de la República, y 483 de la Ley N° 17.296 y establecer, en caso que corresponda, los hallazgos realizados en relación con el cumplimiento de las disposiciones constitucionales, legales y reglamentarias que resulte</w:t>
      </w:r>
      <w:r w:rsidR="00DF4F9C">
        <w:t>n aplicables.</w:t>
      </w:r>
    </w:p>
    <w:p w:rsidR="00696258" w:rsidRDefault="00696258">
      <w:pPr>
        <w:spacing w:line="360" w:lineRule="auto"/>
        <w:jc w:val="both"/>
        <w:rPr>
          <w:bCs/>
        </w:rPr>
      </w:pPr>
    </w:p>
    <w:p w:rsidR="00696258" w:rsidRDefault="00DF4F9C">
      <w:pPr>
        <w:spacing w:line="360" w:lineRule="auto"/>
        <w:jc w:val="both"/>
        <w:rPr>
          <w:b/>
        </w:rPr>
      </w:pPr>
      <w:r>
        <w:rPr>
          <w:b/>
        </w:rPr>
        <w:t>1) Antecedentes</w:t>
      </w:r>
    </w:p>
    <w:p w:rsidR="00696258" w:rsidRDefault="00696258">
      <w:pPr>
        <w:spacing w:line="360" w:lineRule="auto"/>
        <w:ind w:firstLine="708"/>
        <w:jc w:val="both"/>
      </w:pPr>
      <w:r>
        <w:rPr>
          <w:b/>
        </w:rPr>
        <w:t xml:space="preserve">1.1.) </w:t>
      </w:r>
      <w:r>
        <w:t>En sesión ordinaria de 31 de Mayo de 2016 la Junta Departamental aprobó ad referéndum del dictamen Tribunal de Cuentas de la República,</w:t>
      </w:r>
      <w:r>
        <w:rPr>
          <w:b/>
        </w:rPr>
        <w:t xml:space="preserve"> </w:t>
      </w:r>
      <w:r>
        <w:t>en general, con el voto de 30 Ediles presentes en Sala, sin haber entrado en la consideración particular del articulado del mismo,  el</w:t>
      </w:r>
      <w:r>
        <w:rPr>
          <w:b/>
        </w:rPr>
        <w:t xml:space="preserve"> </w:t>
      </w:r>
      <w:r>
        <w:t>Proyecto de Presupuesto de la Corporación para el período 2016 - 2020</w:t>
      </w:r>
      <w:r w:rsidR="00DF4F9C">
        <w:t xml:space="preserve"> a regir a partir del 01.01.16.</w:t>
      </w:r>
    </w:p>
    <w:p w:rsidR="00696258" w:rsidRDefault="00696258">
      <w:pPr>
        <w:pStyle w:val="Encabezadodetda"/>
        <w:tabs>
          <w:tab w:val="clear" w:pos="9360"/>
        </w:tabs>
        <w:suppressAutoHyphens w:val="0"/>
        <w:spacing w:line="360" w:lineRule="auto"/>
        <w:ind w:firstLine="708"/>
        <w:jc w:val="both"/>
        <w:rPr>
          <w:rFonts w:ascii="Arial" w:hAnsi="Arial"/>
          <w:spacing w:val="-3"/>
          <w:sz w:val="24"/>
          <w:lang w:val="es-ES_tradnl"/>
        </w:rPr>
      </w:pPr>
      <w:r>
        <w:rPr>
          <w:rFonts w:ascii="Arial" w:hAnsi="Arial"/>
          <w:b/>
          <w:spacing w:val="-3"/>
          <w:sz w:val="24"/>
          <w:lang w:val="es-ES"/>
        </w:rPr>
        <w:t xml:space="preserve">1.2) </w:t>
      </w:r>
      <w:r>
        <w:rPr>
          <w:rFonts w:ascii="Arial" w:hAnsi="Arial"/>
          <w:spacing w:val="-3"/>
          <w:sz w:val="24"/>
          <w:lang w:val="es-ES_tradnl"/>
        </w:rPr>
        <w:t>Por Oficio Nº 176/16  de  fecha 31.05.16, el Legislativo Comunal de Maldonado remitió al Tribunal de Cuentas las presentes actuaciones para su consideración, produciéndose  la  entrada  oficial  en  Sesión  de  fecha 08.06.16 de 2016 (Ordenanzas Números 51 del 22.11.1972 y 69 del  20.07.1994 ).</w:t>
      </w:r>
    </w:p>
    <w:p w:rsidR="00696258" w:rsidRDefault="00696258">
      <w:pPr>
        <w:pStyle w:val="Encabezadodetda"/>
        <w:tabs>
          <w:tab w:val="clear" w:pos="9360"/>
        </w:tabs>
        <w:suppressAutoHyphens w:val="0"/>
        <w:spacing w:line="360" w:lineRule="auto"/>
        <w:ind w:firstLine="708"/>
        <w:jc w:val="both"/>
        <w:rPr>
          <w:rFonts w:ascii="Arial" w:hAnsi="Arial" w:cs="Arial"/>
          <w:sz w:val="24"/>
          <w:szCs w:val="24"/>
          <w:lang w:val="es-ES"/>
        </w:rPr>
      </w:pPr>
      <w:r>
        <w:rPr>
          <w:rFonts w:ascii="Arial" w:hAnsi="Arial"/>
          <w:b/>
          <w:spacing w:val="-3"/>
          <w:sz w:val="24"/>
          <w:lang w:val="es-ES_tradnl"/>
        </w:rPr>
        <w:t xml:space="preserve">1.3)  </w:t>
      </w:r>
      <w:r>
        <w:rPr>
          <w:rFonts w:ascii="Arial" w:hAnsi="Arial" w:cs="Arial"/>
          <w:sz w:val="24"/>
          <w:szCs w:val="24"/>
          <w:lang w:val="es-ES"/>
        </w:rPr>
        <w:t>De conformidad a lo establecido en el Artículo 225 de la Constitución de la República el plazo para la emisión del dictamen constitucional vence el  28.06.16.</w:t>
      </w:r>
    </w:p>
    <w:p w:rsidR="00696258" w:rsidRDefault="00696258">
      <w:pPr>
        <w:pStyle w:val="Encabezadodetda"/>
        <w:tabs>
          <w:tab w:val="clear" w:pos="9360"/>
        </w:tabs>
        <w:suppressAutoHyphens w:val="0"/>
        <w:spacing w:line="360" w:lineRule="auto"/>
        <w:ind w:firstLine="708"/>
        <w:jc w:val="both"/>
        <w:rPr>
          <w:lang w:val="es-ES"/>
        </w:rPr>
      </w:pPr>
    </w:p>
    <w:p w:rsidR="00696258" w:rsidRDefault="00696258">
      <w:pPr>
        <w:spacing w:line="360" w:lineRule="auto"/>
        <w:jc w:val="both"/>
        <w:rPr>
          <w:b/>
        </w:rPr>
      </w:pPr>
    </w:p>
    <w:p w:rsidR="00696258" w:rsidRDefault="00696258">
      <w:pPr>
        <w:spacing w:line="360" w:lineRule="auto"/>
        <w:jc w:val="both"/>
        <w:rPr>
          <w:b/>
        </w:rPr>
      </w:pPr>
    </w:p>
    <w:p w:rsidR="00696258" w:rsidRDefault="00696258">
      <w:pPr>
        <w:spacing w:line="360" w:lineRule="auto"/>
        <w:jc w:val="both"/>
        <w:rPr>
          <w:b/>
        </w:rPr>
      </w:pPr>
      <w:r>
        <w:rPr>
          <w:b/>
        </w:rPr>
        <w:t>2) Análisis de las asignaci</w:t>
      </w:r>
      <w:r w:rsidR="00DF4F9C">
        <w:rPr>
          <w:b/>
        </w:rPr>
        <w:t>ones presupuestales proyectadas</w:t>
      </w:r>
    </w:p>
    <w:p w:rsidR="00696258" w:rsidRDefault="00696258" w:rsidP="00DF4F9C">
      <w:pPr>
        <w:pStyle w:val="Textoindependiente"/>
        <w:ind w:firstLine="708"/>
      </w:pPr>
      <w:r w:rsidRPr="00686CA9">
        <w:rPr>
          <w:rFonts w:cs="Arial"/>
          <w:b/>
        </w:rPr>
        <w:t>2.1)</w:t>
      </w:r>
      <w:r>
        <w:rPr>
          <w:rFonts w:cs="Arial"/>
        </w:rPr>
        <w:t xml:space="preserve"> </w:t>
      </w:r>
      <w:r>
        <w:t>Las asignaciones proyectadas se exponen a nivel de objeto, a valores corrientes. Su resumen, a nivel de grupos (expresado en $), se ajusta al siguiente detalle:</w:t>
      </w:r>
    </w:p>
    <w:tbl>
      <w:tblPr>
        <w:tblW w:w="9100" w:type="dxa"/>
        <w:jc w:val="center"/>
        <w:tblCellMar>
          <w:left w:w="70" w:type="dxa"/>
          <w:right w:w="70" w:type="dxa"/>
        </w:tblCellMar>
        <w:tblLook w:val="04A0" w:firstRow="1" w:lastRow="0" w:firstColumn="1" w:lastColumn="0" w:noHBand="0" w:noVBand="1"/>
      </w:tblPr>
      <w:tblGrid>
        <w:gridCol w:w="3100"/>
        <w:gridCol w:w="1253"/>
        <w:gridCol w:w="1253"/>
        <w:gridCol w:w="1253"/>
        <w:gridCol w:w="1253"/>
        <w:gridCol w:w="1253"/>
      </w:tblGrid>
      <w:tr w:rsidR="00696258" w:rsidRPr="0036784A" w:rsidTr="00DF4F9C">
        <w:trPr>
          <w:trHeight w:val="255"/>
          <w:jc w:val="center"/>
        </w:trPr>
        <w:tc>
          <w:tcPr>
            <w:tcW w:w="3100" w:type="dxa"/>
            <w:tcBorders>
              <w:top w:val="nil"/>
              <w:left w:val="nil"/>
              <w:bottom w:val="nil"/>
              <w:right w:val="nil"/>
            </w:tcBorders>
            <w:shd w:val="clear" w:color="auto" w:fill="auto"/>
            <w:noWrap/>
            <w:vAlign w:val="bottom"/>
            <w:hideMark/>
          </w:tcPr>
          <w:p w:rsidR="00696258" w:rsidRPr="0036784A" w:rsidRDefault="00696258" w:rsidP="00DF4F9C">
            <w:pPr>
              <w:rPr>
                <w:rFonts w:cs="Arial"/>
                <w:color w:val="000000"/>
                <w:sz w:val="20"/>
                <w:szCs w:val="20"/>
              </w:rPr>
            </w:pPr>
          </w:p>
        </w:tc>
        <w:tc>
          <w:tcPr>
            <w:tcW w:w="1200" w:type="dxa"/>
            <w:tcBorders>
              <w:top w:val="single" w:sz="4" w:space="0" w:color="auto"/>
              <w:left w:val="single" w:sz="4" w:space="0" w:color="auto"/>
              <w:bottom w:val="single" w:sz="4" w:space="0" w:color="auto"/>
              <w:right w:val="nil"/>
            </w:tcBorders>
            <w:shd w:val="clear" w:color="auto" w:fill="auto"/>
            <w:noWrap/>
            <w:vAlign w:val="bottom"/>
            <w:hideMark/>
          </w:tcPr>
          <w:p w:rsidR="00696258" w:rsidRPr="0036784A" w:rsidRDefault="00696258" w:rsidP="00DF4F9C">
            <w:pPr>
              <w:rPr>
                <w:rFonts w:cs="Arial"/>
                <w:color w:val="000000"/>
                <w:sz w:val="20"/>
                <w:szCs w:val="20"/>
              </w:rPr>
            </w:pPr>
            <w:r w:rsidRPr="0036784A">
              <w:rPr>
                <w:rFonts w:cs="Arial"/>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bottom"/>
            <w:hideMark/>
          </w:tcPr>
          <w:p w:rsidR="00696258" w:rsidRPr="0036784A" w:rsidRDefault="00696258" w:rsidP="00DF4F9C">
            <w:pPr>
              <w:rPr>
                <w:rFonts w:cs="Arial"/>
                <w:color w:val="000000"/>
                <w:sz w:val="20"/>
                <w:szCs w:val="20"/>
              </w:rPr>
            </w:pPr>
            <w:r w:rsidRPr="0036784A">
              <w:rPr>
                <w:rFonts w:cs="Arial"/>
                <w:color w:val="000000"/>
                <w:sz w:val="20"/>
                <w:szCs w:val="20"/>
              </w:rPr>
              <w:t> </w:t>
            </w:r>
          </w:p>
        </w:tc>
        <w:tc>
          <w:tcPr>
            <w:tcW w:w="2400" w:type="dxa"/>
            <w:gridSpan w:val="2"/>
            <w:tcBorders>
              <w:top w:val="single" w:sz="4" w:space="0" w:color="auto"/>
              <w:left w:val="nil"/>
              <w:bottom w:val="single" w:sz="4" w:space="0" w:color="auto"/>
              <w:right w:val="nil"/>
            </w:tcBorders>
            <w:shd w:val="clear" w:color="auto" w:fill="auto"/>
            <w:noWrap/>
            <w:vAlign w:val="bottom"/>
            <w:hideMark/>
          </w:tcPr>
          <w:p w:rsidR="00696258" w:rsidRPr="0036784A" w:rsidRDefault="00696258" w:rsidP="00DF4F9C">
            <w:pPr>
              <w:rPr>
                <w:rFonts w:cs="Arial"/>
                <w:b/>
                <w:bCs/>
                <w:color w:val="000000"/>
                <w:sz w:val="20"/>
                <w:szCs w:val="20"/>
              </w:rPr>
            </w:pPr>
            <w:r w:rsidRPr="0036784A">
              <w:rPr>
                <w:rFonts w:cs="Arial"/>
                <w:b/>
                <w:bCs/>
                <w:color w:val="000000"/>
                <w:sz w:val="20"/>
                <w:szCs w:val="20"/>
              </w:rPr>
              <w:t>PROYECTADO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96258" w:rsidRPr="0036784A" w:rsidRDefault="00696258" w:rsidP="00DF4F9C">
            <w:pPr>
              <w:rPr>
                <w:rFonts w:cs="Arial"/>
                <w:color w:val="000000"/>
                <w:sz w:val="20"/>
                <w:szCs w:val="20"/>
              </w:rPr>
            </w:pPr>
            <w:r w:rsidRPr="0036784A">
              <w:rPr>
                <w:rFonts w:cs="Arial"/>
                <w:color w:val="000000"/>
                <w:sz w:val="20"/>
                <w:szCs w:val="20"/>
              </w:rPr>
              <w:t> </w:t>
            </w:r>
          </w:p>
        </w:tc>
      </w:tr>
      <w:tr w:rsidR="00696258" w:rsidRPr="0036784A" w:rsidTr="00DF4F9C">
        <w:trPr>
          <w:trHeight w:val="255"/>
          <w:jc w:val="center"/>
        </w:trPr>
        <w:tc>
          <w:tcPr>
            <w:tcW w:w="3100" w:type="dxa"/>
            <w:tcBorders>
              <w:top w:val="nil"/>
              <w:left w:val="nil"/>
              <w:bottom w:val="nil"/>
              <w:right w:val="nil"/>
            </w:tcBorders>
            <w:shd w:val="clear" w:color="auto" w:fill="auto"/>
            <w:noWrap/>
            <w:vAlign w:val="bottom"/>
            <w:hideMark/>
          </w:tcPr>
          <w:p w:rsidR="00696258" w:rsidRPr="0036784A" w:rsidRDefault="00696258" w:rsidP="00DF4F9C">
            <w:pPr>
              <w:rPr>
                <w:rFonts w:cs="Arial"/>
                <w:color w:val="000000"/>
                <w:sz w:val="20"/>
                <w:szCs w:val="20"/>
              </w:rPr>
            </w:pPr>
          </w:p>
        </w:tc>
        <w:tc>
          <w:tcPr>
            <w:tcW w:w="1200" w:type="dxa"/>
            <w:tcBorders>
              <w:top w:val="nil"/>
              <w:left w:val="single" w:sz="4" w:space="0" w:color="auto"/>
              <w:bottom w:val="nil"/>
              <w:right w:val="single" w:sz="4" w:space="0" w:color="auto"/>
            </w:tcBorders>
            <w:shd w:val="clear" w:color="auto" w:fill="auto"/>
            <w:noWrap/>
            <w:vAlign w:val="bottom"/>
            <w:hideMark/>
          </w:tcPr>
          <w:p w:rsidR="00696258" w:rsidRPr="0036784A" w:rsidRDefault="00696258" w:rsidP="00DF4F9C">
            <w:pPr>
              <w:jc w:val="center"/>
              <w:rPr>
                <w:rFonts w:cs="Arial"/>
                <w:b/>
                <w:bCs/>
                <w:color w:val="000000"/>
                <w:sz w:val="20"/>
                <w:szCs w:val="20"/>
              </w:rPr>
            </w:pPr>
            <w:r w:rsidRPr="0036784A">
              <w:rPr>
                <w:rFonts w:cs="Arial"/>
                <w:b/>
                <w:bCs/>
                <w:color w:val="000000"/>
                <w:sz w:val="20"/>
                <w:szCs w:val="20"/>
              </w:rPr>
              <w:t>2016</w:t>
            </w:r>
          </w:p>
        </w:tc>
        <w:tc>
          <w:tcPr>
            <w:tcW w:w="1200" w:type="dxa"/>
            <w:tcBorders>
              <w:top w:val="nil"/>
              <w:left w:val="nil"/>
              <w:bottom w:val="nil"/>
              <w:right w:val="single" w:sz="4" w:space="0" w:color="auto"/>
            </w:tcBorders>
            <w:shd w:val="clear" w:color="auto" w:fill="auto"/>
            <w:noWrap/>
            <w:vAlign w:val="bottom"/>
            <w:hideMark/>
          </w:tcPr>
          <w:p w:rsidR="00696258" w:rsidRPr="0036784A" w:rsidRDefault="00696258" w:rsidP="00DF4F9C">
            <w:pPr>
              <w:jc w:val="center"/>
              <w:rPr>
                <w:rFonts w:cs="Arial"/>
                <w:b/>
                <w:bCs/>
                <w:color w:val="000000"/>
                <w:sz w:val="20"/>
                <w:szCs w:val="20"/>
              </w:rPr>
            </w:pPr>
            <w:r w:rsidRPr="0036784A">
              <w:rPr>
                <w:rFonts w:cs="Arial"/>
                <w:b/>
                <w:bCs/>
                <w:color w:val="000000"/>
                <w:sz w:val="20"/>
                <w:szCs w:val="20"/>
              </w:rPr>
              <w:t>2017</w:t>
            </w:r>
          </w:p>
        </w:tc>
        <w:tc>
          <w:tcPr>
            <w:tcW w:w="1200" w:type="dxa"/>
            <w:tcBorders>
              <w:top w:val="nil"/>
              <w:left w:val="nil"/>
              <w:bottom w:val="nil"/>
              <w:right w:val="single" w:sz="4" w:space="0" w:color="auto"/>
            </w:tcBorders>
            <w:shd w:val="clear" w:color="auto" w:fill="auto"/>
            <w:noWrap/>
            <w:vAlign w:val="bottom"/>
            <w:hideMark/>
          </w:tcPr>
          <w:p w:rsidR="00696258" w:rsidRPr="0036784A" w:rsidRDefault="00696258" w:rsidP="00DF4F9C">
            <w:pPr>
              <w:jc w:val="center"/>
              <w:rPr>
                <w:rFonts w:cs="Arial"/>
                <w:b/>
                <w:bCs/>
                <w:color w:val="000000"/>
                <w:sz w:val="20"/>
                <w:szCs w:val="20"/>
              </w:rPr>
            </w:pPr>
            <w:r w:rsidRPr="0036784A">
              <w:rPr>
                <w:rFonts w:cs="Arial"/>
                <w:b/>
                <w:bCs/>
                <w:color w:val="000000"/>
                <w:sz w:val="20"/>
                <w:szCs w:val="20"/>
              </w:rPr>
              <w:t>2018</w:t>
            </w:r>
          </w:p>
        </w:tc>
        <w:tc>
          <w:tcPr>
            <w:tcW w:w="1200" w:type="dxa"/>
            <w:tcBorders>
              <w:top w:val="nil"/>
              <w:left w:val="nil"/>
              <w:bottom w:val="nil"/>
              <w:right w:val="single" w:sz="4" w:space="0" w:color="auto"/>
            </w:tcBorders>
            <w:shd w:val="clear" w:color="auto" w:fill="auto"/>
            <w:noWrap/>
            <w:vAlign w:val="bottom"/>
            <w:hideMark/>
          </w:tcPr>
          <w:p w:rsidR="00696258" w:rsidRPr="0036784A" w:rsidRDefault="00696258" w:rsidP="00DF4F9C">
            <w:pPr>
              <w:jc w:val="center"/>
              <w:rPr>
                <w:rFonts w:cs="Arial"/>
                <w:b/>
                <w:bCs/>
                <w:color w:val="000000"/>
                <w:sz w:val="20"/>
                <w:szCs w:val="20"/>
              </w:rPr>
            </w:pPr>
            <w:r w:rsidRPr="0036784A">
              <w:rPr>
                <w:rFonts w:cs="Arial"/>
                <w:b/>
                <w:bCs/>
                <w:color w:val="000000"/>
                <w:sz w:val="20"/>
                <w:szCs w:val="20"/>
              </w:rPr>
              <w:t>2019</w:t>
            </w:r>
          </w:p>
        </w:tc>
        <w:tc>
          <w:tcPr>
            <w:tcW w:w="1200" w:type="dxa"/>
            <w:tcBorders>
              <w:top w:val="nil"/>
              <w:left w:val="nil"/>
              <w:bottom w:val="nil"/>
              <w:right w:val="single" w:sz="4" w:space="0" w:color="auto"/>
            </w:tcBorders>
            <w:shd w:val="clear" w:color="auto" w:fill="auto"/>
            <w:noWrap/>
            <w:vAlign w:val="bottom"/>
            <w:hideMark/>
          </w:tcPr>
          <w:p w:rsidR="00696258" w:rsidRPr="0036784A" w:rsidRDefault="00696258" w:rsidP="00DF4F9C">
            <w:pPr>
              <w:jc w:val="center"/>
              <w:rPr>
                <w:rFonts w:cs="Arial"/>
                <w:b/>
                <w:bCs/>
                <w:color w:val="000000"/>
                <w:sz w:val="20"/>
                <w:szCs w:val="20"/>
              </w:rPr>
            </w:pPr>
            <w:r w:rsidRPr="0036784A">
              <w:rPr>
                <w:rFonts w:cs="Arial"/>
                <w:b/>
                <w:bCs/>
                <w:color w:val="000000"/>
                <w:sz w:val="20"/>
                <w:szCs w:val="20"/>
              </w:rPr>
              <w:t>2020</w:t>
            </w:r>
          </w:p>
        </w:tc>
      </w:tr>
      <w:tr w:rsidR="00696258" w:rsidRPr="0036784A" w:rsidTr="00DF4F9C">
        <w:trPr>
          <w:trHeight w:val="255"/>
          <w:jc w:val="center"/>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6258" w:rsidRPr="0036784A" w:rsidRDefault="00696258" w:rsidP="00DF4F9C">
            <w:pPr>
              <w:rPr>
                <w:rFonts w:cs="Arial"/>
                <w:color w:val="000000"/>
                <w:sz w:val="20"/>
                <w:szCs w:val="20"/>
              </w:rPr>
            </w:pPr>
            <w:r w:rsidRPr="0036784A">
              <w:rPr>
                <w:rFonts w:cs="Arial"/>
                <w:color w:val="000000"/>
                <w:sz w:val="20"/>
                <w:szCs w:val="20"/>
              </w:rPr>
              <w:t>Grupo 0 - Servicios Personales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166.334.241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167.157.678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166.016.678</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158.594.430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157.969.680</w:t>
            </w:r>
          </w:p>
        </w:tc>
      </w:tr>
      <w:tr w:rsidR="00696258" w:rsidRPr="0036784A" w:rsidTr="00DF4F9C">
        <w:trPr>
          <w:trHeight w:val="255"/>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96258" w:rsidRPr="0036784A" w:rsidRDefault="00696258" w:rsidP="00DF4F9C">
            <w:pPr>
              <w:rPr>
                <w:rFonts w:cs="Arial"/>
                <w:color w:val="000000"/>
                <w:sz w:val="20"/>
                <w:szCs w:val="20"/>
              </w:rPr>
            </w:pPr>
            <w:r w:rsidRPr="0036784A">
              <w:rPr>
                <w:rFonts w:cs="Arial"/>
                <w:color w:val="000000"/>
                <w:sz w:val="20"/>
                <w:szCs w:val="20"/>
              </w:rPr>
              <w:t>Grupo 1 - Bienes de Consumo</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3.839.309</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3.089.309</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3.089.309</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3.439.309</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3.089.309</w:t>
            </w:r>
          </w:p>
        </w:tc>
      </w:tr>
      <w:tr w:rsidR="00696258" w:rsidRPr="0036784A" w:rsidTr="00DF4F9C">
        <w:trPr>
          <w:trHeight w:val="255"/>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96258" w:rsidRPr="0036784A" w:rsidRDefault="00696258" w:rsidP="00DF4F9C">
            <w:pPr>
              <w:rPr>
                <w:rFonts w:cs="Arial"/>
                <w:color w:val="000000"/>
                <w:sz w:val="20"/>
                <w:szCs w:val="20"/>
              </w:rPr>
            </w:pPr>
            <w:r w:rsidRPr="0036784A">
              <w:rPr>
                <w:rFonts w:cs="Arial"/>
                <w:color w:val="000000"/>
                <w:sz w:val="20"/>
                <w:szCs w:val="20"/>
              </w:rPr>
              <w:t>Grupo 2 - Servicios no Personales</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31.853.158</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35.625.512</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37.163.715</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36.857.512</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36.857.512</w:t>
            </w:r>
          </w:p>
        </w:tc>
      </w:tr>
      <w:tr w:rsidR="00696258" w:rsidRPr="0036784A" w:rsidTr="00DF4F9C">
        <w:trPr>
          <w:trHeight w:val="255"/>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96258" w:rsidRPr="0036784A" w:rsidRDefault="00696258" w:rsidP="00DF4F9C">
            <w:pPr>
              <w:rPr>
                <w:rFonts w:cs="Arial"/>
                <w:color w:val="000000"/>
                <w:sz w:val="20"/>
                <w:szCs w:val="20"/>
              </w:rPr>
            </w:pPr>
            <w:r w:rsidRPr="0036784A">
              <w:rPr>
                <w:rFonts w:cs="Arial"/>
                <w:color w:val="000000"/>
                <w:sz w:val="20"/>
                <w:szCs w:val="20"/>
              </w:rPr>
              <w:t>Grupo 3 - Bienes de Uso</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3.820.193</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1.420.193</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2.120.193</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1.420.193</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520.193</w:t>
            </w:r>
          </w:p>
        </w:tc>
      </w:tr>
      <w:tr w:rsidR="00696258" w:rsidRPr="0036784A" w:rsidTr="00DF4F9C">
        <w:trPr>
          <w:trHeight w:val="255"/>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96258" w:rsidRPr="0036784A" w:rsidRDefault="00696258" w:rsidP="00DF4F9C">
            <w:pPr>
              <w:rPr>
                <w:rFonts w:cs="Arial"/>
                <w:color w:val="000000"/>
                <w:sz w:val="20"/>
                <w:szCs w:val="20"/>
              </w:rPr>
            </w:pPr>
            <w:r w:rsidRPr="0036784A">
              <w:rPr>
                <w:rFonts w:cs="Arial"/>
                <w:color w:val="000000"/>
                <w:sz w:val="20"/>
                <w:szCs w:val="20"/>
              </w:rPr>
              <w:t>Grupo 7 - Gastos Extraordinarios</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712.123</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712.123</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712.123</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712.123</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712.123</w:t>
            </w:r>
          </w:p>
        </w:tc>
      </w:tr>
      <w:tr w:rsidR="00696258" w:rsidRPr="0036784A" w:rsidTr="00DF4F9C">
        <w:trPr>
          <w:trHeight w:val="255"/>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696258" w:rsidRPr="0036784A" w:rsidRDefault="00696258" w:rsidP="00DF4F9C">
            <w:pPr>
              <w:jc w:val="center"/>
              <w:rPr>
                <w:rFonts w:cs="Arial"/>
                <w:color w:val="000000"/>
                <w:sz w:val="20"/>
                <w:szCs w:val="20"/>
              </w:rPr>
            </w:pPr>
            <w:r w:rsidRPr="0036784A">
              <w:rPr>
                <w:rFonts w:cs="Arial"/>
                <w:color w:val="000000"/>
                <w:sz w:val="20"/>
                <w:szCs w:val="20"/>
              </w:rPr>
              <w:t>Totales</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206.559.024</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208.004.815</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209.102.018</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201.023.567</w:t>
            </w:r>
          </w:p>
        </w:tc>
        <w:tc>
          <w:tcPr>
            <w:tcW w:w="1200" w:type="dxa"/>
            <w:tcBorders>
              <w:top w:val="nil"/>
              <w:left w:val="nil"/>
              <w:bottom w:val="single" w:sz="4" w:space="0" w:color="auto"/>
              <w:right w:val="single" w:sz="4" w:space="0" w:color="auto"/>
            </w:tcBorders>
            <w:shd w:val="clear" w:color="auto" w:fill="auto"/>
            <w:noWrap/>
            <w:vAlign w:val="bottom"/>
            <w:hideMark/>
          </w:tcPr>
          <w:p w:rsidR="00696258" w:rsidRPr="0036784A" w:rsidRDefault="00696258" w:rsidP="00DF4F9C">
            <w:pPr>
              <w:jc w:val="right"/>
              <w:rPr>
                <w:rFonts w:cs="Arial"/>
                <w:color w:val="000000"/>
                <w:sz w:val="20"/>
                <w:szCs w:val="20"/>
              </w:rPr>
            </w:pPr>
            <w:r w:rsidRPr="0036784A">
              <w:rPr>
                <w:rFonts w:cs="Arial"/>
                <w:color w:val="000000"/>
                <w:sz w:val="20"/>
                <w:szCs w:val="20"/>
              </w:rPr>
              <w:t>199.148.817</w:t>
            </w:r>
          </w:p>
        </w:tc>
      </w:tr>
    </w:tbl>
    <w:p w:rsidR="00696258" w:rsidRDefault="00696258" w:rsidP="00DF4F9C">
      <w:pPr>
        <w:pStyle w:val="Textoindependiente"/>
        <w:rPr>
          <w:rFonts w:cs="Arial"/>
        </w:rPr>
      </w:pPr>
    </w:p>
    <w:p w:rsidR="00696258" w:rsidRPr="003A1852" w:rsidRDefault="00696258" w:rsidP="00DF4F9C">
      <w:pPr>
        <w:pStyle w:val="Textoindependiente"/>
        <w:rPr>
          <w:rFonts w:cs="Arial"/>
          <w:b/>
        </w:rPr>
      </w:pPr>
      <w:r>
        <w:rPr>
          <w:b/>
        </w:rPr>
        <w:t xml:space="preserve">    </w:t>
      </w:r>
    </w:p>
    <w:p w:rsidR="00696258" w:rsidRPr="004F245A" w:rsidRDefault="00696258" w:rsidP="00DF4F9C">
      <w:pPr>
        <w:pStyle w:val="Textoindependiente"/>
        <w:rPr>
          <w:rFonts w:cs="Arial"/>
        </w:rPr>
      </w:pPr>
      <w:r>
        <w:rPr>
          <w:rFonts w:cs="Arial"/>
          <w:b/>
        </w:rPr>
        <w:t xml:space="preserve">           2.2) </w:t>
      </w:r>
      <w:r w:rsidRPr="004F245A">
        <w:rPr>
          <w:rFonts w:cs="Arial"/>
        </w:rPr>
        <w:t xml:space="preserve">Los créditos presupuestales previstos no fueron presentados en forma comparativa con las asignaciones vigentes, incumpliéndose con lo establecido en el inciso final del Artículo 216 de </w:t>
      </w:r>
      <w:smartTag w:uri="urn:schemas-microsoft-com:office:smarttags" w:element="PersonName">
        <w:smartTagPr>
          <w:attr w:name="ProductID" w:val="la Constitución"/>
        </w:smartTagPr>
        <w:r w:rsidRPr="004F245A">
          <w:rPr>
            <w:rFonts w:cs="Arial"/>
          </w:rPr>
          <w:t>la Constitución</w:t>
        </w:r>
      </w:smartTag>
      <w:r w:rsidRPr="004F245A">
        <w:rPr>
          <w:rFonts w:cs="Arial"/>
        </w:rPr>
        <w:t xml:space="preserve"> de </w:t>
      </w:r>
      <w:smartTag w:uri="urn:schemas-microsoft-com:office:smarttags" w:element="PersonName">
        <w:smartTagPr>
          <w:attr w:name="ProductID" w:val="la República."/>
        </w:smartTagPr>
        <w:r w:rsidRPr="004F245A">
          <w:rPr>
            <w:rFonts w:cs="Arial"/>
          </w:rPr>
          <w:t>la República.</w:t>
        </w:r>
      </w:smartTag>
    </w:p>
    <w:p w:rsidR="00696258" w:rsidRPr="00B502AF" w:rsidRDefault="00696258" w:rsidP="00DF4F9C">
      <w:pPr>
        <w:spacing w:line="360" w:lineRule="auto"/>
        <w:ind w:firstLine="708"/>
        <w:jc w:val="both"/>
        <w:rPr>
          <w:rFonts w:cs="Arial"/>
        </w:rPr>
      </w:pPr>
      <w:r>
        <w:rPr>
          <w:rFonts w:cs="Arial"/>
          <w:b/>
        </w:rPr>
        <w:t xml:space="preserve">2.3) </w:t>
      </w:r>
      <w:r w:rsidRPr="00D12606">
        <w:rPr>
          <w:rFonts w:cs="Arial"/>
        </w:rPr>
        <w:t>A partir del</w:t>
      </w:r>
      <w:r>
        <w:rPr>
          <w:rFonts w:cs="Arial"/>
          <w:b/>
        </w:rPr>
        <w:t xml:space="preserve"> </w:t>
      </w:r>
      <w:r w:rsidRPr="00692826">
        <w:rPr>
          <w:rFonts w:cs="Arial"/>
        </w:rPr>
        <w:t xml:space="preserve">año 2017 se presupuestan gastos para seis cargos menos, los que se prevé </w:t>
      </w:r>
      <w:r>
        <w:rPr>
          <w:rFonts w:cs="Arial"/>
        </w:rPr>
        <w:t>queden vacantes. Los mismos deben tener asignación presupuestal mientras no sean eliminados en una instancia presupuestal. Por lo tanto, el monto asignado para retribuciones personales en los años 2017 y siguientes es insuficiente</w:t>
      </w:r>
      <w:r w:rsidRPr="00692826">
        <w:rPr>
          <w:rFonts w:cs="Arial"/>
        </w:rPr>
        <w:t>.</w:t>
      </w:r>
    </w:p>
    <w:p w:rsidR="00696258" w:rsidRPr="003A1852" w:rsidRDefault="00696258">
      <w:pPr>
        <w:pStyle w:val="Textoindependiente"/>
        <w:ind w:firstLine="708"/>
        <w:rPr>
          <w:bCs/>
          <w:lang w:val="es-ES_tradnl"/>
        </w:rPr>
      </w:pPr>
    </w:p>
    <w:p w:rsidR="00696258" w:rsidRDefault="00696258">
      <w:pPr>
        <w:pStyle w:val="Textoindependiente"/>
        <w:rPr>
          <w:b/>
        </w:rPr>
      </w:pPr>
      <w:r>
        <w:rPr>
          <w:b/>
          <w:bCs/>
        </w:rPr>
        <w:t>3)</w:t>
      </w:r>
      <w:r>
        <w:rPr>
          <w:b/>
        </w:rPr>
        <w:t xml:space="preserve"> Cumplimiento de </w:t>
      </w:r>
      <w:r w:rsidR="00DF4F9C">
        <w:rPr>
          <w:b/>
        </w:rPr>
        <w:t>normas legales y reglamentarias</w:t>
      </w:r>
    </w:p>
    <w:p w:rsidR="00696258" w:rsidRDefault="00696258">
      <w:pPr>
        <w:pStyle w:val="Sangradetextonormal"/>
        <w:ind w:firstLine="0"/>
        <w:rPr>
          <w:rFonts w:ascii="Arial" w:hAnsi="Arial" w:cs="Arial"/>
        </w:rPr>
      </w:pPr>
      <w:r>
        <w:rPr>
          <w:rFonts w:ascii="Arial" w:hAnsi="Arial" w:cs="Arial"/>
          <w:b/>
        </w:rPr>
        <w:tab/>
        <w:t>3.1)</w:t>
      </w:r>
      <w:r>
        <w:rPr>
          <w:rFonts w:ascii="Arial" w:hAnsi="Arial" w:cs="Arial"/>
        </w:rPr>
        <w:t xml:space="preserve"> Se ha dado cumplimiento a las disposiciones constitucionales vigentes con relación a plazos y mayorías (Artículos 225 y 273 Numeral 6) de la Constitución de la República y 483 de la Ley No. 17.296).</w:t>
      </w:r>
    </w:p>
    <w:p w:rsidR="00696258" w:rsidRDefault="00696258">
      <w:pPr>
        <w:pStyle w:val="Sangradetextonormal"/>
        <w:ind w:firstLine="0"/>
        <w:rPr>
          <w:rFonts w:ascii="Arial" w:hAnsi="Arial" w:cs="Arial"/>
        </w:rPr>
      </w:pPr>
      <w:r>
        <w:rPr>
          <w:rFonts w:ascii="Arial" w:hAnsi="Arial" w:cs="Arial"/>
          <w:b/>
        </w:rPr>
        <w:tab/>
        <w:t xml:space="preserve">3.2) </w:t>
      </w:r>
      <w:r>
        <w:rPr>
          <w:rFonts w:ascii="Arial" w:hAnsi="Arial" w:cs="Arial"/>
        </w:rPr>
        <w:t>Las partidas destinadas a los Sectores con representación en la Junta Departamental, previstas originalmente en Resolución adoptada por la Mesa de  fecha 17.07.2015, fueron observadas por la Contadora Delegada por los gastos correspondientes a los ejercicios 2015 y 2016, por contravenir los artículos 86, 211 Literal B) y 295 de la Constitución de la República y la Resolución del Tribunal de Cuentas de 22.12.2010. Por lo tanto, las incluidas en el presente Proyecto de Presupuesto, también contravienen lo dispuesto por el Artículo 295 de la Constitución de la República, así como la Resolución de este Tribunal de 22.12.2010.</w:t>
      </w:r>
    </w:p>
    <w:p w:rsidR="00696258" w:rsidRDefault="00696258">
      <w:pPr>
        <w:pStyle w:val="Sangradetextonormal"/>
        <w:ind w:firstLine="0"/>
        <w:rPr>
          <w:rFonts w:ascii="Arial" w:hAnsi="Arial" w:cs="Arial"/>
        </w:rPr>
      </w:pPr>
      <w:r>
        <w:rPr>
          <w:rFonts w:ascii="Arial" w:hAnsi="Arial" w:cs="Arial"/>
          <w:b/>
        </w:rPr>
        <w:t xml:space="preserve">           3.3) </w:t>
      </w:r>
      <w:r>
        <w:rPr>
          <w:rFonts w:ascii="Arial" w:hAnsi="Arial" w:cs="Arial"/>
        </w:rPr>
        <w:t>Se deberá tener presente que la reestructura de cargos a proyectarse, a que se hace mención en los Artículos 3º y 4º, deberá incluirse en una norma presupuestal, de conformidad a lo dispuesto por el Artículo 86 de la Constitución de la República aplicable por reenvío</w:t>
      </w:r>
      <w:r w:rsidR="00DF4F9C">
        <w:rPr>
          <w:rFonts w:ascii="Arial" w:hAnsi="Arial" w:cs="Arial"/>
        </w:rPr>
        <w:t xml:space="preserve"> del Artículo 222 de la misma.</w:t>
      </w:r>
    </w:p>
    <w:p w:rsidR="00696258" w:rsidRDefault="00696258">
      <w:pPr>
        <w:widowControl w:val="0"/>
        <w:spacing w:line="360" w:lineRule="auto"/>
        <w:jc w:val="both"/>
        <w:rPr>
          <w:rFonts w:cs="Arial"/>
          <w:b/>
          <w:snapToGrid w:val="0"/>
        </w:rPr>
      </w:pPr>
    </w:p>
    <w:p w:rsidR="00696258" w:rsidRDefault="00DF4F9C">
      <w:pPr>
        <w:widowControl w:val="0"/>
        <w:spacing w:line="360" w:lineRule="auto"/>
        <w:jc w:val="both"/>
        <w:rPr>
          <w:rFonts w:cs="Arial"/>
          <w:b/>
          <w:snapToGrid w:val="0"/>
        </w:rPr>
      </w:pPr>
      <w:r>
        <w:rPr>
          <w:rFonts w:cs="Arial"/>
          <w:b/>
          <w:snapToGrid w:val="0"/>
        </w:rPr>
        <w:t>4) Opinión</w:t>
      </w:r>
    </w:p>
    <w:p w:rsidR="00696258" w:rsidRDefault="00696258">
      <w:pPr>
        <w:widowControl w:val="0"/>
        <w:spacing w:line="360" w:lineRule="auto"/>
        <w:ind w:firstLine="708"/>
        <w:jc w:val="both"/>
        <w:rPr>
          <w:rFonts w:cs="Arial"/>
          <w:snapToGrid w:val="0"/>
        </w:rPr>
      </w:pPr>
      <w:r>
        <w:rPr>
          <w:rFonts w:cs="Arial"/>
          <w:snapToGrid w:val="0"/>
        </w:rPr>
        <w:t>En opinión del Tribunal de Cuentas, el Proyecto de Presupuesto de la Junta Departamental de Maldonado para el período 2016-2020 ha sido preparado en forma razonable de acuerdo a los supuestos efectuados por el Organismo y se presenta de conformidad con las disposiciones constitucionales, legales y reglamentarias vigentes, excepto por lo establecido en los párrafos 2.2), 2.3) y  3.2).</w:t>
      </w:r>
    </w:p>
    <w:p w:rsidR="00696258" w:rsidRDefault="00696258">
      <w:pPr>
        <w:widowControl w:val="0"/>
        <w:spacing w:line="360" w:lineRule="auto"/>
        <w:ind w:firstLine="708"/>
        <w:jc w:val="both"/>
        <w:rPr>
          <w:rFonts w:cs="Arial"/>
          <w:snapToGrid w:val="0"/>
        </w:rPr>
      </w:pPr>
    </w:p>
    <w:p w:rsidR="00696258" w:rsidRDefault="00696258">
      <w:pPr>
        <w:widowControl w:val="0"/>
        <w:spacing w:line="360" w:lineRule="auto"/>
        <w:ind w:firstLine="708"/>
        <w:jc w:val="both"/>
        <w:rPr>
          <w:rFonts w:cs="Arial"/>
          <w:snapToGrid w:val="0"/>
        </w:rPr>
      </w:pPr>
    </w:p>
    <w:p w:rsidR="00696258" w:rsidRPr="00696258" w:rsidRDefault="00696258" w:rsidP="00696258">
      <w:pPr>
        <w:widowControl w:val="0"/>
        <w:spacing w:line="360" w:lineRule="auto"/>
        <w:jc w:val="both"/>
        <w:rPr>
          <w:rFonts w:cs="Arial"/>
          <w:snapToGrid w:val="0"/>
          <w:sz w:val="20"/>
          <w:szCs w:val="20"/>
        </w:rPr>
      </w:pPr>
      <w:r w:rsidRPr="00696258">
        <w:rPr>
          <w:rFonts w:cs="Arial"/>
          <w:snapToGrid w:val="0"/>
          <w:sz w:val="20"/>
          <w:szCs w:val="20"/>
        </w:rPr>
        <w:t>CLC</w:t>
      </w:r>
    </w:p>
    <w:sectPr w:rsidR="00696258" w:rsidRPr="00696258" w:rsidSect="002832E4">
      <w:footerReference w:type="even" r:id="rId9"/>
      <w:pgSz w:w="11906" w:h="16838" w:code="9"/>
      <w:pgMar w:top="3402" w:right="1701" w:bottom="1134"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F9C" w:rsidRDefault="00DF4F9C">
      <w:r>
        <w:separator/>
      </w:r>
    </w:p>
  </w:endnote>
  <w:endnote w:type="continuationSeparator" w:id="0">
    <w:p w:rsidR="00DF4F9C" w:rsidRDefault="00DF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9C" w:rsidRDefault="00DF4F9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DF4F9C" w:rsidRDefault="00DF4F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F9C" w:rsidRDefault="00DF4F9C">
      <w:r>
        <w:separator/>
      </w:r>
    </w:p>
  </w:footnote>
  <w:footnote w:type="continuationSeparator" w:id="0">
    <w:p w:rsidR="00DF4F9C" w:rsidRDefault="00DF4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1BF7"/>
    <w:multiLevelType w:val="hybridMultilevel"/>
    <w:tmpl w:val="FAC01D58"/>
    <w:lvl w:ilvl="0" w:tplc="364084B0">
      <w:start w:val="1"/>
      <w:numFmt w:val="decimal"/>
      <w:lvlText w:val="%1)"/>
      <w:lvlJc w:val="left"/>
      <w:pPr>
        <w:tabs>
          <w:tab w:val="num" w:pos="360"/>
        </w:tabs>
        <w:ind w:left="360" w:hanging="360"/>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7E166E9"/>
    <w:multiLevelType w:val="hybridMultilevel"/>
    <w:tmpl w:val="D2A6A11E"/>
    <w:lvl w:ilvl="0" w:tplc="AC34C57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3F"/>
    <w:rsid w:val="00035EE4"/>
    <w:rsid w:val="00124DA0"/>
    <w:rsid w:val="001373DE"/>
    <w:rsid w:val="00191438"/>
    <w:rsid w:val="001D3DC6"/>
    <w:rsid w:val="002832E4"/>
    <w:rsid w:val="00362F42"/>
    <w:rsid w:val="003E28BC"/>
    <w:rsid w:val="003F4C30"/>
    <w:rsid w:val="0048723D"/>
    <w:rsid w:val="004F61A9"/>
    <w:rsid w:val="0051603F"/>
    <w:rsid w:val="0053444D"/>
    <w:rsid w:val="005B7042"/>
    <w:rsid w:val="00617682"/>
    <w:rsid w:val="00696258"/>
    <w:rsid w:val="006B6C76"/>
    <w:rsid w:val="007004DB"/>
    <w:rsid w:val="00716534"/>
    <w:rsid w:val="007A3580"/>
    <w:rsid w:val="007B19C8"/>
    <w:rsid w:val="007B4A0A"/>
    <w:rsid w:val="00940274"/>
    <w:rsid w:val="009B6D40"/>
    <w:rsid w:val="00A6254C"/>
    <w:rsid w:val="00B50E51"/>
    <w:rsid w:val="00BC581D"/>
    <w:rsid w:val="00C37B59"/>
    <w:rsid w:val="00CF6015"/>
    <w:rsid w:val="00D451F4"/>
    <w:rsid w:val="00DF4F9C"/>
    <w:rsid w:val="00E716C7"/>
    <w:rsid w:val="00E9231D"/>
    <w:rsid w:val="00EB126B"/>
    <w:rsid w:val="00F1030E"/>
    <w:rsid w:val="00F20C4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3F"/>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51603F"/>
    <w:pPr>
      <w:tabs>
        <w:tab w:val="center" w:pos="4252"/>
        <w:tab w:val="right" w:pos="8504"/>
      </w:tabs>
    </w:pPr>
  </w:style>
  <w:style w:type="character" w:customStyle="1" w:styleId="PiedepginaCar">
    <w:name w:val="Pie de página Car"/>
    <w:basedOn w:val="Fuentedeprrafopredeter"/>
    <w:link w:val="Piedepgina"/>
    <w:semiHidden/>
    <w:rsid w:val="0051603F"/>
    <w:rPr>
      <w:rFonts w:ascii="Arial" w:eastAsia="Times New Roman" w:hAnsi="Arial" w:cs="Times New Roman"/>
      <w:sz w:val="24"/>
      <w:szCs w:val="24"/>
      <w:lang w:val="es-ES" w:eastAsia="es-ES"/>
    </w:rPr>
  </w:style>
  <w:style w:type="character" w:styleId="Nmerodepgina">
    <w:name w:val="page number"/>
    <w:basedOn w:val="Fuentedeprrafopredeter"/>
    <w:semiHidden/>
    <w:rsid w:val="0051603F"/>
  </w:style>
  <w:style w:type="paragraph" w:styleId="Textoindependiente">
    <w:name w:val="Body Text"/>
    <w:basedOn w:val="Normal"/>
    <w:link w:val="TextoindependienteCar"/>
    <w:rsid w:val="0051603F"/>
    <w:pPr>
      <w:spacing w:line="360" w:lineRule="auto"/>
      <w:jc w:val="both"/>
    </w:pPr>
  </w:style>
  <w:style w:type="character" w:customStyle="1" w:styleId="TextoindependienteCar">
    <w:name w:val="Texto independiente Car"/>
    <w:basedOn w:val="Fuentedeprrafopredeter"/>
    <w:link w:val="Textoindependiente"/>
    <w:semiHidden/>
    <w:rsid w:val="0051603F"/>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A6254C"/>
    <w:pPr>
      <w:tabs>
        <w:tab w:val="center" w:pos="4252"/>
        <w:tab w:val="right" w:pos="8504"/>
      </w:tabs>
    </w:pPr>
  </w:style>
  <w:style w:type="character" w:customStyle="1" w:styleId="EncabezadoCar">
    <w:name w:val="Encabezado Car"/>
    <w:basedOn w:val="Fuentedeprrafopredeter"/>
    <w:link w:val="Encabezado"/>
    <w:uiPriority w:val="99"/>
    <w:rsid w:val="00A6254C"/>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696258"/>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696258"/>
    <w:rPr>
      <w:rFonts w:ascii="Bookman Old Style" w:eastAsia="Times New Roman" w:hAnsi="Bookman Old Style" w:cs="Times New Roman"/>
      <w:snapToGrid w:val="0"/>
      <w:spacing w:val="-3"/>
      <w:sz w:val="24"/>
      <w:szCs w:val="20"/>
      <w:lang w:val="es-ES_tradnl" w:eastAsia="es-ES"/>
    </w:rPr>
  </w:style>
  <w:style w:type="paragraph" w:customStyle="1" w:styleId="Encabezadodetda">
    <w:name w:val="Encabezado de tda"/>
    <w:basedOn w:val="Normal"/>
    <w:rsid w:val="00696258"/>
    <w:pPr>
      <w:widowControl w:val="0"/>
      <w:tabs>
        <w:tab w:val="right" w:pos="9360"/>
      </w:tabs>
      <w:suppressAutoHyphens/>
    </w:pPr>
    <w:rPr>
      <w:rFonts w:ascii="Courier" w:hAnsi="Courier"/>
      <w:snapToGrid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3F"/>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51603F"/>
    <w:pPr>
      <w:tabs>
        <w:tab w:val="center" w:pos="4252"/>
        <w:tab w:val="right" w:pos="8504"/>
      </w:tabs>
    </w:pPr>
  </w:style>
  <w:style w:type="character" w:customStyle="1" w:styleId="PiedepginaCar">
    <w:name w:val="Pie de página Car"/>
    <w:basedOn w:val="Fuentedeprrafopredeter"/>
    <w:link w:val="Piedepgina"/>
    <w:semiHidden/>
    <w:rsid w:val="0051603F"/>
    <w:rPr>
      <w:rFonts w:ascii="Arial" w:eastAsia="Times New Roman" w:hAnsi="Arial" w:cs="Times New Roman"/>
      <w:sz w:val="24"/>
      <w:szCs w:val="24"/>
      <w:lang w:val="es-ES" w:eastAsia="es-ES"/>
    </w:rPr>
  </w:style>
  <w:style w:type="character" w:styleId="Nmerodepgina">
    <w:name w:val="page number"/>
    <w:basedOn w:val="Fuentedeprrafopredeter"/>
    <w:semiHidden/>
    <w:rsid w:val="0051603F"/>
  </w:style>
  <w:style w:type="paragraph" w:styleId="Textoindependiente">
    <w:name w:val="Body Text"/>
    <w:basedOn w:val="Normal"/>
    <w:link w:val="TextoindependienteCar"/>
    <w:rsid w:val="0051603F"/>
    <w:pPr>
      <w:spacing w:line="360" w:lineRule="auto"/>
      <w:jc w:val="both"/>
    </w:pPr>
  </w:style>
  <w:style w:type="character" w:customStyle="1" w:styleId="TextoindependienteCar">
    <w:name w:val="Texto independiente Car"/>
    <w:basedOn w:val="Fuentedeprrafopredeter"/>
    <w:link w:val="Textoindependiente"/>
    <w:semiHidden/>
    <w:rsid w:val="0051603F"/>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A6254C"/>
    <w:pPr>
      <w:tabs>
        <w:tab w:val="center" w:pos="4252"/>
        <w:tab w:val="right" w:pos="8504"/>
      </w:tabs>
    </w:pPr>
  </w:style>
  <w:style w:type="character" w:customStyle="1" w:styleId="EncabezadoCar">
    <w:name w:val="Encabezado Car"/>
    <w:basedOn w:val="Fuentedeprrafopredeter"/>
    <w:link w:val="Encabezado"/>
    <w:uiPriority w:val="99"/>
    <w:rsid w:val="00A6254C"/>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696258"/>
    <w:pPr>
      <w:widowControl w:val="0"/>
      <w:tabs>
        <w:tab w:val="left" w:pos="0"/>
      </w:tabs>
      <w:suppressAutoHyphens/>
      <w:spacing w:line="360" w:lineRule="auto"/>
      <w:ind w:firstLine="1134"/>
      <w:jc w:val="both"/>
    </w:pPr>
    <w:rPr>
      <w:rFonts w:ascii="Bookman Old Style" w:hAnsi="Bookman Old Style"/>
      <w:snapToGrid w:val="0"/>
      <w:spacing w:val="-3"/>
      <w:szCs w:val="20"/>
      <w:lang w:val="es-ES_tradnl"/>
    </w:rPr>
  </w:style>
  <w:style w:type="character" w:customStyle="1" w:styleId="SangradetextonormalCar">
    <w:name w:val="Sangría de texto normal Car"/>
    <w:basedOn w:val="Fuentedeprrafopredeter"/>
    <w:link w:val="Sangradetextonormal"/>
    <w:semiHidden/>
    <w:rsid w:val="00696258"/>
    <w:rPr>
      <w:rFonts w:ascii="Bookman Old Style" w:eastAsia="Times New Roman" w:hAnsi="Bookman Old Style" w:cs="Times New Roman"/>
      <w:snapToGrid w:val="0"/>
      <w:spacing w:val="-3"/>
      <w:sz w:val="24"/>
      <w:szCs w:val="20"/>
      <w:lang w:val="es-ES_tradnl" w:eastAsia="es-ES"/>
    </w:rPr>
  </w:style>
  <w:style w:type="paragraph" w:customStyle="1" w:styleId="Encabezadodetda">
    <w:name w:val="Encabezado de tda"/>
    <w:basedOn w:val="Normal"/>
    <w:rsid w:val="00696258"/>
    <w:pPr>
      <w:widowControl w:val="0"/>
      <w:tabs>
        <w:tab w:val="right" w:pos="9360"/>
      </w:tabs>
      <w:suppressAutoHyphens/>
    </w:pPr>
    <w:rPr>
      <w:rFonts w:ascii="Courier" w:hAnsi="Courier"/>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481D1-374C-4AC5-B555-6E5103AF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886</Words>
  <Characters>4878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De Souza</dc:creator>
  <cp:lastModifiedBy> </cp:lastModifiedBy>
  <cp:revision>6</cp:revision>
  <cp:lastPrinted>2016-06-23T17:22:00Z</cp:lastPrinted>
  <dcterms:created xsi:type="dcterms:W3CDTF">2016-06-23T17:22:00Z</dcterms:created>
  <dcterms:modified xsi:type="dcterms:W3CDTF">2016-09-29T20:47:00Z</dcterms:modified>
</cp:coreProperties>
</file>