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54" w:rsidRPr="00786EEB" w:rsidRDefault="00560354" w:rsidP="00072A1A">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2150</w:t>
      </w:r>
      <w:r w:rsidRPr="00786EEB">
        <w:rPr>
          <w:rFonts w:cs="Arial"/>
          <w:b/>
          <w:sz w:val="28"/>
          <w:szCs w:val="28"/>
          <w:lang w:val="es-ES_tradnl"/>
        </w:rPr>
        <w:t>/16</w:t>
      </w:r>
    </w:p>
    <w:p w:rsidR="00560354" w:rsidRPr="00762B34" w:rsidRDefault="00560354" w:rsidP="00560354">
      <w:pPr>
        <w:tabs>
          <w:tab w:val="center" w:pos="4253"/>
        </w:tabs>
        <w:suppressAutoHyphens/>
        <w:spacing w:after="0" w:line="240" w:lineRule="auto"/>
        <w:jc w:val="center"/>
        <w:rPr>
          <w:rFonts w:cs="Arial"/>
          <w:b/>
          <w:lang w:val="es-ES_tradnl"/>
        </w:rPr>
      </w:pPr>
      <w:r w:rsidRPr="00762B34">
        <w:rPr>
          <w:rFonts w:cs="Arial"/>
          <w:b/>
          <w:lang w:val="es-ES_tradnl"/>
        </w:rPr>
        <w:t>RESOLUCION ADOPTADA POR EL</w:t>
      </w:r>
    </w:p>
    <w:p w:rsidR="00560354" w:rsidRPr="00762B34" w:rsidRDefault="00560354" w:rsidP="00560354">
      <w:pPr>
        <w:tabs>
          <w:tab w:val="left" w:pos="-720"/>
        </w:tabs>
        <w:suppressAutoHyphens/>
        <w:spacing w:after="0" w:line="240" w:lineRule="auto"/>
        <w:jc w:val="center"/>
        <w:rPr>
          <w:rFonts w:cs="Arial"/>
          <w:b/>
          <w:lang w:val="es-ES_tradnl"/>
        </w:rPr>
      </w:pPr>
    </w:p>
    <w:p w:rsidR="00560354" w:rsidRPr="00762B34" w:rsidRDefault="00560354" w:rsidP="00560354">
      <w:pPr>
        <w:tabs>
          <w:tab w:val="center" w:pos="4253"/>
        </w:tabs>
        <w:suppressAutoHyphens/>
        <w:spacing w:after="0" w:line="240" w:lineRule="auto"/>
        <w:jc w:val="center"/>
        <w:rPr>
          <w:rFonts w:cs="Arial"/>
          <w:b/>
          <w:lang w:val="es-ES_tradnl"/>
        </w:rPr>
      </w:pPr>
      <w:r w:rsidRPr="00762B34">
        <w:rPr>
          <w:rFonts w:cs="Arial"/>
          <w:b/>
          <w:lang w:val="es-ES_tradnl"/>
        </w:rPr>
        <w:t>TRIBUNAL DE CUENTAS</w:t>
      </w:r>
    </w:p>
    <w:p w:rsidR="00560354" w:rsidRPr="00762B34" w:rsidRDefault="00560354" w:rsidP="00560354">
      <w:pPr>
        <w:tabs>
          <w:tab w:val="left" w:pos="-720"/>
        </w:tabs>
        <w:suppressAutoHyphens/>
        <w:spacing w:after="0" w:line="240" w:lineRule="auto"/>
        <w:jc w:val="center"/>
        <w:rPr>
          <w:rFonts w:cs="Arial"/>
          <w:b/>
          <w:lang w:val="es-ES_tradnl"/>
        </w:rPr>
      </w:pPr>
    </w:p>
    <w:p w:rsidR="00560354" w:rsidRPr="00762B34" w:rsidRDefault="00560354" w:rsidP="00560354">
      <w:pPr>
        <w:tabs>
          <w:tab w:val="center" w:pos="4253"/>
        </w:tabs>
        <w:suppressAutoHyphens/>
        <w:spacing w:after="0" w:line="240" w:lineRule="auto"/>
        <w:jc w:val="center"/>
        <w:rPr>
          <w:rFonts w:cs="Arial"/>
          <w:b/>
          <w:lang w:val="es-ES_tradnl"/>
        </w:rPr>
      </w:pPr>
      <w:r w:rsidRPr="00762B34">
        <w:rPr>
          <w:rFonts w:cs="Arial"/>
          <w:b/>
          <w:lang w:val="es-ES_tradnl"/>
        </w:rPr>
        <w:t xml:space="preserve">EN SESION DE FECHA </w:t>
      </w:r>
      <w:r>
        <w:rPr>
          <w:rFonts w:ascii="Helvetica" w:hAnsi="Helvetica"/>
          <w:b/>
          <w:lang w:val="es-ES_tradnl"/>
        </w:rPr>
        <w:t>22 DE JUNIO DE 2016</w:t>
      </w:r>
    </w:p>
    <w:p w:rsidR="00560354" w:rsidRPr="00762B34" w:rsidRDefault="00560354" w:rsidP="00560354">
      <w:pPr>
        <w:tabs>
          <w:tab w:val="center" w:pos="4253"/>
        </w:tabs>
        <w:suppressAutoHyphens/>
        <w:spacing w:after="0" w:line="240" w:lineRule="auto"/>
        <w:jc w:val="center"/>
        <w:rPr>
          <w:rFonts w:cs="Arial"/>
          <w:b/>
          <w:lang w:val="es-ES_tradnl"/>
        </w:rPr>
      </w:pPr>
    </w:p>
    <w:p w:rsidR="00560354" w:rsidRPr="00072A1A" w:rsidRDefault="00560354" w:rsidP="00560354">
      <w:pPr>
        <w:tabs>
          <w:tab w:val="center" w:pos="4253"/>
        </w:tabs>
        <w:suppressAutoHyphens/>
        <w:spacing w:after="0" w:line="240" w:lineRule="auto"/>
        <w:jc w:val="center"/>
        <w:rPr>
          <w:rFonts w:cs="Arial"/>
          <w:b/>
        </w:rPr>
      </w:pPr>
      <w:r w:rsidRPr="00072A1A">
        <w:rPr>
          <w:rFonts w:cs="Arial"/>
          <w:b/>
        </w:rPr>
        <w:t xml:space="preserve">(E. E. Nº 2015-17-1-0004560, </w:t>
      </w:r>
      <w:proofErr w:type="spellStart"/>
      <w:r w:rsidRPr="00072A1A">
        <w:rPr>
          <w:rFonts w:cs="Arial"/>
          <w:b/>
        </w:rPr>
        <w:t>Ent</w:t>
      </w:r>
      <w:proofErr w:type="spellEnd"/>
      <w:r w:rsidRPr="00072A1A">
        <w:rPr>
          <w:rFonts w:cs="Arial"/>
          <w:b/>
        </w:rPr>
        <w:t>. N° 3710/16)</w:t>
      </w:r>
    </w:p>
    <w:p w:rsidR="00560354" w:rsidRDefault="00560354" w:rsidP="00537758">
      <w:pPr>
        <w:spacing w:after="0" w:line="360" w:lineRule="auto"/>
        <w:jc w:val="left"/>
        <w:rPr>
          <w:b/>
        </w:rPr>
      </w:pPr>
    </w:p>
    <w:p w:rsidR="007668BE" w:rsidRDefault="007668BE" w:rsidP="00537758">
      <w:pPr>
        <w:spacing w:after="0" w:line="360" w:lineRule="auto"/>
        <w:jc w:val="left"/>
        <w:rPr>
          <w:b/>
        </w:rPr>
      </w:pPr>
    </w:p>
    <w:p w:rsidR="00795AD6" w:rsidRPr="00537758" w:rsidRDefault="00795AD6" w:rsidP="00EE6278">
      <w:pPr>
        <w:spacing w:after="0" w:line="360" w:lineRule="auto"/>
        <w:ind w:firstLine="851"/>
        <w:jc w:val="left"/>
      </w:pPr>
      <w:r w:rsidRPr="00537758">
        <w:rPr>
          <w:b/>
        </w:rPr>
        <w:t>VISTO:</w:t>
      </w:r>
      <w:r w:rsidRPr="00537758">
        <w:t xml:space="preserve"> que </w:t>
      </w:r>
      <w:r w:rsidR="00560354">
        <w:t xml:space="preserve"> </w:t>
      </w:r>
      <w:r w:rsidRPr="00537758">
        <w:t>este</w:t>
      </w:r>
      <w:r w:rsidR="00560354">
        <w:t xml:space="preserve"> </w:t>
      </w:r>
      <w:r w:rsidRPr="00537758">
        <w:t xml:space="preserve"> Tribunal</w:t>
      </w:r>
      <w:r w:rsidR="00560354">
        <w:t xml:space="preserve"> </w:t>
      </w:r>
      <w:r w:rsidRPr="00537758">
        <w:t xml:space="preserve"> ha </w:t>
      </w:r>
      <w:r w:rsidR="00560354">
        <w:t xml:space="preserve"> </w:t>
      </w:r>
      <w:r w:rsidRPr="00537758">
        <w:t xml:space="preserve">examinado </w:t>
      </w:r>
      <w:r w:rsidR="00560354">
        <w:t xml:space="preserve"> </w:t>
      </w:r>
      <w:r w:rsidRPr="00537758">
        <w:t>la Rendición de Cuentas del Congreso de Intendentes correspondiente al Ejercicio 201</w:t>
      </w:r>
      <w:r w:rsidR="00537758">
        <w:t>4</w:t>
      </w:r>
      <w:r w:rsidRPr="00537758">
        <w:t>;</w:t>
      </w:r>
    </w:p>
    <w:p w:rsidR="00795AD6" w:rsidRPr="00537758" w:rsidRDefault="00795AD6" w:rsidP="00EE6278">
      <w:pPr>
        <w:spacing w:after="0" w:line="360" w:lineRule="auto"/>
        <w:ind w:firstLine="851"/>
      </w:pPr>
      <w:r w:rsidRPr="00537758">
        <w:rPr>
          <w:b/>
        </w:rPr>
        <w:t xml:space="preserve">RESULTANDO: </w:t>
      </w:r>
      <w:r w:rsidRPr="00537758">
        <w:rPr>
          <w:rFonts w:cs="Arial"/>
        </w:rP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795AD6" w:rsidRPr="00537758" w:rsidRDefault="00795AD6" w:rsidP="00EE6278">
      <w:pPr>
        <w:spacing w:after="0" w:line="360" w:lineRule="auto"/>
        <w:ind w:firstLine="851"/>
      </w:pPr>
      <w:r w:rsidRPr="00537758">
        <w:rPr>
          <w:b/>
        </w:rPr>
        <w:t xml:space="preserve">CONSIDERANDO: </w:t>
      </w:r>
      <w:r w:rsidRPr="00537758">
        <w:t>que las conclusiones y evidencias obtenidas son las que se expresan en el Informe de Auditoría, que incluye Dictamen e Informe a la Administración;</w:t>
      </w:r>
    </w:p>
    <w:p w:rsidR="00795AD6" w:rsidRPr="00537758" w:rsidRDefault="00795AD6" w:rsidP="00795AD6">
      <w:pPr>
        <w:spacing w:after="0" w:line="360" w:lineRule="auto"/>
        <w:ind w:firstLine="851"/>
      </w:pPr>
      <w:r w:rsidRPr="00537758">
        <w:rPr>
          <w:b/>
        </w:rPr>
        <w:t xml:space="preserve">ATENTO: </w:t>
      </w:r>
      <w:r w:rsidRPr="00537758">
        <w:t>a lo dispuesto por el Artículo 211 Literal C) de la Constitución de la República;</w:t>
      </w:r>
    </w:p>
    <w:p w:rsidR="00795AD6" w:rsidRPr="00537758" w:rsidRDefault="00795AD6" w:rsidP="00795AD6">
      <w:pPr>
        <w:spacing w:after="0" w:line="360" w:lineRule="auto"/>
        <w:jc w:val="center"/>
        <w:rPr>
          <w:b/>
        </w:rPr>
      </w:pPr>
      <w:r w:rsidRPr="00537758">
        <w:rPr>
          <w:b/>
        </w:rPr>
        <w:t>EL TRIBUNAL ACUERDA</w:t>
      </w:r>
    </w:p>
    <w:p w:rsidR="00795AD6" w:rsidRPr="00537758" w:rsidRDefault="00795AD6" w:rsidP="00795AD6">
      <w:pPr>
        <w:numPr>
          <w:ilvl w:val="0"/>
          <w:numId w:val="1"/>
        </w:numPr>
        <w:spacing w:after="0" w:line="360" w:lineRule="auto"/>
      </w:pPr>
      <w:r w:rsidRPr="00537758">
        <w:rPr>
          <w:rFonts w:cs="Arial"/>
        </w:rPr>
        <w:t xml:space="preserve">Expedirse respecto a la </w:t>
      </w:r>
      <w:r w:rsidRPr="00537758">
        <w:t>Rendición de Cuentas del Congreso de Intendentes correspondiente al Ejercicio 201</w:t>
      </w:r>
      <w:r w:rsidR="00137527">
        <w:t>4</w:t>
      </w:r>
      <w:r w:rsidRPr="00537758">
        <w:t>, en los términos del Informe de Auditoría que se adjunta;</w:t>
      </w:r>
    </w:p>
    <w:p w:rsidR="00795AD6" w:rsidRPr="00537758" w:rsidRDefault="00795AD6" w:rsidP="00795AD6">
      <w:pPr>
        <w:numPr>
          <w:ilvl w:val="0"/>
          <w:numId w:val="1"/>
        </w:numPr>
        <w:spacing w:after="0" w:line="360" w:lineRule="auto"/>
      </w:pPr>
      <w:r w:rsidRPr="00537758">
        <w:t>Comunicar la presente Resolución al Congreso de Intendentes; y</w:t>
      </w:r>
    </w:p>
    <w:p w:rsidR="00795AD6" w:rsidRPr="00537758" w:rsidRDefault="00795AD6" w:rsidP="00795AD6">
      <w:pPr>
        <w:numPr>
          <w:ilvl w:val="0"/>
          <w:numId w:val="1"/>
        </w:numPr>
        <w:spacing w:after="0" w:line="360" w:lineRule="auto"/>
      </w:pPr>
      <w:r w:rsidRPr="00537758">
        <w:t>Dar cuenta a la Asamblea General.</w:t>
      </w:r>
    </w:p>
    <w:p w:rsidR="00154CE1" w:rsidRDefault="00154CE1"/>
    <w:p w:rsidR="00560354" w:rsidRDefault="00560354"/>
    <w:p w:rsidR="00072A1A" w:rsidRPr="00382CE1" w:rsidRDefault="00072A1A" w:rsidP="00072A1A">
      <w:pPr>
        <w:pStyle w:val="Ttulo1"/>
        <w:spacing w:before="240" w:after="240" w:line="240" w:lineRule="auto"/>
        <w:jc w:val="center"/>
        <w:rPr>
          <w:szCs w:val="24"/>
        </w:rPr>
      </w:pPr>
      <w:bookmarkStart w:id="1" w:name="_Toc178844116"/>
      <w:bookmarkStart w:id="2" w:name="_Toc398040983"/>
      <w:r w:rsidRPr="00382CE1">
        <w:rPr>
          <w:szCs w:val="24"/>
        </w:rPr>
        <w:t>dictamen</w:t>
      </w:r>
      <w:bookmarkEnd w:id="1"/>
      <w:bookmarkEnd w:id="2"/>
    </w:p>
    <w:p w:rsidR="007668BE" w:rsidRPr="007668BE" w:rsidRDefault="007668BE" w:rsidP="007668BE">
      <w:pPr>
        <w:rPr>
          <w:lang w:val="es-ES" w:eastAsia="es-ES"/>
        </w:rPr>
      </w:pPr>
    </w:p>
    <w:p w:rsidR="00072A1A" w:rsidRDefault="00072A1A" w:rsidP="00072A1A">
      <w:pPr>
        <w:pStyle w:val="Subttulo"/>
        <w:rPr>
          <w:rFonts w:ascii="Arial" w:hAnsi="Arial"/>
          <w:b w:val="0"/>
        </w:rPr>
      </w:pPr>
      <w:r w:rsidRPr="00F611F5">
        <w:rPr>
          <w:rFonts w:ascii="Arial" w:hAnsi="Arial"/>
          <w:b w:val="0"/>
        </w:rPr>
        <w:t xml:space="preserve">El Tribunal de Cuentas ha examinado la Rendición de Cuentas y el Balance de Ejecución Presupuestal del Congreso de Intendentes, </w:t>
      </w:r>
      <w:r>
        <w:rPr>
          <w:rFonts w:ascii="Arial" w:hAnsi="Arial"/>
          <w:b w:val="0"/>
        </w:rPr>
        <w:t xml:space="preserve">que </w:t>
      </w:r>
      <w:r w:rsidRPr="00F611F5">
        <w:rPr>
          <w:rFonts w:ascii="Arial" w:hAnsi="Arial"/>
          <w:b w:val="0"/>
        </w:rPr>
        <w:t>comprenden los siguientes estados: de Ejecución Presupuestal con relación a los Recursos y a los Créditos y otros estados complementarios, correspondiente al ejercicio finalizado el 31/12/2014.</w:t>
      </w:r>
    </w:p>
    <w:p w:rsidR="00072A1A" w:rsidRDefault="00072A1A" w:rsidP="00072A1A">
      <w:pPr>
        <w:pStyle w:val="Textoindependiente"/>
        <w:spacing w:after="0" w:line="360" w:lineRule="auto"/>
        <w:rPr>
          <w:rFonts w:cs="Arial"/>
          <w:kern w:val="0"/>
          <w:szCs w:val="24"/>
          <w:lang w:val="es-ES"/>
        </w:rPr>
      </w:pPr>
      <w:r>
        <w:rPr>
          <w:rFonts w:cs="Arial"/>
          <w:kern w:val="0"/>
          <w:szCs w:val="24"/>
          <w:lang w:val="es-ES"/>
        </w:rPr>
        <w:t>También se presentan, en caso de corresponder, los incumplimientos legales constatados por el Tribunal de Cuentas en el curso de la auditoría efectuada.</w:t>
      </w:r>
    </w:p>
    <w:p w:rsidR="007668BE" w:rsidRDefault="007668BE" w:rsidP="00072A1A">
      <w:pPr>
        <w:pStyle w:val="Textoindependiente"/>
        <w:spacing w:after="0" w:line="360" w:lineRule="auto"/>
        <w:rPr>
          <w:rFonts w:cs="Arial"/>
          <w:kern w:val="0"/>
          <w:szCs w:val="24"/>
          <w:lang w:val="es-ES"/>
        </w:rPr>
      </w:pPr>
    </w:p>
    <w:p w:rsidR="00072A1A" w:rsidRPr="00F611F5" w:rsidRDefault="00072A1A" w:rsidP="00072A1A">
      <w:pPr>
        <w:pStyle w:val="Subttulo"/>
        <w:rPr>
          <w:rFonts w:ascii="Arial" w:hAnsi="Arial"/>
          <w:bCs/>
        </w:rPr>
      </w:pPr>
      <w:r w:rsidRPr="00F611F5">
        <w:rPr>
          <w:rFonts w:ascii="Arial" w:hAnsi="Arial"/>
          <w:bCs/>
        </w:rPr>
        <w:t>Responsabilidad del Congreso de Intendentes</w:t>
      </w:r>
    </w:p>
    <w:p w:rsidR="00072A1A" w:rsidRDefault="00072A1A" w:rsidP="00072A1A">
      <w:pPr>
        <w:pStyle w:val="Subttulo"/>
        <w:rPr>
          <w:rFonts w:ascii="Arial" w:hAnsi="Arial"/>
          <w:b w:val="0"/>
        </w:rPr>
      </w:pPr>
      <w:r w:rsidRPr="00F611F5">
        <w:rPr>
          <w:rFonts w:ascii="Arial" w:hAnsi="Arial"/>
          <w:b w:val="0"/>
        </w:rPr>
        <w:t xml:space="preserve">El Congreso de Intendentes es responsable por la preparación y la razonable presentación de estos estados de ejecución presupuestal </w:t>
      </w:r>
      <w:r>
        <w:rPr>
          <w:rFonts w:ascii="Arial" w:hAnsi="Arial"/>
          <w:b w:val="0"/>
        </w:rPr>
        <w:t xml:space="preserve">de </w:t>
      </w:r>
      <w:r w:rsidRPr="00F611F5">
        <w:rPr>
          <w:rFonts w:ascii="Arial" w:hAnsi="Arial"/>
          <w:b w:val="0"/>
        </w:rPr>
        <w:t>acuerdo con la normativa vigente y con la Resolución de este Tribunal de fecha 28/01/2004.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7668BE" w:rsidRPr="00F14725" w:rsidRDefault="007668BE" w:rsidP="00072A1A">
      <w:pPr>
        <w:pStyle w:val="Subttulo"/>
        <w:rPr>
          <w:rFonts w:ascii="Arial" w:hAnsi="Arial"/>
          <w:b w:val="0"/>
          <w:highlight w:val="yellow"/>
        </w:rPr>
      </w:pPr>
    </w:p>
    <w:p w:rsidR="00072A1A" w:rsidRPr="00F611F5" w:rsidRDefault="00072A1A" w:rsidP="00072A1A">
      <w:pPr>
        <w:pStyle w:val="Subttulo"/>
        <w:rPr>
          <w:rFonts w:ascii="Arial" w:hAnsi="Arial"/>
          <w:bCs/>
        </w:rPr>
      </w:pPr>
      <w:r w:rsidRPr="00F611F5">
        <w:rPr>
          <w:rFonts w:ascii="Arial" w:hAnsi="Arial"/>
          <w:bCs/>
        </w:rPr>
        <w:t>Responsabilidad del Auditor</w:t>
      </w:r>
    </w:p>
    <w:p w:rsidR="00072A1A" w:rsidRPr="00F611F5" w:rsidRDefault="00072A1A" w:rsidP="00072A1A">
      <w:pPr>
        <w:spacing w:line="360" w:lineRule="auto"/>
        <w:rPr>
          <w:szCs w:val="24"/>
          <w:lang w:val="es-ES"/>
        </w:rPr>
      </w:pPr>
      <w:r w:rsidRPr="00F611F5">
        <w:rPr>
          <w:szCs w:val="24"/>
          <w:lang w:val="es-E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072A1A" w:rsidRPr="00F611F5" w:rsidRDefault="00072A1A" w:rsidP="00072A1A">
      <w:pPr>
        <w:spacing w:after="0" w:line="360" w:lineRule="auto"/>
        <w:rPr>
          <w:szCs w:val="24"/>
          <w:lang w:val="es-ES"/>
        </w:rPr>
      </w:pPr>
      <w:r w:rsidRPr="00F611F5">
        <w:rPr>
          <w:szCs w:val="24"/>
          <w:lang w:val="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w:t>
      </w:r>
    </w:p>
    <w:p w:rsidR="00072A1A" w:rsidRPr="00F611F5" w:rsidRDefault="00072A1A" w:rsidP="00072A1A">
      <w:pPr>
        <w:spacing w:after="0" w:line="360" w:lineRule="auto"/>
        <w:rPr>
          <w:b/>
          <w:szCs w:val="24"/>
          <w:lang w:val="es-ES"/>
        </w:rPr>
      </w:pPr>
      <w:r w:rsidRPr="00F611F5">
        <w:rPr>
          <w:szCs w:val="24"/>
          <w:lang w:val="es-ES"/>
        </w:rPr>
        <w:t>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w:t>
      </w:r>
      <w:r w:rsidRPr="00F611F5">
        <w:rPr>
          <w:rFonts w:cs="Arial"/>
          <w:szCs w:val="24"/>
          <w:lang w:val="es-ES"/>
        </w:rPr>
        <w:t xml:space="preserve"> así como evaluar la presentación general de ejecución presupuestal.</w:t>
      </w:r>
    </w:p>
    <w:p w:rsidR="00072A1A" w:rsidRDefault="00072A1A" w:rsidP="00072A1A">
      <w:pPr>
        <w:pStyle w:val="Subttulo"/>
        <w:rPr>
          <w:rFonts w:ascii="Arial" w:hAnsi="Arial"/>
          <w:b w:val="0"/>
          <w:kern w:val="0"/>
          <w:szCs w:val="24"/>
        </w:rPr>
      </w:pPr>
      <w:r w:rsidRPr="00F611F5">
        <w:rPr>
          <w:rFonts w:ascii="Arial" w:hAnsi="Arial"/>
          <w:b w:val="0"/>
          <w:kern w:val="0"/>
          <w:szCs w:val="24"/>
        </w:rPr>
        <w:t>Se considera que la evidencia de auditoría obtenida brinda una base suficiente y apropiada para sustentar la opinión.</w:t>
      </w:r>
    </w:p>
    <w:p w:rsidR="007668BE" w:rsidRPr="00F611F5" w:rsidRDefault="007668BE" w:rsidP="00072A1A">
      <w:pPr>
        <w:pStyle w:val="Subttulo"/>
        <w:rPr>
          <w:rFonts w:ascii="Arial" w:hAnsi="Arial"/>
          <w:b w:val="0"/>
        </w:rPr>
      </w:pPr>
    </w:p>
    <w:p w:rsidR="00072A1A" w:rsidRPr="003C1B5E" w:rsidRDefault="00072A1A" w:rsidP="00072A1A">
      <w:pPr>
        <w:pStyle w:val="Subttulo"/>
        <w:jc w:val="left"/>
        <w:rPr>
          <w:rFonts w:ascii="Arial" w:hAnsi="Arial" w:cs="Arial"/>
        </w:rPr>
      </w:pPr>
      <w:r w:rsidRPr="003C1B5E">
        <w:rPr>
          <w:rFonts w:ascii="Arial" w:hAnsi="Arial" w:cs="Arial"/>
        </w:rPr>
        <w:t>Opinión</w:t>
      </w:r>
    </w:p>
    <w:p w:rsidR="00072A1A" w:rsidRPr="003C1B5E" w:rsidRDefault="00072A1A" w:rsidP="00072A1A">
      <w:pPr>
        <w:spacing w:after="0" w:line="360" w:lineRule="auto"/>
      </w:pPr>
      <w:r w:rsidRPr="003C1B5E">
        <w:t xml:space="preserve">En opinión del Tribunal de Cuentas, el Balance de Ejecución Presupuestal mencionado presenta razonablemente, en todos sus aspectos importantes, la ejecución presupuestal del Congreso de </w:t>
      </w:r>
      <w:r>
        <w:t>Intendentes correspondiente al E</w:t>
      </w:r>
      <w:r w:rsidRPr="003C1B5E">
        <w:t>jercicio finalizado el 31/12/2014, de acuerdo con las normas establecidas en el TOCAF y la Resolución de este Tribunal de fecha 28/01/04.</w:t>
      </w:r>
    </w:p>
    <w:p w:rsidR="00072A1A" w:rsidRDefault="00072A1A" w:rsidP="00072A1A">
      <w:pPr>
        <w:pStyle w:val="Textoindependiente"/>
        <w:spacing w:after="0" w:line="360" w:lineRule="auto"/>
        <w:rPr>
          <w:rFonts w:cs="Arial"/>
          <w:kern w:val="0"/>
          <w:szCs w:val="24"/>
          <w:lang w:val="es-ES"/>
        </w:rPr>
      </w:pPr>
      <w:r>
        <w:rPr>
          <w:rFonts w:cs="Arial"/>
          <w:kern w:val="0"/>
          <w:szCs w:val="24"/>
          <w:lang w:val="es-ES"/>
        </w:rPr>
        <w:t>Con relación al cumplimiento de la normativa vigente, en el curso de la auditoría realizada, se ha constatado que:</w:t>
      </w:r>
    </w:p>
    <w:p w:rsidR="007668BE" w:rsidRDefault="007668BE" w:rsidP="00072A1A">
      <w:pPr>
        <w:pStyle w:val="Textoindependiente"/>
        <w:spacing w:after="0" w:line="360" w:lineRule="auto"/>
        <w:rPr>
          <w:rFonts w:cs="Arial"/>
          <w:kern w:val="0"/>
          <w:szCs w:val="24"/>
          <w:lang w:val="es-ES"/>
        </w:rPr>
      </w:pPr>
    </w:p>
    <w:p w:rsidR="00072A1A" w:rsidRDefault="00072A1A" w:rsidP="00072A1A">
      <w:pPr>
        <w:numPr>
          <w:ilvl w:val="0"/>
          <w:numId w:val="2"/>
        </w:numPr>
        <w:tabs>
          <w:tab w:val="left" w:pos="284"/>
        </w:tabs>
        <w:spacing w:after="0" w:line="360" w:lineRule="auto"/>
        <w:ind w:left="0" w:firstLine="0"/>
        <w:rPr>
          <w:rFonts w:cs="Arial"/>
          <w:bCs/>
          <w:kern w:val="1"/>
          <w:lang w:val="es-ES" w:eastAsia="ar-SA"/>
        </w:rPr>
      </w:pPr>
      <w:r w:rsidRPr="00744963">
        <w:rPr>
          <w:rFonts w:cs="Arial"/>
          <w:b/>
          <w:bCs/>
          <w:kern w:val="1"/>
          <w:lang w:val="es-ES" w:eastAsia="ar-SA"/>
        </w:rPr>
        <w:t xml:space="preserve">Artículo 86 de la Constitución de la República. </w:t>
      </w:r>
      <w:r w:rsidRPr="00744963">
        <w:rPr>
          <w:rFonts w:cs="Arial"/>
          <w:kern w:val="1"/>
          <w:lang w:val="es-ES" w:eastAsia="ar-SA"/>
        </w:rPr>
        <w:t>S</w:t>
      </w:r>
      <w:r w:rsidRPr="00744963">
        <w:rPr>
          <w:rFonts w:cs="Arial"/>
          <w:bCs/>
          <w:kern w:val="1"/>
          <w:lang w:val="es-ES" w:eastAsia="ar-SA"/>
        </w:rPr>
        <w:t>e abonaron a algunos funcionarios partidas por concepto de compensaciones especiales, las cuales no fueron establecidas en la instancia presupuestal. Estos pagos fueron observados por el Contador Delegado.</w:t>
      </w:r>
    </w:p>
    <w:p w:rsidR="00072A1A" w:rsidRPr="007668BE" w:rsidRDefault="00072A1A" w:rsidP="00072A1A">
      <w:pPr>
        <w:numPr>
          <w:ilvl w:val="0"/>
          <w:numId w:val="2"/>
        </w:numPr>
        <w:tabs>
          <w:tab w:val="left" w:pos="284"/>
        </w:tabs>
        <w:spacing w:after="0" w:line="360" w:lineRule="auto"/>
        <w:ind w:left="0" w:firstLine="0"/>
        <w:rPr>
          <w:rFonts w:cs="Arial"/>
          <w:bCs/>
          <w:kern w:val="1"/>
          <w:lang w:val="es-ES" w:eastAsia="ar-SA"/>
        </w:rPr>
      </w:pPr>
      <w:r>
        <w:rPr>
          <w:rFonts w:cs="Arial"/>
          <w:b/>
          <w:color w:val="000000"/>
        </w:rPr>
        <w:t>Artículo</w:t>
      </w:r>
      <w:r w:rsidRPr="00EB4F2A">
        <w:rPr>
          <w:rFonts w:cs="Arial"/>
          <w:b/>
          <w:color w:val="000000"/>
        </w:rPr>
        <w:t xml:space="preserve"> </w:t>
      </w:r>
      <w:r w:rsidRPr="00EB4F2A">
        <w:rPr>
          <w:rFonts w:cs="Arial"/>
          <w:b/>
        </w:rPr>
        <w:t xml:space="preserve">86 de la Constitución de la República y </w:t>
      </w:r>
      <w:r>
        <w:rPr>
          <w:rFonts w:cs="Arial"/>
          <w:b/>
        </w:rPr>
        <w:t xml:space="preserve">Modificación </w:t>
      </w:r>
      <w:r w:rsidRPr="00EB4F2A">
        <w:rPr>
          <w:rFonts w:cs="Arial"/>
          <w:b/>
        </w:rPr>
        <w:t>Presupuest</w:t>
      </w:r>
      <w:r>
        <w:rPr>
          <w:rFonts w:cs="Arial"/>
          <w:b/>
        </w:rPr>
        <w:t>al</w:t>
      </w:r>
      <w:r w:rsidRPr="00EB4F2A">
        <w:rPr>
          <w:rFonts w:cs="Arial"/>
          <w:b/>
        </w:rPr>
        <w:t xml:space="preserve"> </w:t>
      </w:r>
      <w:r>
        <w:rPr>
          <w:rFonts w:cs="Arial"/>
          <w:b/>
        </w:rPr>
        <w:t>para el año 2008</w:t>
      </w:r>
      <w:r w:rsidRPr="00EB4F2A">
        <w:rPr>
          <w:rFonts w:cs="Arial"/>
          <w:b/>
        </w:rPr>
        <w:t xml:space="preserve"> </w:t>
      </w:r>
      <w:r>
        <w:rPr>
          <w:rFonts w:cs="Arial"/>
          <w:b/>
        </w:rPr>
        <w:t>del Congreso de Intendentes</w:t>
      </w:r>
      <w:r w:rsidRPr="00EB4F2A">
        <w:rPr>
          <w:rFonts w:cs="Arial"/>
          <w:b/>
        </w:rPr>
        <w:t>:</w:t>
      </w:r>
      <w:r w:rsidRPr="00EB4F2A">
        <w:rPr>
          <w:rFonts w:cs="Arial"/>
        </w:rPr>
        <w:t xml:space="preserve"> </w:t>
      </w:r>
      <w:r>
        <w:rPr>
          <w:rFonts w:cs="Arial"/>
        </w:rPr>
        <w:t>D</w:t>
      </w:r>
      <w:r w:rsidRPr="00EB4F2A">
        <w:rPr>
          <w:rFonts w:cs="Arial"/>
        </w:rPr>
        <w:t>urante el Ejercicio  201</w:t>
      </w:r>
      <w:r>
        <w:rPr>
          <w:rFonts w:cs="Arial"/>
        </w:rPr>
        <w:t>4</w:t>
      </w:r>
      <w:r w:rsidRPr="00EB4F2A">
        <w:rPr>
          <w:rFonts w:cs="Arial"/>
        </w:rPr>
        <w:t xml:space="preserve"> no se dio cumplimiento a la estructura orgánica establecida en la instancia presupuestal</w:t>
      </w:r>
      <w:r>
        <w:rPr>
          <w:rFonts w:cs="Arial"/>
        </w:rPr>
        <w:t>,</w:t>
      </w:r>
      <w:r w:rsidRPr="00EB4F2A">
        <w:rPr>
          <w:rFonts w:cs="Arial"/>
        </w:rPr>
        <w:t xml:space="preserve"> </w:t>
      </w:r>
      <w:r w:rsidRPr="00EC2718">
        <w:rPr>
          <w:rFonts w:cs="Arial"/>
        </w:rPr>
        <w:t>al no respetar en su totalidad la estructura de escalafones y cargos funcionales aprobados.</w:t>
      </w:r>
    </w:p>
    <w:p w:rsidR="00072A1A" w:rsidRPr="001E6C37" w:rsidRDefault="00072A1A" w:rsidP="00072A1A">
      <w:pPr>
        <w:numPr>
          <w:ilvl w:val="0"/>
          <w:numId w:val="2"/>
        </w:numPr>
        <w:tabs>
          <w:tab w:val="left" w:pos="284"/>
        </w:tabs>
        <w:spacing w:after="0" w:line="360" w:lineRule="auto"/>
        <w:ind w:left="0" w:firstLine="0"/>
        <w:rPr>
          <w:rFonts w:cs="Arial"/>
          <w:bCs/>
          <w:kern w:val="1"/>
          <w:lang w:val="es-ES" w:eastAsia="ar-SA"/>
        </w:rPr>
      </w:pPr>
      <w:r w:rsidRPr="001E6C37">
        <w:rPr>
          <w:b/>
          <w:bCs/>
        </w:rPr>
        <w:t>Artículo</w:t>
      </w:r>
      <w:r w:rsidRPr="001E6C37">
        <w:rPr>
          <w:rFonts w:cs="Arial"/>
          <w:b/>
        </w:rPr>
        <w:t xml:space="preserve"> </w:t>
      </w:r>
      <w:r w:rsidRPr="001E6C37">
        <w:rPr>
          <w:rFonts w:cs="Arial"/>
          <w:b/>
          <w:bCs/>
        </w:rPr>
        <w:t xml:space="preserve">15 y </w:t>
      </w:r>
      <w:r w:rsidRPr="00310660">
        <w:rPr>
          <w:rFonts w:cs="Arial"/>
          <w:b/>
          <w:bCs/>
        </w:rPr>
        <w:t>102 Numeral 3 del TOCAF</w:t>
      </w:r>
      <w:r>
        <w:rPr>
          <w:rFonts w:cs="Arial"/>
          <w:b/>
          <w:bCs/>
        </w:rPr>
        <w:t>:</w:t>
      </w:r>
      <w:r w:rsidRPr="001E6C37">
        <w:rPr>
          <w:rFonts w:cs="Arial"/>
          <w:bCs/>
        </w:rPr>
        <w:t xml:space="preserve"> </w:t>
      </w:r>
      <w:r w:rsidRPr="001E6C37">
        <w:rPr>
          <w:rFonts w:cs="Arial"/>
        </w:rPr>
        <w:t>Durante el Ejercicio 2014 se realizaron gastos sin contar con disponibilidad presupuestal, los que fueron observados por el Contador Delegado. Asimismo, al comprometer los gastos, no se realiza la imputación previa a los objetos correspondientes.</w:t>
      </w:r>
    </w:p>
    <w:p w:rsidR="00072A1A" w:rsidRPr="00744963" w:rsidRDefault="00072A1A" w:rsidP="00072A1A">
      <w:pPr>
        <w:numPr>
          <w:ilvl w:val="0"/>
          <w:numId w:val="2"/>
        </w:numPr>
        <w:tabs>
          <w:tab w:val="left" w:pos="284"/>
        </w:tabs>
        <w:spacing w:after="0" w:line="360" w:lineRule="auto"/>
        <w:ind w:left="0" w:firstLine="0"/>
        <w:rPr>
          <w:rFonts w:cs="Arial"/>
          <w:bCs/>
          <w:kern w:val="1"/>
          <w:lang w:val="es-ES" w:eastAsia="ar-SA"/>
        </w:rPr>
      </w:pPr>
      <w:r w:rsidRPr="00744963">
        <w:rPr>
          <w:rFonts w:cs="Arial"/>
          <w:b/>
          <w:bCs/>
          <w:kern w:val="1"/>
          <w:lang w:val="es-ES" w:eastAsia="ar-SA"/>
        </w:rPr>
        <w:t xml:space="preserve">Artículo 20 del TOCAF: </w:t>
      </w:r>
      <w:r w:rsidRPr="00744963">
        <w:rPr>
          <w:rFonts w:cs="Arial"/>
          <w:bCs/>
          <w:kern w:val="1"/>
          <w:lang w:val="es-ES" w:eastAsia="ar-SA"/>
        </w:rPr>
        <w:t>Se otorgaron adelantos de sueldos por montos superiores a la real prestación del servicio.</w:t>
      </w:r>
    </w:p>
    <w:p w:rsidR="00072A1A" w:rsidRPr="004277C2" w:rsidRDefault="00072A1A" w:rsidP="00072A1A">
      <w:pPr>
        <w:numPr>
          <w:ilvl w:val="0"/>
          <w:numId w:val="2"/>
        </w:numPr>
        <w:tabs>
          <w:tab w:val="left" w:pos="284"/>
        </w:tabs>
        <w:spacing w:after="0" w:line="360" w:lineRule="auto"/>
        <w:ind w:left="0" w:firstLine="0"/>
        <w:rPr>
          <w:b/>
          <w:bCs/>
          <w:lang w:val="es-ES"/>
        </w:rPr>
      </w:pPr>
      <w:r w:rsidRPr="004277C2">
        <w:rPr>
          <w:rFonts w:cs="Arial"/>
          <w:b/>
          <w:bCs/>
        </w:rPr>
        <w:t>Artículo</w:t>
      </w:r>
      <w:r w:rsidRPr="004277C2">
        <w:rPr>
          <w:rFonts w:cs="Arial"/>
        </w:rPr>
        <w:t xml:space="preserve"> </w:t>
      </w:r>
      <w:r w:rsidRPr="004277C2">
        <w:rPr>
          <w:rFonts w:cs="Arial"/>
          <w:b/>
          <w:bCs/>
        </w:rPr>
        <w:t>132 del TOCAF:</w:t>
      </w:r>
      <w:r w:rsidRPr="004277C2">
        <w:rPr>
          <w:b/>
        </w:rPr>
        <w:t xml:space="preserve"> </w:t>
      </w:r>
      <w:r w:rsidRPr="004277C2">
        <w:rPr>
          <w:rFonts w:cs="Arial"/>
        </w:rPr>
        <w:t>El Congreso de Intendentes mantuvo anticipos de fondos a rendir cuenta con una antigüedad superior al plazo e</w:t>
      </w:r>
      <w:r w:rsidR="007668BE">
        <w:rPr>
          <w:rFonts w:cs="Arial"/>
        </w:rPr>
        <w:t>stablecido por la citada norma.</w:t>
      </w:r>
    </w:p>
    <w:p w:rsidR="00072A1A" w:rsidRDefault="00072A1A" w:rsidP="00072A1A">
      <w:pPr>
        <w:jc w:val="right"/>
        <w:rPr>
          <w:lang w:val="es-ES"/>
        </w:rPr>
      </w:pPr>
      <w:r w:rsidRPr="000501B6">
        <w:rPr>
          <w:lang w:val="es-ES"/>
        </w:rPr>
        <w:t>Montevideo,</w:t>
      </w:r>
      <w:r>
        <w:rPr>
          <w:lang w:val="es-ES"/>
        </w:rPr>
        <w:t xml:space="preserve"> 27 de abril de 2016</w:t>
      </w:r>
    </w:p>
    <w:p w:rsidR="00072A1A" w:rsidRDefault="00072A1A"/>
    <w:p w:rsidR="00F069E1" w:rsidRDefault="00F069E1" w:rsidP="00EE6278">
      <w:pPr>
        <w:pStyle w:val="Ttulo1"/>
        <w:spacing w:before="240" w:after="240" w:line="240" w:lineRule="auto"/>
        <w:jc w:val="center"/>
        <w:rPr>
          <w:szCs w:val="24"/>
        </w:rPr>
      </w:pPr>
      <w:r w:rsidRPr="007668BE">
        <w:rPr>
          <w:szCs w:val="24"/>
        </w:rPr>
        <w:t>INFORME A LA ADMINISTRACIÓN</w:t>
      </w:r>
    </w:p>
    <w:p w:rsidR="007668BE" w:rsidRPr="007668BE" w:rsidRDefault="007668BE" w:rsidP="007668BE">
      <w:pPr>
        <w:rPr>
          <w:lang w:val="es-ES" w:eastAsia="es-ES"/>
        </w:rPr>
      </w:pPr>
    </w:p>
    <w:p w:rsidR="00F069E1" w:rsidRPr="000501B6" w:rsidRDefault="00F069E1" w:rsidP="00EE6278">
      <w:pPr>
        <w:pStyle w:val="Textoindependiente2"/>
        <w:jc w:val="both"/>
        <w:rPr>
          <w:rFonts w:ascii="Arial" w:hAnsi="Arial" w:cs="Arial"/>
        </w:rPr>
      </w:pPr>
      <w:r w:rsidRPr="000501B6">
        <w:rPr>
          <w:rFonts w:ascii="Arial" w:hAnsi="Arial" w:cs="Arial"/>
        </w:rPr>
        <w:t>El Tribunal de Cuentas ha examinado la Rendición de Cuentas y Balance de Ejecución Presupuestal del Congreso Nacional de Intendentes correspondiente al Ejercicio 2014 y ha emitido su correspondiente Dictamen.</w:t>
      </w:r>
    </w:p>
    <w:p w:rsidR="00F069E1" w:rsidRPr="000501B6" w:rsidRDefault="00F069E1" w:rsidP="00EE6278">
      <w:pPr>
        <w:pStyle w:val="Textoindependiente2"/>
        <w:jc w:val="both"/>
        <w:rPr>
          <w:rFonts w:ascii="Arial" w:hAnsi="Arial" w:cs="Arial"/>
        </w:rPr>
      </w:pPr>
      <w:r w:rsidRPr="000501B6">
        <w:rPr>
          <w:rFonts w:ascii="Arial" w:hAnsi="Arial" w:cs="Arial"/>
        </w:rPr>
        <w:t xml:space="preserve">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w:t>
      </w:r>
      <w:r>
        <w:rPr>
          <w:rFonts w:ascii="Arial" w:hAnsi="Arial" w:cs="Arial"/>
        </w:rPr>
        <w:t>E</w:t>
      </w:r>
      <w:r w:rsidRPr="000501B6">
        <w:rPr>
          <w:rFonts w:ascii="Arial" w:hAnsi="Arial" w:cs="Arial"/>
        </w:rPr>
        <w:t>jercicio anterior.</w:t>
      </w:r>
    </w:p>
    <w:p w:rsidR="00F069E1" w:rsidRPr="004A5DB2" w:rsidRDefault="00F069E1" w:rsidP="00EE6278">
      <w:pPr>
        <w:pStyle w:val="Ttulo2"/>
        <w:spacing w:after="0"/>
      </w:pPr>
      <w:bookmarkStart w:id="3" w:name="_Toc398040986"/>
      <w:r w:rsidRPr="004A5DB2">
        <w:t>3.3 Incumplimiento de normas</w:t>
      </w:r>
      <w:bookmarkEnd w:id="3"/>
    </w:p>
    <w:p w:rsidR="00F069E1" w:rsidRPr="00EC2718" w:rsidRDefault="00F069E1" w:rsidP="00EE6278">
      <w:pPr>
        <w:pStyle w:val="Ttulo2"/>
        <w:spacing w:after="0"/>
        <w:jc w:val="both"/>
        <w:rPr>
          <w:rFonts w:cs="Arial"/>
          <w:kern w:val="1"/>
          <w:lang w:eastAsia="ar-SA"/>
        </w:rPr>
      </w:pPr>
      <w:bookmarkStart w:id="4" w:name="_Toc398040987"/>
      <w:r w:rsidRPr="00EC2718">
        <w:rPr>
          <w:rFonts w:cs="Arial"/>
          <w:kern w:val="1"/>
          <w:lang w:eastAsia="ar-SA"/>
        </w:rPr>
        <w:t>Artículo 86 de la Constitución de la República</w:t>
      </w:r>
      <w:bookmarkEnd w:id="4"/>
    </w:p>
    <w:p w:rsidR="00F069E1" w:rsidRPr="00EC2718" w:rsidRDefault="00F069E1" w:rsidP="00EE6278">
      <w:pPr>
        <w:spacing w:line="360" w:lineRule="auto"/>
        <w:rPr>
          <w:kern w:val="1"/>
          <w:lang w:eastAsia="ar-SA"/>
        </w:rPr>
      </w:pPr>
      <w:r w:rsidRPr="00EC2718">
        <w:rPr>
          <w:kern w:val="1"/>
          <w:lang w:eastAsia="ar-SA"/>
        </w:rPr>
        <w:t>Por Resolución Nº 03/2010 de 24/02/10, se otorgó a cada uno de los Consejeros del Organismo una retribución mensual adicional y por todo concepto, equivalente a la tercera parte del salario fijado para el Secretario Ejecutivo. Esta compensación no está prevista presupuestalmente. Asimismo, por Resolución de la Mesa del Congreso de Intendentes, se otorgó  a partir del 01/03/13 una partida fija de $ 3.000 a todos los funcionarios presupuestados y contratados, exceptuados los cargos pol</w:t>
      </w:r>
      <w:r>
        <w:rPr>
          <w:kern w:val="1"/>
          <w:lang w:eastAsia="ar-SA"/>
        </w:rPr>
        <w:t>íticos y Contador del Organismo y por Resolución de fecha 08/12/14 se otorgó a una funcionaria una partida mensual fija por concepto de quebranto de caja de $ 5.000.</w:t>
      </w:r>
    </w:p>
    <w:p w:rsidR="00F069E1" w:rsidRPr="008E6906" w:rsidRDefault="00F069E1" w:rsidP="00EE6278">
      <w:pPr>
        <w:pStyle w:val="Ttulo2"/>
        <w:spacing w:after="0"/>
      </w:pPr>
      <w:r w:rsidRPr="00EC2718">
        <w:t xml:space="preserve">3.4 Recomendaciones del </w:t>
      </w:r>
      <w:r>
        <w:t>Ejercicio anterior no cumplidas</w:t>
      </w:r>
    </w:p>
    <w:p w:rsidR="00F069E1" w:rsidRPr="008E6906" w:rsidRDefault="00F069E1" w:rsidP="00EE6278">
      <w:pPr>
        <w:spacing w:after="120"/>
        <w:rPr>
          <w:b/>
          <w:lang w:val="es-ES"/>
        </w:rPr>
      </w:pPr>
      <w:r w:rsidRPr="008E6906">
        <w:rPr>
          <w:b/>
          <w:lang w:val="es-ES"/>
        </w:rPr>
        <w:t>Imputación previa</w:t>
      </w:r>
    </w:p>
    <w:p w:rsidR="00F069E1" w:rsidRPr="00EC2718" w:rsidRDefault="00F069E1" w:rsidP="00EE6278">
      <w:pPr>
        <w:spacing w:line="360" w:lineRule="auto"/>
        <w:rPr>
          <w:lang w:val="es-ES"/>
        </w:rPr>
      </w:pPr>
      <w:r w:rsidRPr="008E6906">
        <w:rPr>
          <w:lang w:val="es-ES"/>
        </w:rPr>
        <w:t>Se deberán adoptar las medidas pertinentes a los efectos de implementar la imputación previa del gasto al Objeto correspondiente.</w:t>
      </w:r>
    </w:p>
    <w:p w:rsidR="00F069E1" w:rsidRPr="00EC2718" w:rsidRDefault="00F069E1" w:rsidP="00EE6278">
      <w:pPr>
        <w:pStyle w:val="Ttulo2"/>
        <w:spacing w:after="0"/>
      </w:pPr>
      <w:bookmarkStart w:id="5" w:name="_Toc398040991"/>
      <w:r w:rsidRPr="00EC2718">
        <w:t>3.</w:t>
      </w:r>
      <w:r>
        <w:t>5 Recomendaciones del E</w:t>
      </w:r>
      <w:r w:rsidRPr="00EC2718">
        <w:t>jercicio</w:t>
      </w:r>
      <w:bookmarkEnd w:id="5"/>
    </w:p>
    <w:p w:rsidR="00F069E1" w:rsidRDefault="00F069E1" w:rsidP="00EE6278">
      <w:pPr>
        <w:pStyle w:val="Textoindependiente"/>
        <w:widowControl w:val="0"/>
        <w:spacing w:after="0" w:line="360" w:lineRule="auto"/>
        <w:rPr>
          <w:rFonts w:cs="Arial"/>
          <w:kern w:val="0"/>
          <w:szCs w:val="24"/>
          <w:lang w:val="es-ES"/>
        </w:rPr>
      </w:pPr>
      <w:bookmarkStart w:id="6" w:name="_Toc364954079"/>
      <w:bookmarkStart w:id="7" w:name="_Toc341790992"/>
      <w:bookmarkStart w:id="8" w:name="_Toc397681986"/>
      <w:r w:rsidRPr="00E04938">
        <w:rPr>
          <w:rFonts w:cs="Arial"/>
          <w:kern w:val="0"/>
          <w:szCs w:val="24"/>
          <w:lang w:val="es-ES"/>
        </w:rPr>
        <w:t xml:space="preserve">Se reiteran las recomendaciones del </w:t>
      </w:r>
      <w:r>
        <w:rPr>
          <w:rFonts w:cs="Arial"/>
          <w:kern w:val="0"/>
          <w:szCs w:val="24"/>
          <w:lang w:val="es-ES"/>
        </w:rPr>
        <w:t>E</w:t>
      </w:r>
      <w:r w:rsidRPr="00E04938">
        <w:rPr>
          <w:rFonts w:cs="Arial"/>
          <w:kern w:val="0"/>
          <w:szCs w:val="24"/>
          <w:lang w:val="es-ES"/>
        </w:rPr>
        <w:t xml:space="preserve">jercicio anterior no cumplidas y se </w:t>
      </w:r>
      <w:r>
        <w:rPr>
          <w:rFonts w:cs="Arial"/>
          <w:kern w:val="0"/>
          <w:szCs w:val="24"/>
          <w:lang w:val="es-ES"/>
        </w:rPr>
        <w:t>agrega</w:t>
      </w:r>
      <w:r w:rsidRPr="00E04938">
        <w:rPr>
          <w:rFonts w:cs="Arial"/>
          <w:kern w:val="0"/>
          <w:szCs w:val="24"/>
          <w:lang w:val="es-ES"/>
        </w:rPr>
        <w:t xml:space="preserve"> la siguiente:</w:t>
      </w:r>
    </w:p>
    <w:p w:rsidR="00F069E1" w:rsidRPr="00F63D38" w:rsidRDefault="00F069E1" w:rsidP="00EE6278">
      <w:pPr>
        <w:pStyle w:val="Ttulo2"/>
        <w:spacing w:after="0"/>
        <w:rPr>
          <w:rFonts w:cs="Arial"/>
        </w:rPr>
      </w:pPr>
      <w:r w:rsidRPr="00F63D38">
        <w:rPr>
          <w:rFonts w:cs="Arial"/>
        </w:rPr>
        <w:t>Estructura orgánica</w:t>
      </w:r>
      <w:bookmarkEnd w:id="6"/>
      <w:bookmarkEnd w:id="7"/>
      <w:bookmarkEnd w:id="8"/>
    </w:p>
    <w:p w:rsidR="00F069E1" w:rsidRDefault="00F069E1" w:rsidP="00EE6278">
      <w:pPr>
        <w:spacing w:after="0" w:line="360" w:lineRule="auto"/>
        <w:rPr>
          <w:kern w:val="18"/>
          <w:szCs w:val="20"/>
        </w:rPr>
      </w:pPr>
      <w:r w:rsidRPr="003B635C">
        <w:rPr>
          <w:kern w:val="18"/>
          <w:szCs w:val="20"/>
        </w:rPr>
        <w:t>A efectos de cumplir con la estructura orgánica aprobada en la Modificaci</w:t>
      </w:r>
      <w:r>
        <w:rPr>
          <w:kern w:val="18"/>
          <w:szCs w:val="20"/>
        </w:rPr>
        <w:t>ón Presupuestal para el año 2008</w:t>
      </w:r>
      <w:r w:rsidRPr="003B635C">
        <w:rPr>
          <w:kern w:val="18"/>
          <w:szCs w:val="20"/>
        </w:rPr>
        <w:t xml:space="preserve">, </w:t>
      </w:r>
      <w:r>
        <w:rPr>
          <w:kern w:val="18"/>
          <w:szCs w:val="20"/>
        </w:rPr>
        <w:t xml:space="preserve">el Congreso </w:t>
      </w:r>
      <w:r w:rsidRPr="003B635C">
        <w:rPr>
          <w:kern w:val="18"/>
          <w:szCs w:val="20"/>
        </w:rPr>
        <w:t>deberá ajustar el número de funcionarios a lo previsto presupuestalmente, respetando los e</w:t>
      </w:r>
      <w:r w:rsidR="00382CE1">
        <w:rPr>
          <w:kern w:val="18"/>
          <w:szCs w:val="20"/>
        </w:rPr>
        <w:t>scalafones y cargos aprobados.</w:t>
      </w:r>
    </w:p>
    <w:p w:rsidR="00F069E1" w:rsidRDefault="00F069E1" w:rsidP="00EE6278">
      <w:pPr>
        <w:spacing w:after="0" w:line="360" w:lineRule="auto"/>
        <w:jc w:val="right"/>
        <w:rPr>
          <w:b/>
        </w:rPr>
      </w:pPr>
      <w:r w:rsidRPr="004A5DB2">
        <w:rPr>
          <w:lang w:val="es-ES"/>
        </w:rPr>
        <w:t xml:space="preserve">Montevideo, </w:t>
      </w:r>
      <w:r>
        <w:rPr>
          <w:lang w:val="es-ES"/>
        </w:rPr>
        <w:t>27 de abril</w:t>
      </w:r>
      <w:r w:rsidRPr="004A5DB2">
        <w:rPr>
          <w:lang w:val="es-ES"/>
        </w:rPr>
        <w:t xml:space="preserve"> d</w:t>
      </w:r>
      <w:r>
        <w:rPr>
          <w:lang w:val="es-ES"/>
        </w:rPr>
        <w:t>e 2016</w:t>
      </w:r>
    </w:p>
    <w:p w:rsidR="00F069E1" w:rsidRDefault="00F069E1" w:rsidP="00EE6278">
      <w:pPr>
        <w:rPr>
          <w:lang w:val="es-ES" w:eastAsia="es-ES"/>
        </w:rPr>
      </w:pPr>
    </w:p>
    <w:p w:rsidR="00F069E1" w:rsidRPr="00F069E1" w:rsidRDefault="00F069E1">
      <w:pPr>
        <w:rPr>
          <w:lang w:val="es-ES" w:eastAsia="es-ES"/>
        </w:rPr>
      </w:pPr>
      <w:proofErr w:type="spellStart"/>
      <w:proofErr w:type="gramStart"/>
      <w:r>
        <w:rPr>
          <w:lang w:val="es-ES" w:eastAsia="es-ES"/>
        </w:rPr>
        <w:t>cr</w:t>
      </w:r>
      <w:proofErr w:type="spellEnd"/>
      <w:proofErr w:type="gramEnd"/>
    </w:p>
    <w:sectPr w:rsidR="00F069E1" w:rsidRPr="00F069E1" w:rsidSect="00560354">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1">
    <w:nsid w:val="62867FDE"/>
    <w:multiLevelType w:val="hybridMultilevel"/>
    <w:tmpl w:val="D2F6A020"/>
    <w:lvl w:ilvl="0" w:tplc="C6647D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D6"/>
    <w:rsid w:val="00072A1A"/>
    <w:rsid w:val="00137527"/>
    <w:rsid w:val="00154CE1"/>
    <w:rsid w:val="00382CE1"/>
    <w:rsid w:val="00481727"/>
    <w:rsid w:val="00537758"/>
    <w:rsid w:val="00560354"/>
    <w:rsid w:val="007668BE"/>
    <w:rsid w:val="00795AD6"/>
    <w:rsid w:val="00803CB0"/>
    <w:rsid w:val="00B73F72"/>
    <w:rsid w:val="00D64782"/>
    <w:rsid w:val="00EE6278"/>
    <w:rsid w:val="00F069E1"/>
    <w:rsid w:val="00F209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AD6"/>
    <w:pPr>
      <w:jc w:val="both"/>
    </w:pPr>
    <w:rPr>
      <w:rFonts w:ascii="Arial" w:eastAsia="Calibri" w:hAnsi="Arial" w:cs="Times New Roman"/>
      <w:sz w:val="24"/>
      <w:lang w:val="es-UY"/>
    </w:rPr>
  </w:style>
  <w:style w:type="paragraph" w:styleId="Ttulo1">
    <w:name w:val="heading 1"/>
    <w:basedOn w:val="Normal"/>
    <w:next w:val="Normal"/>
    <w:link w:val="Ttulo1Car"/>
    <w:qFormat/>
    <w:rsid w:val="00072A1A"/>
    <w:pPr>
      <w:spacing w:after="180" w:line="360" w:lineRule="auto"/>
      <w:jc w:val="left"/>
      <w:outlineLvl w:val="0"/>
    </w:pPr>
    <w:rPr>
      <w:rFonts w:eastAsia="Times New Roman"/>
      <w:b/>
      <w:caps/>
      <w:kern w:val="18"/>
      <w:szCs w:val="20"/>
      <w:lang w:val="es-ES" w:eastAsia="es-ES"/>
    </w:rPr>
  </w:style>
  <w:style w:type="paragraph" w:styleId="Ttulo2">
    <w:name w:val="heading 2"/>
    <w:basedOn w:val="Normal"/>
    <w:next w:val="Textoindependiente"/>
    <w:link w:val="Ttulo2Car"/>
    <w:qFormat/>
    <w:rsid w:val="00F069E1"/>
    <w:pPr>
      <w:spacing w:after="170" w:line="360" w:lineRule="auto"/>
      <w:jc w:val="left"/>
      <w:outlineLvl w:val="1"/>
    </w:pPr>
    <w:rPr>
      <w:rFonts w:eastAsia="Times New Roman"/>
      <w:b/>
      <w:kern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rsid w:val="00537758"/>
    <w:pPr>
      <w:spacing w:before="220" w:after="0" w:line="240" w:lineRule="atLeast"/>
    </w:pPr>
    <w:rPr>
      <w:rFonts w:eastAsia="Times New Roman"/>
      <w:kern w:val="18"/>
      <w:szCs w:val="20"/>
      <w:lang w:val="es-ES" w:eastAsia="es-ES"/>
    </w:rPr>
  </w:style>
  <w:style w:type="paragraph" w:styleId="Prrafodelista">
    <w:name w:val="List Paragraph"/>
    <w:basedOn w:val="Normal"/>
    <w:uiPriority w:val="34"/>
    <w:qFormat/>
    <w:rsid w:val="00137527"/>
    <w:pPr>
      <w:spacing w:after="0" w:line="240" w:lineRule="auto"/>
      <w:ind w:left="720"/>
      <w:contextualSpacing/>
      <w:jc w:val="left"/>
    </w:pPr>
    <w:rPr>
      <w:rFonts w:eastAsia="Times New Roman"/>
      <w:szCs w:val="24"/>
      <w:lang w:val="es-ES" w:eastAsia="es-ES"/>
    </w:rPr>
  </w:style>
  <w:style w:type="character" w:customStyle="1" w:styleId="Ttulo1Car">
    <w:name w:val="Título 1 Car"/>
    <w:basedOn w:val="Fuentedeprrafopredeter"/>
    <w:link w:val="Ttulo1"/>
    <w:rsid w:val="00072A1A"/>
    <w:rPr>
      <w:rFonts w:ascii="Arial" w:eastAsia="Times New Roman" w:hAnsi="Arial" w:cs="Times New Roman"/>
      <w:b/>
      <w:caps/>
      <w:kern w:val="18"/>
      <w:sz w:val="24"/>
      <w:szCs w:val="20"/>
      <w:lang w:eastAsia="es-ES"/>
    </w:rPr>
  </w:style>
  <w:style w:type="paragraph" w:styleId="Subttulo">
    <w:name w:val="Subtitle"/>
    <w:basedOn w:val="Normal"/>
    <w:link w:val="SubttuloCar"/>
    <w:qFormat/>
    <w:rsid w:val="00072A1A"/>
    <w:pPr>
      <w:spacing w:after="0" w:line="360" w:lineRule="auto"/>
    </w:pPr>
    <w:rPr>
      <w:rFonts w:ascii="Bookman Old Style" w:eastAsia="Times New Roman" w:hAnsi="Bookman Old Style"/>
      <w:b/>
      <w:kern w:val="18"/>
      <w:szCs w:val="20"/>
      <w:lang w:val="es-ES" w:eastAsia="es-ES"/>
    </w:rPr>
  </w:style>
  <w:style w:type="character" w:customStyle="1" w:styleId="SubttuloCar">
    <w:name w:val="Subtítulo Car"/>
    <w:basedOn w:val="Fuentedeprrafopredeter"/>
    <w:link w:val="Subttulo"/>
    <w:rsid w:val="00072A1A"/>
    <w:rPr>
      <w:rFonts w:ascii="Bookman Old Style" w:eastAsia="Times New Roman" w:hAnsi="Bookman Old Style" w:cs="Times New Roman"/>
      <w:b/>
      <w:kern w:val="18"/>
      <w:sz w:val="24"/>
      <w:szCs w:val="20"/>
      <w:lang w:eastAsia="es-ES"/>
    </w:rPr>
  </w:style>
  <w:style w:type="paragraph" w:styleId="Textoindependiente">
    <w:name w:val="Body Text"/>
    <w:basedOn w:val="Normal"/>
    <w:link w:val="TextoindependienteCar"/>
    <w:semiHidden/>
    <w:rsid w:val="00072A1A"/>
    <w:pPr>
      <w:spacing w:after="240" w:line="240" w:lineRule="atLeast"/>
    </w:pPr>
    <w:rPr>
      <w:rFonts w:eastAsia="Times New Roman"/>
      <w:kern w:val="18"/>
      <w:szCs w:val="20"/>
      <w:lang w:val="es-ES_tradnl" w:eastAsia="es-ES"/>
    </w:rPr>
  </w:style>
  <w:style w:type="character" w:customStyle="1" w:styleId="TextoindependienteCar">
    <w:name w:val="Texto independiente Car"/>
    <w:basedOn w:val="Fuentedeprrafopredeter"/>
    <w:link w:val="Textoindependiente"/>
    <w:semiHidden/>
    <w:rsid w:val="00072A1A"/>
    <w:rPr>
      <w:rFonts w:ascii="Arial" w:eastAsia="Times New Roman" w:hAnsi="Arial" w:cs="Times New Roman"/>
      <w:kern w:val="18"/>
      <w:sz w:val="24"/>
      <w:szCs w:val="20"/>
      <w:lang w:val="es-ES_tradnl" w:eastAsia="es-ES"/>
    </w:rPr>
  </w:style>
  <w:style w:type="character" w:customStyle="1" w:styleId="Ttulo2Car">
    <w:name w:val="Título 2 Car"/>
    <w:basedOn w:val="Fuentedeprrafopredeter"/>
    <w:link w:val="Ttulo2"/>
    <w:rsid w:val="00F069E1"/>
    <w:rPr>
      <w:rFonts w:ascii="Arial" w:eastAsia="Times New Roman" w:hAnsi="Arial" w:cs="Times New Roman"/>
      <w:b/>
      <w:kern w:val="18"/>
      <w:sz w:val="24"/>
      <w:szCs w:val="20"/>
      <w:lang w:eastAsia="es-ES"/>
    </w:rPr>
  </w:style>
  <w:style w:type="paragraph" w:styleId="Textoindependiente2">
    <w:name w:val="Body Text 2"/>
    <w:basedOn w:val="Normal"/>
    <w:link w:val="Textoindependiente2Car"/>
    <w:semiHidden/>
    <w:rsid w:val="00F069E1"/>
    <w:pPr>
      <w:spacing w:after="0" w:line="360" w:lineRule="auto"/>
      <w:jc w:val="left"/>
    </w:pPr>
    <w:rPr>
      <w:rFonts w:ascii="Bookman Old Style" w:eastAsia="Times New Roman" w:hAnsi="Bookman Old Style"/>
      <w:kern w:val="18"/>
      <w:szCs w:val="20"/>
      <w:lang w:val="es-ES" w:eastAsia="es-ES"/>
    </w:rPr>
  </w:style>
  <w:style w:type="character" w:customStyle="1" w:styleId="Textoindependiente2Car">
    <w:name w:val="Texto independiente 2 Car"/>
    <w:basedOn w:val="Fuentedeprrafopredeter"/>
    <w:link w:val="Textoindependiente2"/>
    <w:semiHidden/>
    <w:rsid w:val="00F069E1"/>
    <w:rPr>
      <w:rFonts w:ascii="Bookman Old Style" w:eastAsia="Times New Roman" w:hAnsi="Bookman Old Style" w:cs="Times New Roman"/>
      <w:kern w:val="18"/>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AD6"/>
    <w:pPr>
      <w:jc w:val="both"/>
    </w:pPr>
    <w:rPr>
      <w:rFonts w:ascii="Arial" w:eastAsia="Calibri" w:hAnsi="Arial" w:cs="Times New Roman"/>
      <w:sz w:val="24"/>
      <w:lang w:val="es-UY"/>
    </w:rPr>
  </w:style>
  <w:style w:type="paragraph" w:styleId="Ttulo1">
    <w:name w:val="heading 1"/>
    <w:basedOn w:val="Normal"/>
    <w:next w:val="Normal"/>
    <w:link w:val="Ttulo1Car"/>
    <w:qFormat/>
    <w:rsid w:val="00072A1A"/>
    <w:pPr>
      <w:spacing w:after="180" w:line="360" w:lineRule="auto"/>
      <w:jc w:val="left"/>
      <w:outlineLvl w:val="0"/>
    </w:pPr>
    <w:rPr>
      <w:rFonts w:eastAsia="Times New Roman"/>
      <w:b/>
      <w:caps/>
      <w:kern w:val="18"/>
      <w:szCs w:val="20"/>
      <w:lang w:val="es-ES" w:eastAsia="es-ES"/>
    </w:rPr>
  </w:style>
  <w:style w:type="paragraph" w:styleId="Ttulo2">
    <w:name w:val="heading 2"/>
    <w:basedOn w:val="Normal"/>
    <w:next w:val="Textoindependiente"/>
    <w:link w:val="Ttulo2Car"/>
    <w:qFormat/>
    <w:rsid w:val="00F069E1"/>
    <w:pPr>
      <w:spacing w:after="170" w:line="360" w:lineRule="auto"/>
      <w:jc w:val="left"/>
      <w:outlineLvl w:val="1"/>
    </w:pPr>
    <w:rPr>
      <w:rFonts w:eastAsia="Times New Roman"/>
      <w:b/>
      <w:kern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rsid w:val="00537758"/>
    <w:pPr>
      <w:spacing w:before="220" w:after="0" w:line="240" w:lineRule="atLeast"/>
    </w:pPr>
    <w:rPr>
      <w:rFonts w:eastAsia="Times New Roman"/>
      <w:kern w:val="18"/>
      <w:szCs w:val="20"/>
      <w:lang w:val="es-ES" w:eastAsia="es-ES"/>
    </w:rPr>
  </w:style>
  <w:style w:type="paragraph" w:styleId="Prrafodelista">
    <w:name w:val="List Paragraph"/>
    <w:basedOn w:val="Normal"/>
    <w:uiPriority w:val="34"/>
    <w:qFormat/>
    <w:rsid w:val="00137527"/>
    <w:pPr>
      <w:spacing w:after="0" w:line="240" w:lineRule="auto"/>
      <w:ind w:left="720"/>
      <w:contextualSpacing/>
      <w:jc w:val="left"/>
    </w:pPr>
    <w:rPr>
      <w:rFonts w:eastAsia="Times New Roman"/>
      <w:szCs w:val="24"/>
      <w:lang w:val="es-ES" w:eastAsia="es-ES"/>
    </w:rPr>
  </w:style>
  <w:style w:type="character" w:customStyle="1" w:styleId="Ttulo1Car">
    <w:name w:val="Título 1 Car"/>
    <w:basedOn w:val="Fuentedeprrafopredeter"/>
    <w:link w:val="Ttulo1"/>
    <w:rsid w:val="00072A1A"/>
    <w:rPr>
      <w:rFonts w:ascii="Arial" w:eastAsia="Times New Roman" w:hAnsi="Arial" w:cs="Times New Roman"/>
      <w:b/>
      <w:caps/>
      <w:kern w:val="18"/>
      <w:sz w:val="24"/>
      <w:szCs w:val="20"/>
      <w:lang w:eastAsia="es-ES"/>
    </w:rPr>
  </w:style>
  <w:style w:type="paragraph" w:styleId="Subttulo">
    <w:name w:val="Subtitle"/>
    <w:basedOn w:val="Normal"/>
    <w:link w:val="SubttuloCar"/>
    <w:qFormat/>
    <w:rsid w:val="00072A1A"/>
    <w:pPr>
      <w:spacing w:after="0" w:line="360" w:lineRule="auto"/>
    </w:pPr>
    <w:rPr>
      <w:rFonts w:ascii="Bookman Old Style" w:eastAsia="Times New Roman" w:hAnsi="Bookman Old Style"/>
      <w:b/>
      <w:kern w:val="18"/>
      <w:szCs w:val="20"/>
      <w:lang w:val="es-ES" w:eastAsia="es-ES"/>
    </w:rPr>
  </w:style>
  <w:style w:type="character" w:customStyle="1" w:styleId="SubttuloCar">
    <w:name w:val="Subtítulo Car"/>
    <w:basedOn w:val="Fuentedeprrafopredeter"/>
    <w:link w:val="Subttulo"/>
    <w:rsid w:val="00072A1A"/>
    <w:rPr>
      <w:rFonts w:ascii="Bookman Old Style" w:eastAsia="Times New Roman" w:hAnsi="Bookman Old Style" w:cs="Times New Roman"/>
      <w:b/>
      <w:kern w:val="18"/>
      <w:sz w:val="24"/>
      <w:szCs w:val="20"/>
      <w:lang w:eastAsia="es-ES"/>
    </w:rPr>
  </w:style>
  <w:style w:type="paragraph" w:styleId="Textoindependiente">
    <w:name w:val="Body Text"/>
    <w:basedOn w:val="Normal"/>
    <w:link w:val="TextoindependienteCar"/>
    <w:semiHidden/>
    <w:rsid w:val="00072A1A"/>
    <w:pPr>
      <w:spacing w:after="240" w:line="240" w:lineRule="atLeast"/>
    </w:pPr>
    <w:rPr>
      <w:rFonts w:eastAsia="Times New Roman"/>
      <w:kern w:val="18"/>
      <w:szCs w:val="20"/>
      <w:lang w:val="es-ES_tradnl" w:eastAsia="es-ES"/>
    </w:rPr>
  </w:style>
  <w:style w:type="character" w:customStyle="1" w:styleId="TextoindependienteCar">
    <w:name w:val="Texto independiente Car"/>
    <w:basedOn w:val="Fuentedeprrafopredeter"/>
    <w:link w:val="Textoindependiente"/>
    <w:semiHidden/>
    <w:rsid w:val="00072A1A"/>
    <w:rPr>
      <w:rFonts w:ascii="Arial" w:eastAsia="Times New Roman" w:hAnsi="Arial" w:cs="Times New Roman"/>
      <w:kern w:val="18"/>
      <w:sz w:val="24"/>
      <w:szCs w:val="20"/>
      <w:lang w:val="es-ES_tradnl" w:eastAsia="es-ES"/>
    </w:rPr>
  </w:style>
  <w:style w:type="character" w:customStyle="1" w:styleId="Ttulo2Car">
    <w:name w:val="Título 2 Car"/>
    <w:basedOn w:val="Fuentedeprrafopredeter"/>
    <w:link w:val="Ttulo2"/>
    <w:rsid w:val="00F069E1"/>
    <w:rPr>
      <w:rFonts w:ascii="Arial" w:eastAsia="Times New Roman" w:hAnsi="Arial" w:cs="Times New Roman"/>
      <w:b/>
      <w:kern w:val="18"/>
      <w:sz w:val="24"/>
      <w:szCs w:val="20"/>
      <w:lang w:eastAsia="es-ES"/>
    </w:rPr>
  </w:style>
  <w:style w:type="paragraph" w:styleId="Textoindependiente2">
    <w:name w:val="Body Text 2"/>
    <w:basedOn w:val="Normal"/>
    <w:link w:val="Textoindependiente2Car"/>
    <w:semiHidden/>
    <w:rsid w:val="00F069E1"/>
    <w:pPr>
      <w:spacing w:after="0" w:line="360" w:lineRule="auto"/>
      <w:jc w:val="left"/>
    </w:pPr>
    <w:rPr>
      <w:rFonts w:ascii="Bookman Old Style" w:eastAsia="Times New Roman" w:hAnsi="Bookman Old Style"/>
      <w:kern w:val="18"/>
      <w:szCs w:val="20"/>
      <w:lang w:val="es-ES" w:eastAsia="es-ES"/>
    </w:rPr>
  </w:style>
  <w:style w:type="character" w:customStyle="1" w:styleId="Textoindependiente2Car">
    <w:name w:val="Texto independiente 2 Car"/>
    <w:basedOn w:val="Fuentedeprrafopredeter"/>
    <w:link w:val="Textoindependiente2"/>
    <w:semiHidden/>
    <w:rsid w:val="00F069E1"/>
    <w:rPr>
      <w:rFonts w:ascii="Bookman Old Style" w:eastAsia="Times New Roman" w:hAnsi="Bookman Old Style" w:cs="Times New Roman"/>
      <w:kern w:val="18"/>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1160</Words>
  <Characters>6383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2016-06-22T19:39:00Z</cp:lastPrinted>
  <dcterms:created xsi:type="dcterms:W3CDTF">2016-06-22T19:40:00Z</dcterms:created>
  <dcterms:modified xsi:type="dcterms:W3CDTF">2016-09-29T19:21:00Z</dcterms:modified>
</cp:coreProperties>
</file>