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C49" w:rsidRPr="00786EEB" w:rsidRDefault="00023C49" w:rsidP="00CF70AB">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2134</w:t>
      </w:r>
      <w:r w:rsidRPr="00786EEB">
        <w:rPr>
          <w:rFonts w:ascii="Arial" w:hAnsi="Arial" w:cs="Arial"/>
          <w:b/>
          <w:sz w:val="28"/>
          <w:szCs w:val="28"/>
          <w:lang w:val="es-ES_tradnl"/>
        </w:rPr>
        <w:t>/16</w:t>
      </w:r>
    </w:p>
    <w:p w:rsidR="00023C49" w:rsidRPr="00762B34" w:rsidRDefault="00023C49">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023C49" w:rsidRPr="00762B34" w:rsidRDefault="00023C49">
      <w:pPr>
        <w:tabs>
          <w:tab w:val="left" w:pos="-720"/>
        </w:tabs>
        <w:suppressAutoHyphens/>
        <w:jc w:val="center"/>
        <w:rPr>
          <w:rFonts w:ascii="Arial" w:hAnsi="Arial" w:cs="Arial"/>
          <w:b/>
          <w:lang w:val="es-ES_tradnl"/>
        </w:rPr>
      </w:pPr>
    </w:p>
    <w:p w:rsidR="00023C49" w:rsidRPr="00762B34" w:rsidRDefault="00023C49">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023C49" w:rsidRPr="00762B34" w:rsidRDefault="00023C49">
      <w:pPr>
        <w:tabs>
          <w:tab w:val="left" w:pos="-720"/>
        </w:tabs>
        <w:suppressAutoHyphens/>
        <w:jc w:val="center"/>
        <w:rPr>
          <w:rFonts w:ascii="Arial" w:hAnsi="Arial" w:cs="Arial"/>
          <w:b/>
          <w:lang w:val="es-ES_tradnl"/>
        </w:rPr>
      </w:pPr>
    </w:p>
    <w:p w:rsidR="00023C49" w:rsidRPr="00762B34" w:rsidRDefault="00023C49">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Helvetica" w:hAnsi="Helvetica"/>
          <w:b/>
          <w:lang w:val="es-ES_tradnl"/>
        </w:rPr>
        <w:t>15 DE JUNIO DE 2016</w:t>
      </w:r>
    </w:p>
    <w:p w:rsidR="00023C49" w:rsidRPr="00762B34" w:rsidRDefault="00023C49">
      <w:pPr>
        <w:tabs>
          <w:tab w:val="center" w:pos="4253"/>
        </w:tabs>
        <w:suppressAutoHyphens/>
        <w:jc w:val="center"/>
        <w:rPr>
          <w:rFonts w:ascii="Arial" w:hAnsi="Arial" w:cs="Arial"/>
          <w:b/>
          <w:lang w:val="es-ES_tradnl"/>
        </w:rPr>
      </w:pPr>
    </w:p>
    <w:p w:rsidR="00023C49" w:rsidRPr="00CF70AB" w:rsidRDefault="00023C49">
      <w:pPr>
        <w:tabs>
          <w:tab w:val="center" w:pos="4253"/>
        </w:tabs>
        <w:suppressAutoHyphens/>
        <w:jc w:val="center"/>
        <w:rPr>
          <w:rFonts w:ascii="Arial" w:hAnsi="Arial" w:cs="Arial"/>
          <w:b/>
          <w:lang w:val="es-UY"/>
        </w:rPr>
      </w:pPr>
      <w:r w:rsidRPr="00CF70AB">
        <w:rPr>
          <w:rFonts w:ascii="Arial" w:hAnsi="Arial" w:cs="Arial"/>
          <w:b/>
          <w:lang w:val="es-UY"/>
        </w:rPr>
        <w:t xml:space="preserve">(E. E. Nº 2016-17-1-0001638, </w:t>
      </w:r>
      <w:proofErr w:type="spellStart"/>
      <w:r w:rsidRPr="00CF70AB">
        <w:rPr>
          <w:rFonts w:ascii="Arial" w:hAnsi="Arial" w:cs="Arial"/>
          <w:b/>
          <w:lang w:val="es-UY"/>
        </w:rPr>
        <w:t>Ent</w:t>
      </w:r>
      <w:proofErr w:type="spellEnd"/>
      <w:r w:rsidRPr="00CF70AB">
        <w:rPr>
          <w:rFonts w:ascii="Arial" w:hAnsi="Arial" w:cs="Arial"/>
          <w:b/>
          <w:lang w:val="es-UY"/>
        </w:rPr>
        <w:t>. N° 2857/16)</w:t>
      </w:r>
    </w:p>
    <w:p w:rsidR="00023C49" w:rsidRDefault="00023C49" w:rsidP="002C759B">
      <w:pPr>
        <w:tabs>
          <w:tab w:val="left" w:pos="1701"/>
        </w:tabs>
        <w:spacing w:line="360" w:lineRule="auto"/>
        <w:jc w:val="both"/>
        <w:rPr>
          <w:rFonts w:ascii="Arial" w:hAnsi="Arial" w:cs="Arial"/>
          <w:b/>
        </w:rPr>
      </w:pPr>
    </w:p>
    <w:p w:rsidR="000E4FB7" w:rsidRDefault="001D4A04" w:rsidP="00CF70AB">
      <w:pPr>
        <w:tabs>
          <w:tab w:val="left" w:pos="1701"/>
        </w:tabs>
        <w:spacing w:line="360" w:lineRule="auto"/>
        <w:ind w:firstLine="851"/>
        <w:jc w:val="both"/>
        <w:rPr>
          <w:rFonts w:ascii="Arial" w:hAnsi="Arial" w:cs="Arial"/>
        </w:rPr>
      </w:pPr>
      <w:r w:rsidRPr="00F35796">
        <w:rPr>
          <w:rFonts w:ascii="Arial" w:hAnsi="Arial" w:cs="Arial"/>
          <w:b/>
        </w:rPr>
        <w:t>VISTO</w:t>
      </w:r>
      <w:r w:rsidR="002C759B" w:rsidRPr="00480084">
        <w:rPr>
          <w:rFonts w:ascii="Arial" w:hAnsi="Arial" w:cs="Arial"/>
          <w:b/>
        </w:rPr>
        <w:t>:</w:t>
      </w:r>
      <w:r w:rsidR="002C759B">
        <w:rPr>
          <w:rFonts w:ascii="Arial" w:hAnsi="Arial" w:cs="Arial"/>
        </w:rPr>
        <w:t xml:space="preserve"> el Oficio 36-2016-SG/250959/1 </w:t>
      </w:r>
      <w:r w:rsidR="00C90785">
        <w:rPr>
          <w:rFonts w:ascii="Arial" w:hAnsi="Arial" w:cs="Arial"/>
        </w:rPr>
        <w:t xml:space="preserve">de fecha 25/05/2016 </w:t>
      </w:r>
      <w:r w:rsidR="00D723D9">
        <w:rPr>
          <w:rFonts w:ascii="Arial" w:hAnsi="Arial" w:cs="Arial"/>
        </w:rPr>
        <w:t xml:space="preserve">remitido </w:t>
      </w:r>
      <w:r>
        <w:rPr>
          <w:rFonts w:ascii="Arial" w:hAnsi="Arial" w:cs="Arial"/>
        </w:rPr>
        <w:t>por la Administración Nacional de Combustibles, Alcoholes y Portland</w:t>
      </w:r>
      <w:r w:rsidR="00C90785">
        <w:rPr>
          <w:rFonts w:ascii="Arial" w:hAnsi="Arial" w:cs="Arial"/>
        </w:rPr>
        <w:t xml:space="preserve"> (ANCAP)</w:t>
      </w:r>
      <w:r>
        <w:rPr>
          <w:rFonts w:ascii="Arial" w:hAnsi="Arial" w:cs="Arial"/>
        </w:rPr>
        <w:t>, referente a la Resolución de Directorio del Organismo N°348/5/2016;</w:t>
      </w:r>
    </w:p>
    <w:p w:rsidR="003936A2" w:rsidRPr="00A800DD" w:rsidRDefault="00F35796" w:rsidP="00CF70AB">
      <w:pPr>
        <w:spacing w:line="360" w:lineRule="auto"/>
        <w:ind w:firstLine="851"/>
        <w:jc w:val="both"/>
        <w:rPr>
          <w:rFonts w:ascii="Arial" w:hAnsi="Arial" w:cs="Arial"/>
        </w:rPr>
      </w:pPr>
      <w:r w:rsidRPr="00A800DD">
        <w:rPr>
          <w:rFonts w:ascii="Arial" w:hAnsi="Arial" w:cs="Arial"/>
          <w:b/>
        </w:rPr>
        <w:t>RESULTANDO</w:t>
      </w:r>
      <w:r w:rsidR="00480084">
        <w:rPr>
          <w:rFonts w:ascii="Arial" w:hAnsi="Arial" w:cs="Arial"/>
          <w:b/>
        </w:rPr>
        <w:t>:</w:t>
      </w:r>
      <w:r w:rsidR="00DA24D3" w:rsidRPr="00A800DD">
        <w:rPr>
          <w:rFonts w:ascii="Arial" w:hAnsi="Arial" w:cs="Arial"/>
          <w:b/>
        </w:rPr>
        <w:t xml:space="preserve"> 1</w:t>
      </w:r>
      <w:r w:rsidR="00D723D9" w:rsidRPr="00480084">
        <w:rPr>
          <w:rFonts w:ascii="Arial" w:hAnsi="Arial" w:cs="Arial"/>
          <w:b/>
        </w:rPr>
        <w:t>)</w:t>
      </w:r>
      <w:r w:rsidR="00C90785" w:rsidRPr="00A800DD">
        <w:rPr>
          <w:rFonts w:ascii="Arial" w:hAnsi="Arial" w:cs="Arial"/>
        </w:rPr>
        <w:t xml:space="preserve"> que en la referida Resolución </w:t>
      </w:r>
      <w:r w:rsidR="001D4A04" w:rsidRPr="00A800DD">
        <w:rPr>
          <w:rFonts w:ascii="Arial" w:hAnsi="Arial" w:cs="Arial"/>
        </w:rPr>
        <w:t xml:space="preserve">el Organismo </w:t>
      </w:r>
      <w:r w:rsidR="00D723D9" w:rsidRPr="00A800DD">
        <w:rPr>
          <w:rFonts w:ascii="Arial" w:hAnsi="Arial" w:cs="Arial"/>
        </w:rPr>
        <w:t>dispone</w:t>
      </w:r>
      <w:r w:rsidR="003936A2" w:rsidRPr="00A800DD">
        <w:rPr>
          <w:rFonts w:ascii="Arial" w:hAnsi="Arial" w:cs="Arial"/>
        </w:rPr>
        <w:t>:</w:t>
      </w:r>
    </w:p>
    <w:p w:rsidR="001D4A04" w:rsidRPr="00EA0CF8" w:rsidRDefault="00480084" w:rsidP="00480084">
      <w:pPr>
        <w:spacing w:line="360" w:lineRule="auto"/>
        <w:jc w:val="both"/>
        <w:rPr>
          <w:rFonts w:ascii="Arial" w:hAnsi="Arial" w:cs="Arial"/>
        </w:rPr>
      </w:pPr>
      <w:r>
        <w:rPr>
          <w:rFonts w:ascii="Arial" w:hAnsi="Arial" w:cs="Arial"/>
        </w:rPr>
        <w:t xml:space="preserve">1. </w:t>
      </w:r>
      <w:r w:rsidR="00DC04A1" w:rsidRPr="00A800DD">
        <w:rPr>
          <w:rFonts w:ascii="Arial" w:hAnsi="Arial" w:cs="Arial"/>
        </w:rPr>
        <w:t>“</w:t>
      </w:r>
      <w:r w:rsidR="003936A2" w:rsidRPr="00A800DD">
        <w:rPr>
          <w:rFonts w:ascii="Arial" w:hAnsi="Arial" w:cs="Arial"/>
        </w:rPr>
        <w:t>T</w:t>
      </w:r>
      <w:r w:rsidR="001D4A04" w:rsidRPr="00A800DD">
        <w:rPr>
          <w:rFonts w:ascii="Arial" w:hAnsi="Arial" w:cs="Arial"/>
        </w:rPr>
        <w:t xml:space="preserve">omar conocimiento de la Resolución N° 1463/16 adoptada por el Tribunal de Cuentas de fecha 27/04/2016, a través de la cual observa lo </w:t>
      </w:r>
      <w:r w:rsidR="001D4A04" w:rsidRPr="00EA0CF8">
        <w:rPr>
          <w:rFonts w:ascii="Arial" w:hAnsi="Arial" w:cs="Arial"/>
        </w:rPr>
        <w:t xml:space="preserve">actuado por ANCAP en lo referente a la publicación de los estados financieros por haberse apartado de lo establecido en </w:t>
      </w:r>
      <w:r w:rsidR="003936A2" w:rsidRPr="00EA0CF8">
        <w:rPr>
          <w:rFonts w:ascii="Arial" w:hAnsi="Arial" w:cs="Arial"/>
        </w:rPr>
        <w:t>el Artículo</w:t>
      </w:r>
      <w:r w:rsidR="001D4A04" w:rsidRPr="00EA0CF8">
        <w:rPr>
          <w:rFonts w:ascii="Arial" w:hAnsi="Arial" w:cs="Arial"/>
        </w:rPr>
        <w:t xml:space="preserve"> 191 de la Constitución de la República, </w:t>
      </w:r>
      <w:r w:rsidR="00C90785" w:rsidRPr="00EA0CF8">
        <w:rPr>
          <w:rFonts w:ascii="Arial" w:hAnsi="Arial" w:cs="Arial"/>
        </w:rPr>
        <w:t xml:space="preserve">en </w:t>
      </w:r>
      <w:r w:rsidR="001D4A04" w:rsidRPr="00EA0CF8">
        <w:rPr>
          <w:rFonts w:ascii="Arial" w:hAnsi="Arial" w:cs="Arial"/>
        </w:rPr>
        <w:t>el Artículo 1° de la Ley N</w:t>
      </w:r>
      <w:r w:rsidR="003936A2" w:rsidRPr="00EA0CF8">
        <w:rPr>
          <w:rFonts w:ascii="Arial" w:hAnsi="Arial" w:cs="Arial"/>
        </w:rPr>
        <w:t>° 17.040 de 24/10/2008 y en el N</w:t>
      </w:r>
      <w:r w:rsidR="001D4A04" w:rsidRPr="00EA0CF8">
        <w:rPr>
          <w:rFonts w:ascii="Arial" w:hAnsi="Arial" w:cs="Arial"/>
        </w:rPr>
        <w:t>umeral 30 de la Ordenanza N°81 del Tribunal de Cuentas</w:t>
      </w:r>
      <w:r w:rsidR="003936A2" w:rsidRPr="00EA0CF8">
        <w:rPr>
          <w:rFonts w:ascii="Arial" w:hAnsi="Arial" w:cs="Arial"/>
        </w:rPr>
        <w:t xml:space="preserve"> de 17/12/200</w:t>
      </w:r>
      <w:r w:rsidR="00C90785" w:rsidRPr="00EA0CF8">
        <w:rPr>
          <w:rFonts w:ascii="Arial" w:hAnsi="Arial" w:cs="Arial"/>
        </w:rPr>
        <w:t>2</w:t>
      </w:r>
      <w:r w:rsidR="00DC04A1" w:rsidRPr="00EA0CF8">
        <w:rPr>
          <w:rFonts w:ascii="Arial" w:hAnsi="Arial" w:cs="Arial"/>
        </w:rPr>
        <w:t>”</w:t>
      </w:r>
      <w:r w:rsidR="003936A2" w:rsidRPr="00EA0CF8">
        <w:rPr>
          <w:rFonts w:ascii="Arial" w:hAnsi="Arial" w:cs="Arial"/>
        </w:rPr>
        <w:t>;</w:t>
      </w:r>
    </w:p>
    <w:p w:rsidR="003936A2" w:rsidRPr="00EA0CF8" w:rsidRDefault="00480084" w:rsidP="00480084">
      <w:pPr>
        <w:spacing w:line="360" w:lineRule="auto"/>
        <w:jc w:val="both"/>
        <w:rPr>
          <w:rFonts w:ascii="Arial" w:hAnsi="Arial" w:cs="Arial"/>
        </w:rPr>
      </w:pPr>
      <w:r>
        <w:rPr>
          <w:rFonts w:ascii="Arial" w:hAnsi="Arial" w:cs="Arial"/>
        </w:rPr>
        <w:t xml:space="preserve">2. </w:t>
      </w:r>
      <w:r w:rsidR="00DC04A1" w:rsidRPr="00EA0CF8">
        <w:rPr>
          <w:rFonts w:ascii="Arial" w:hAnsi="Arial" w:cs="Arial"/>
        </w:rPr>
        <w:t>“</w:t>
      </w:r>
      <w:r w:rsidR="003936A2" w:rsidRPr="00EA0CF8">
        <w:rPr>
          <w:rFonts w:ascii="Arial" w:hAnsi="Arial" w:cs="Arial"/>
        </w:rPr>
        <w:t>Disponer la publicación en la página web del Organismo, del Dictamen del Tribunal de Cuentas relativo a los estados financieros correspondientes al ejercicio 2014</w:t>
      </w:r>
      <w:r w:rsidR="00DC04A1" w:rsidRPr="00EA0CF8">
        <w:rPr>
          <w:rFonts w:ascii="Arial" w:hAnsi="Arial" w:cs="Arial"/>
        </w:rPr>
        <w:t>”</w:t>
      </w:r>
      <w:r w:rsidR="003936A2" w:rsidRPr="00EA0CF8">
        <w:rPr>
          <w:rFonts w:ascii="Arial" w:hAnsi="Arial" w:cs="Arial"/>
        </w:rPr>
        <w:t>; y</w:t>
      </w:r>
    </w:p>
    <w:p w:rsidR="003936A2" w:rsidRPr="00EA0CF8" w:rsidRDefault="00480084" w:rsidP="00480084">
      <w:pPr>
        <w:spacing w:line="360" w:lineRule="auto"/>
        <w:jc w:val="both"/>
        <w:rPr>
          <w:rFonts w:ascii="Arial" w:hAnsi="Arial" w:cs="Arial"/>
        </w:rPr>
      </w:pPr>
      <w:r>
        <w:rPr>
          <w:rFonts w:ascii="Arial" w:hAnsi="Arial" w:cs="Arial"/>
        </w:rPr>
        <w:t xml:space="preserve">3. </w:t>
      </w:r>
      <w:r w:rsidR="00DC04A1" w:rsidRPr="00EA0CF8">
        <w:rPr>
          <w:rFonts w:ascii="Arial" w:hAnsi="Arial" w:cs="Arial"/>
        </w:rPr>
        <w:t>“</w:t>
      </w:r>
      <w:r w:rsidR="003936A2" w:rsidRPr="00EA0CF8">
        <w:rPr>
          <w:rFonts w:ascii="Arial" w:hAnsi="Arial" w:cs="Arial"/>
        </w:rPr>
        <w:t>Disponer la publicación de los estados financieros correspondientes al ejercicio 2015 conjuntamente con el Dictamen del Tribunal de Cuentas o, en caso de no contarse con este a más tardar el 30 de junio de 2016, dejar constancia respectiva de que no se ha contado a esa fecha con el referido Dictamen</w:t>
      </w:r>
      <w:r w:rsidR="00DC04A1" w:rsidRPr="00EA0CF8">
        <w:rPr>
          <w:rFonts w:ascii="Arial" w:hAnsi="Arial" w:cs="Arial"/>
        </w:rPr>
        <w:t>”</w:t>
      </w:r>
      <w:r w:rsidR="003936A2" w:rsidRPr="00EA0CF8">
        <w:rPr>
          <w:rFonts w:ascii="Arial" w:hAnsi="Arial" w:cs="Arial"/>
        </w:rPr>
        <w:t>;</w:t>
      </w:r>
    </w:p>
    <w:p w:rsidR="00480084" w:rsidRDefault="003936A2" w:rsidP="00CF70AB">
      <w:pPr>
        <w:tabs>
          <w:tab w:val="left" w:pos="1134"/>
        </w:tabs>
        <w:spacing w:line="360" w:lineRule="auto"/>
        <w:ind w:firstLine="2835"/>
        <w:jc w:val="both"/>
        <w:rPr>
          <w:rFonts w:ascii="Arial" w:hAnsi="Arial" w:cs="Arial"/>
        </w:rPr>
      </w:pPr>
      <w:r w:rsidRPr="00EA0CF8">
        <w:rPr>
          <w:rFonts w:ascii="Arial" w:hAnsi="Arial" w:cs="Arial"/>
          <w:b/>
        </w:rPr>
        <w:t>2</w:t>
      </w:r>
      <w:r w:rsidR="00332EBF" w:rsidRPr="00EA0CF8">
        <w:rPr>
          <w:rFonts w:ascii="Arial" w:hAnsi="Arial" w:cs="Arial"/>
          <w:b/>
        </w:rPr>
        <w:t>)</w:t>
      </w:r>
      <w:r w:rsidRPr="00EA0CF8">
        <w:rPr>
          <w:rFonts w:ascii="Arial" w:hAnsi="Arial" w:cs="Arial"/>
        </w:rPr>
        <w:t xml:space="preserve"> que se ha constat</w:t>
      </w:r>
      <w:r w:rsidR="00324A08" w:rsidRPr="00EA0CF8">
        <w:rPr>
          <w:rFonts w:ascii="Arial" w:hAnsi="Arial" w:cs="Arial"/>
        </w:rPr>
        <w:t>a</w:t>
      </w:r>
      <w:r w:rsidR="00063D5B" w:rsidRPr="00EA0CF8">
        <w:rPr>
          <w:rFonts w:ascii="Arial" w:hAnsi="Arial" w:cs="Arial"/>
        </w:rPr>
        <w:t xml:space="preserve">do que </w:t>
      </w:r>
      <w:r w:rsidRPr="00EA0CF8">
        <w:rPr>
          <w:rFonts w:ascii="Arial" w:hAnsi="Arial" w:cs="Arial"/>
        </w:rPr>
        <w:t>en la página web de ANCAP</w:t>
      </w:r>
      <w:r w:rsidR="00D723D9" w:rsidRPr="00EA0CF8">
        <w:rPr>
          <w:rFonts w:ascii="Arial" w:hAnsi="Arial" w:cs="Arial"/>
        </w:rPr>
        <w:t xml:space="preserve"> se han </w:t>
      </w:r>
      <w:r w:rsidR="00063D5B" w:rsidRPr="00EA0CF8">
        <w:rPr>
          <w:rFonts w:ascii="Arial" w:hAnsi="Arial" w:cs="Arial"/>
        </w:rPr>
        <w:t>incluido</w:t>
      </w:r>
      <w:r w:rsidR="00D723D9" w:rsidRPr="00EA0CF8">
        <w:rPr>
          <w:rFonts w:ascii="Arial" w:hAnsi="Arial" w:cs="Arial"/>
        </w:rPr>
        <w:t xml:space="preserve"> </w:t>
      </w:r>
      <w:r w:rsidR="00063D5B" w:rsidRPr="00EA0CF8">
        <w:rPr>
          <w:rFonts w:ascii="Arial" w:hAnsi="Arial" w:cs="Arial"/>
        </w:rPr>
        <w:t xml:space="preserve">los respectivos </w:t>
      </w:r>
      <w:r w:rsidR="00A800DD" w:rsidRPr="00EA0CF8">
        <w:rPr>
          <w:rFonts w:ascii="Arial" w:hAnsi="Arial" w:cs="Arial"/>
        </w:rPr>
        <w:t>dictámenes</w:t>
      </w:r>
      <w:r w:rsidR="00063D5B" w:rsidRPr="00EA0CF8">
        <w:rPr>
          <w:rFonts w:ascii="Arial" w:hAnsi="Arial" w:cs="Arial"/>
        </w:rPr>
        <w:t xml:space="preserve"> del Tribunal conjuntamente con los estados financieros</w:t>
      </w:r>
      <w:r w:rsidR="00D723D9" w:rsidRPr="00EA0CF8">
        <w:rPr>
          <w:rFonts w:ascii="Arial" w:hAnsi="Arial" w:cs="Arial"/>
        </w:rPr>
        <w:t xml:space="preserve"> consolidados del Organismo </w:t>
      </w:r>
      <w:r w:rsidRPr="00EA0CF8">
        <w:rPr>
          <w:rFonts w:ascii="Arial" w:hAnsi="Arial" w:cs="Arial"/>
        </w:rPr>
        <w:t>correspondientes a los e</w:t>
      </w:r>
      <w:r w:rsidR="00D723D9" w:rsidRPr="00EA0CF8">
        <w:rPr>
          <w:rFonts w:ascii="Arial" w:hAnsi="Arial" w:cs="Arial"/>
        </w:rPr>
        <w:t>jercicios 2010 a 2014;</w:t>
      </w:r>
    </w:p>
    <w:p w:rsidR="00480084" w:rsidRDefault="00332EBF" w:rsidP="00CF70AB">
      <w:pPr>
        <w:tabs>
          <w:tab w:val="left" w:pos="1134"/>
        </w:tabs>
        <w:spacing w:line="360" w:lineRule="auto"/>
        <w:ind w:firstLine="2835"/>
        <w:jc w:val="both"/>
        <w:rPr>
          <w:rFonts w:ascii="Arial" w:hAnsi="Arial" w:cs="Arial"/>
        </w:rPr>
      </w:pPr>
      <w:r w:rsidRPr="00EA0CF8">
        <w:rPr>
          <w:rFonts w:ascii="Arial" w:hAnsi="Arial" w:cs="Arial"/>
          <w:b/>
        </w:rPr>
        <w:t>3)</w:t>
      </w:r>
      <w:r w:rsidR="003936A2" w:rsidRPr="00EA0CF8">
        <w:rPr>
          <w:rFonts w:ascii="Arial" w:hAnsi="Arial" w:cs="Arial"/>
        </w:rPr>
        <w:t xml:space="preserve"> que para el ejercicio 2013, ANCAP publicó en su página web los estados financieros individuales, los estados financieros </w:t>
      </w:r>
      <w:r w:rsidR="003936A2" w:rsidRPr="00EA0CF8">
        <w:rPr>
          <w:rFonts w:ascii="Arial" w:hAnsi="Arial" w:cs="Arial"/>
        </w:rPr>
        <w:lastRenderedPageBreak/>
        <w:t xml:space="preserve">consolidados de acuerdo con Normas Contables Adecuadas </w:t>
      </w:r>
      <w:r w:rsidR="00C90785" w:rsidRPr="00EA0CF8">
        <w:rPr>
          <w:rFonts w:ascii="Arial" w:hAnsi="Arial" w:cs="Arial"/>
        </w:rPr>
        <w:t xml:space="preserve">en el Uruguay </w:t>
      </w:r>
      <w:r w:rsidR="00324A08" w:rsidRPr="00EA0CF8">
        <w:rPr>
          <w:rFonts w:ascii="Arial" w:hAnsi="Arial" w:cs="Arial"/>
        </w:rPr>
        <w:t xml:space="preserve">y la Ordenanza N° 81 del Tribunal de Cuentas, los </w:t>
      </w:r>
      <w:r w:rsidR="00B51974" w:rsidRPr="00EA0CF8">
        <w:rPr>
          <w:rFonts w:ascii="Arial" w:hAnsi="Arial" w:cs="Arial"/>
        </w:rPr>
        <w:t>E</w:t>
      </w:r>
      <w:r w:rsidR="00324A08" w:rsidRPr="00EA0CF8">
        <w:rPr>
          <w:rFonts w:ascii="Arial" w:hAnsi="Arial" w:cs="Arial"/>
        </w:rPr>
        <w:t xml:space="preserve">stados </w:t>
      </w:r>
      <w:r w:rsidR="00B51974" w:rsidRPr="00EA0CF8">
        <w:rPr>
          <w:rFonts w:ascii="Arial" w:hAnsi="Arial" w:cs="Arial"/>
        </w:rPr>
        <w:t>F</w:t>
      </w:r>
      <w:r w:rsidR="00324A08" w:rsidRPr="00EA0CF8">
        <w:rPr>
          <w:rFonts w:ascii="Arial" w:hAnsi="Arial" w:cs="Arial"/>
        </w:rPr>
        <w:t>inancieros</w:t>
      </w:r>
      <w:r w:rsidR="00B51974" w:rsidRPr="00EA0CF8">
        <w:rPr>
          <w:rFonts w:ascii="Arial" w:hAnsi="Arial" w:cs="Arial"/>
        </w:rPr>
        <w:t xml:space="preserve"> Consolidados por el ejercicio anual terminado al 31 de diciembre de 2013</w:t>
      </w:r>
      <w:r w:rsidR="00324A08" w:rsidRPr="00EA0CF8">
        <w:rPr>
          <w:rFonts w:ascii="Arial" w:hAnsi="Arial" w:cs="Arial"/>
        </w:rPr>
        <w:t xml:space="preserve"> de acuerdo con las Normas Internacionales de </w:t>
      </w:r>
      <w:r w:rsidR="00063D5B" w:rsidRPr="00EA0CF8">
        <w:rPr>
          <w:rFonts w:ascii="Arial" w:hAnsi="Arial" w:cs="Arial"/>
        </w:rPr>
        <w:t>I</w:t>
      </w:r>
      <w:r w:rsidR="00324A08" w:rsidRPr="00EA0CF8">
        <w:rPr>
          <w:rFonts w:ascii="Arial" w:hAnsi="Arial" w:cs="Arial"/>
        </w:rPr>
        <w:t>nformación Financiera (NIIF) y el Dictamen de Auditoría del Tribunal de Cuentas</w:t>
      </w:r>
      <w:r w:rsidR="00C90785" w:rsidRPr="00EA0CF8">
        <w:rPr>
          <w:rFonts w:ascii="Arial" w:hAnsi="Arial" w:cs="Arial"/>
        </w:rPr>
        <w:t xml:space="preserve"> correspondiente</w:t>
      </w:r>
      <w:r w:rsidR="00324A08" w:rsidRPr="00EA0CF8">
        <w:rPr>
          <w:rFonts w:ascii="Arial" w:hAnsi="Arial" w:cs="Arial"/>
        </w:rPr>
        <w:t>;</w:t>
      </w:r>
    </w:p>
    <w:p w:rsidR="00480084" w:rsidRDefault="00480084" w:rsidP="00CF70AB">
      <w:pPr>
        <w:tabs>
          <w:tab w:val="left" w:pos="1134"/>
        </w:tabs>
        <w:spacing w:line="360" w:lineRule="auto"/>
        <w:ind w:firstLine="2835"/>
        <w:jc w:val="both"/>
        <w:rPr>
          <w:rFonts w:ascii="Arial" w:hAnsi="Arial" w:cs="Arial"/>
        </w:rPr>
      </w:pPr>
      <w:r>
        <w:rPr>
          <w:rFonts w:ascii="Arial" w:hAnsi="Arial" w:cs="Arial"/>
          <w:b/>
        </w:rPr>
        <w:t>4</w:t>
      </w:r>
      <w:r w:rsidR="00332EBF" w:rsidRPr="00EA0CF8">
        <w:rPr>
          <w:rFonts w:ascii="Arial" w:hAnsi="Arial" w:cs="Arial"/>
          <w:b/>
        </w:rPr>
        <w:t>)</w:t>
      </w:r>
      <w:r w:rsidR="00324A08" w:rsidRPr="00EA0CF8">
        <w:rPr>
          <w:rFonts w:ascii="Arial" w:hAnsi="Arial" w:cs="Arial"/>
        </w:rPr>
        <w:t xml:space="preserve"> que no se efectúa aclaración alguna a</w:t>
      </w:r>
      <w:r w:rsidR="00D723D9" w:rsidRPr="00EA0CF8">
        <w:rPr>
          <w:rFonts w:ascii="Arial" w:hAnsi="Arial" w:cs="Arial"/>
        </w:rPr>
        <w:t>cerca</w:t>
      </w:r>
      <w:r w:rsidR="00324A08" w:rsidRPr="00EA0CF8">
        <w:rPr>
          <w:rFonts w:ascii="Arial" w:hAnsi="Arial" w:cs="Arial"/>
        </w:rPr>
        <w:t xml:space="preserve"> de que el Dictamen de Auditoría del Tribunal de Cuentas correspondiente al ejercicio 2013 se refiere exclusivamente a los estados financieros consolidados de acuerdo con Normas Contables Adecuadas </w:t>
      </w:r>
      <w:r w:rsidR="00C90785" w:rsidRPr="00EA0CF8">
        <w:rPr>
          <w:rFonts w:ascii="Arial" w:hAnsi="Arial" w:cs="Arial"/>
        </w:rPr>
        <w:t xml:space="preserve">en el Uruguay </w:t>
      </w:r>
      <w:r w:rsidR="00324A08" w:rsidRPr="00EA0CF8">
        <w:rPr>
          <w:rFonts w:ascii="Arial" w:hAnsi="Arial" w:cs="Arial"/>
        </w:rPr>
        <w:t>y la Ordenanza N° 81 del Tribunal de Cuentas, únicos estados financieros remitidos a este Tribunal a efectos de su examen</w:t>
      </w:r>
      <w:r w:rsidR="00440A62" w:rsidRPr="00EA0CF8">
        <w:rPr>
          <w:rFonts w:ascii="Arial" w:hAnsi="Arial" w:cs="Arial"/>
        </w:rPr>
        <w:t xml:space="preserve"> y no tienen relación con </w:t>
      </w:r>
      <w:r w:rsidR="00B51974" w:rsidRPr="00EA0CF8">
        <w:rPr>
          <w:rFonts w:ascii="Arial" w:hAnsi="Arial" w:cs="Arial"/>
        </w:rPr>
        <w:t xml:space="preserve">los Estados Financieros Consolidados por el ejercicio anual terminado al 31 de diciembre de 2013 de acuerdo con las Normas Internacionales de Información Financiera (NIIF) </w:t>
      </w:r>
      <w:r w:rsidR="00440A62" w:rsidRPr="00EA0CF8">
        <w:rPr>
          <w:rFonts w:ascii="Arial" w:hAnsi="Arial" w:cs="Arial"/>
        </w:rPr>
        <w:t>…-</w:t>
      </w:r>
      <w:r w:rsidR="00324A08" w:rsidRPr="00EA0CF8">
        <w:rPr>
          <w:rFonts w:ascii="Arial" w:hAnsi="Arial" w:cs="Arial"/>
        </w:rPr>
        <w:t>;</w:t>
      </w:r>
    </w:p>
    <w:p w:rsidR="00480084" w:rsidRDefault="00324A08" w:rsidP="00CF70AB">
      <w:pPr>
        <w:tabs>
          <w:tab w:val="left" w:pos="1134"/>
        </w:tabs>
        <w:spacing w:line="360" w:lineRule="auto"/>
        <w:ind w:firstLine="2835"/>
        <w:jc w:val="both"/>
        <w:rPr>
          <w:rFonts w:ascii="Arial" w:hAnsi="Arial" w:cs="Arial"/>
        </w:rPr>
      </w:pPr>
      <w:r w:rsidRPr="00EA0CF8">
        <w:rPr>
          <w:rFonts w:ascii="Arial" w:hAnsi="Arial" w:cs="Arial"/>
          <w:b/>
        </w:rPr>
        <w:t>5</w:t>
      </w:r>
      <w:r w:rsidR="00332EBF" w:rsidRPr="00EA0CF8">
        <w:rPr>
          <w:rFonts w:ascii="Arial" w:hAnsi="Arial" w:cs="Arial"/>
          <w:b/>
        </w:rPr>
        <w:t>)</w:t>
      </w:r>
      <w:r w:rsidRPr="00EA0CF8">
        <w:rPr>
          <w:rFonts w:ascii="Arial" w:hAnsi="Arial" w:cs="Arial"/>
        </w:rPr>
        <w:t xml:space="preserve"> </w:t>
      </w:r>
      <w:r w:rsidR="00DA24D3" w:rsidRPr="00EA0CF8">
        <w:rPr>
          <w:rFonts w:ascii="Arial" w:hAnsi="Arial" w:cs="Arial"/>
        </w:rPr>
        <w:t xml:space="preserve">que con fecha </w:t>
      </w:r>
      <w:r w:rsidR="009363CA" w:rsidRPr="00EA0CF8">
        <w:rPr>
          <w:rFonts w:ascii="Arial" w:hAnsi="Arial" w:cs="Arial"/>
        </w:rPr>
        <w:t>07/04/2016</w:t>
      </w:r>
      <w:r w:rsidR="00DA24D3" w:rsidRPr="00EA0CF8">
        <w:rPr>
          <w:rFonts w:ascii="Arial" w:hAnsi="Arial" w:cs="Arial"/>
        </w:rPr>
        <w:t xml:space="preserve"> ANCAP solicitó prórroga para presentar sus estados financieros del ejercicio 2015, que debían presentarse ante </w:t>
      </w:r>
      <w:r w:rsidR="00440A62" w:rsidRPr="00EA0CF8">
        <w:rPr>
          <w:rFonts w:ascii="Arial" w:hAnsi="Arial" w:cs="Arial"/>
        </w:rPr>
        <w:t>este Tribunal</w:t>
      </w:r>
      <w:r w:rsidR="00DA24D3" w:rsidRPr="00EA0CF8">
        <w:rPr>
          <w:rFonts w:ascii="Arial" w:hAnsi="Arial" w:cs="Arial"/>
        </w:rPr>
        <w:t xml:space="preserve"> dentro de los noventa días de finalizado el ejercicio económico, conforme a lo dispuesto en el Numeral 32 de la </w:t>
      </w:r>
      <w:r w:rsidR="00440A62" w:rsidRPr="00EA0CF8">
        <w:rPr>
          <w:rFonts w:ascii="Arial" w:hAnsi="Arial" w:cs="Arial"/>
        </w:rPr>
        <w:t xml:space="preserve">citada </w:t>
      </w:r>
      <w:r w:rsidR="00DA24D3" w:rsidRPr="00EA0CF8">
        <w:rPr>
          <w:rFonts w:ascii="Arial" w:hAnsi="Arial" w:cs="Arial"/>
        </w:rPr>
        <w:t>Ordenanza;</w:t>
      </w:r>
    </w:p>
    <w:p w:rsidR="00DA24D3" w:rsidRPr="00EA0CF8" w:rsidRDefault="00332EBF" w:rsidP="00CF70AB">
      <w:pPr>
        <w:tabs>
          <w:tab w:val="left" w:pos="1134"/>
        </w:tabs>
        <w:spacing w:line="360" w:lineRule="auto"/>
        <w:ind w:firstLine="2835"/>
        <w:jc w:val="both"/>
        <w:rPr>
          <w:rFonts w:ascii="Arial" w:hAnsi="Arial" w:cs="Arial"/>
        </w:rPr>
      </w:pPr>
      <w:r w:rsidRPr="00EA0CF8">
        <w:rPr>
          <w:rFonts w:ascii="Arial" w:hAnsi="Arial" w:cs="Arial"/>
          <w:b/>
        </w:rPr>
        <w:t>6)</w:t>
      </w:r>
      <w:r w:rsidR="00DA24D3" w:rsidRPr="00EA0CF8">
        <w:rPr>
          <w:rFonts w:ascii="Arial" w:hAnsi="Arial" w:cs="Arial"/>
        </w:rPr>
        <w:t xml:space="preserve"> que </w:t>
      </w:r>
      <w:r w:rsidR="00440A62" w:rsidRPr="00EA0CF8">
        <w:rPr>
          <w:rFonts w:ascii="Arial" w:hAnsi="Arial" w:cs="Arial"/>
        </w:rPr>
        <w:t>este Cuerpo</w:t>
      </w:r>
      <w:r w:rsidR="00DA24D3" w:rsidRPr="00EA0CF8">
        <w:rPr>
          <w:rFonts w:ascii="Arial" w:hAnsi="Arial" w:cs="Arial"/>
        </w:rPr>
        <w:t xml:space="preserve"> </w:t>
      </w:r>
      <w:r w:rsidR="00F35796" w:rsidRPr="00EA0CF8">
        <w:rPr>
          <w:rFonts w:ascii="Arial" w:hAnsi="Arial" w:cs="Arial"/>
        </w:rPr>
        <w:t>autorizó</w:t>
      </w:r>
      <w:r w:rsidR="00DA24D3" w:rsidRPr="00EA0CF8">
        <w:rPr>
          <w:rFonts w:ascii="Arial" w:hAnsi="Arial" w:cs="Arial"/>
        </w:rPr>
        <w:t xml:space="preserve"> una prórroga para presentar </w:t>
      </w:r>
      <w:r w:rsidR="00F35796" w:rsidRPr="00EA0CF8">
        <w:rPr>
          <w:rFonts w:ascii="Arial" w:hAnsi="Arial" w:cs="Arial"/>
        </w:rPr>
        <w:t xml:space="preserve">dichos </w:t>
      </w:r>
      <w:r w:rsidR="00DA24D3" w:rsidRPr="00EA0CF8">
        <w:rPr>
          <w:rFonts w:ascii="Arial" w:hAnsi="Arial" w:cs="Arial"/>
        </w:rPr>
        <w:t xml:space="preserve">estados hasta el  </w:t>
      </w:r>
      <w:r w:rsidR="009363CA" w:rsidRPr="00EA0CF8">
        <w:rPr>
          <w:rFonts w:ascii="Arial" w:hAnsi="Arial" w:cs="Arial"/>
        </w:rPr>
        <w:t>30/04/2016</w:t>
      </w:r>
      <w:r w:rsidR="00F35796" w:rsidRPr="00EA0CF8">
        <w:rPr>
          <w:rFonts w:ascii="Arial" w:hAnsi="Arial" w:cs="Arial"/>
        </w:rPr>
        <w:t>, habiendo ingresado el 29/4/16</w:t>
      </w:r>
      <w:r w:rsidR="00DA24D3" w:rsidRPr="00EA0CF8">
        <w:rPr>
          <w:rFonts w:ascii="Arial" w:hAnsi="Arial" w:cs="Arial"/>
        </w:rPr>
        <w:t>;</w:t>
      </w:r>
    </w:p>
    <w:p w:rsidR="00DA24D3" w:rsidRPr="00EA0CF8" w:rsidRDefault="00F35796" w:rsidP="00CF70AB">
      <w:pPr>
        <w:tabs>
          <w:tab w:val="left" w:pos="0"/>
          <w:tab w:val="left" w:pos="1418"/>
        </w:tabs>
        <w:spacing w:line="360" w:lineRule="auto"/>
        <w:ind w:firstLine="851"/>
        <w:jc w:val="both"/>
        <w:rPr>
          <w:rFonts w:ascii="Arial" w:hAnsi="Arial" w:cs="Arial"/>
        </w:rPr>
      </w:pPr>
      <w:r w:rsidRPr="00EA0CF8">
        <w:rPr>
          <w:rFonts w:ascii="Arial" w:hAnsi="Arial" w:cs="Arial"/>
          <w:b/>
        </w:rPr>
        <w:t>CONSIDERANDO</w:t>
      </w:r>
      <w:r w:rsidR="00480084">
        <w:rPr>
          <w:rFonts w:ascii="Arial" w:hAnsi="Arial" w:cs="Arial"/>
          <w:b/>
        </w:rPr>
        <w:t>:</w:t>
      </w:r>
      <w:r w:rsidR="00DA24D3" w:rsidRPr="00EA0CF8">
        <w:rPr>
          <w:rFonts w:ascii="Arial" w:hAnsi="Arial" w:cs="Arial"/>
          <w:b/>
        </w:rPr>
        <w:t xml:space="preserve"> 1</w:t>
      </w:r>
      <w:r w:rsidR="00D723D9" w:rsidRPr="00EA0CF8">
        <w:rPr>
          <w:rFonts w:ascii="Arial" w:hAnsi="Arial" w:cs="Arial"/>
          <w:b/>
        </w:rPr>
        <w:t>)</w:t>
      </w:r>
      <w:r w:rsidR="00C90785" w:rsidRPr="00EA0CF8">
        <w:rPr>
          <w:rFonts w:ascii="Arial" w:hAnsi="Arial" w:cs="Arial"/>
        </w:rPr>
        <w:t xml:space="preserve"> que ANCAP</w:t>
      </w:r>
      <w:r w:rsidR="00DA24D3" w:rsidRPr="00EA0CF8">
        <w:rPr>
          <w:rFonts w:ascii="Arial" w:hAnsi="Arial" w:cs="Arial"/>
        </w:rPr>
        <w:t xml:space="preserve"> deberá </w:t>
      </w:r>
      <w:r w:rsidR="00D723D9" w:rsidRPr="00EA0CF8">
        <w:rPr>
          <w:rFonts w:ascii="Arial" w:hAnsi="Arial" w:cs="Arial"/>
        </w:rPr>
        <w:t>aclarar</w:t>
      </w:r>
      <w:r w:rsidRPr="00EA0CF8">
        <w:rPr>
          <w:rFonts w:ascii="Arial" w:hAnsi="Arial" w:cs="Arial"/>
        </w:rPr>
        <w:t>,</w:t>
      </w:r>
      <w:r w:rsidR="00DA24D3" w:rsidRPr="00EA0CF8">
        <w:rPr>
          <w:rFonts w:ascii="Arial" w:hAnsi="Arial" w:cs="Arial"/>
        </w:rPr>
        <w:t xml:space="preserve"> en su página web, que el Dictamen de Auditoría del Tribunal de Cuentas correspondiente</w:t>
      </w:r>
      <w:r w:rsidR="006D07AF" w:rsidRPr="00EA0CF8">
        <w:rPr>
          <w:rFonts w:ascii="Arial" w:hAnsi="Arial" w:cs="Arial"/>
        </w:rPr>
        <w:t xml:space="preserve"> al ejercicio 2013</w:t>
      </w:r>
      <w:r w:rsidR="00DA24D3" w:rsidRPr="00EA0CF8">
        <w:rPr>
          <w:rFonts w:ascii="Arial" w:hAnsi="Arial" w:cs="Arial"/>
        </w:rPr>
        <w:t xml:space="preserve"> está relacionado exclusivamente con los estados financieros del Organismo preparado c</w:t>
      </w:r>
      <w:r w:rsidR="00C90785" w:rsidRPr="00EA0CF8">
        <w:rPr>
          <w:rFonts w:ascii="Arial" w:hAnsi="Arial" w:cs="Arial"/>
        </w:rPr>
        <w:t>onforme a las Normas Contables A</w:t>
      </w:r>
      <w:r w:rsidR="00DA24D3" w:rsidRPr="00EA0CF8">
        <w:rPr>
          <w:rFonts w:ascii="Arial" w:hAnsi="Arial" w:cs="Arial"/>
        </w:rPr>
        <w:t xml:space="preserve">decuadas en el </w:t>
      </w:r>
      <w:r w:rsidR="00D96AAC" w:rsidRPr="00EA0CF8">
        <w:rPr>
          <w:rFonts w:ascii="Arial" w:hAnsi="Arial" w:cs="Arial"/>
        </w:rPr>
        <w:t>Uruguay</w:t>
      </w:r>
      <w:r w:rsidR="00DA24D3" w:rsidRPr="00EA0CF8">
        <w:rPr>
          <w:rFonts w:ascii="Arial" w:hAnsi="Arial" w:cs="Arial"/>
        </w:rPr>
        <w:t xml:space="preserve"> y a la </w:t>
      </w:r>
      <w:r w:rsidRPr="00EA0CF8">
        <w:rPr>
          <w:rFonts w:ascii="Arial" w:hAnsi="Arial" w:cs="Arial"/>
        </w:rPr>
        <w:t>Ordenanza N°81 de este Tribunal</w:t>
      </w:r>
      <w:r w:rsidR="00DA24D3" w:rsidRPr="00EA0CF8">
        <w:rPr>
          <w:rFonts w:ascii="Arial" w:hAnsi="Arial" w:cs="Arial"/>
        </w:rPr>
        <w:t xml:space="preserve"> y que dicho Dictamen no se refiere a </w:t>
      </w:r>
      <w:r w:rsidR="00B51974" w:rsidRPr="00EA0CF8">
        <w:rPr>
          <w:rFonts w:ascii="Arial" w:hAnsi="Arial" w:cs="Arial"/>
        </w:rPr>
        <w:t xml:space="preserve">con los Estados Financieros Consolidados por el ejercicio anual terminado al 31 de diciembre de 2013 de acuerdo con las Normas Internacionales de Información Financiera (NIIF) </w:t>
      </w:r>
      <w:r w:rsidR="00D723D9" w:rsidRPr="00EA0CF8">
        <w:rPr>
          <w:rFonts w:ascii="Arial" w:hAnsi="Arial" w:cs="Arial"/>
        </w:rPr>
        <w:t>(Resultandos 2 y 3)</w:t>
      </w:r>
      <w:r w:rsidR="00DA24D3" w:rsidRPr="00EA0CF8">
        <w:rPr>
          <w:rFonts w:ascii="Arial" w:hAnsi="Arial" w:cs="Arial"/>
        </w:rPr>
        <w:t>;</w:t>
      </w:r>
    </w:p>
    <w:p w:rsidR="00480084" w:rsidRDefault="00CF70AB" w:rsidP="00CF70AB">
      <w:pPr>
        <w:tabs>
          <w:tab w:val="left" w:pos="1134"/>
          <w:tab w:val="left" w:pos="2127"/>
        </w:tabs>
        <w:spacing w:line="360" w:lineRule="auto"/>
        <w:ind w:firstLine="2977"/>
        <w:jc w:val="both"/>
        <w:rPr>
          <w:rFonts w:ascii="Arial" w:hAnsi="Arial" w:cs="Arial"/>
        </w:rPr>
      </w:pPr>
      <w:r>
        <w:rPr>
          <w:rFonts w:ascii="Arial" w:hAnsi="Arial" w:cs="Arial"/>
          <w:b/>
        </w:rPr>
        <w:t xml:space="preserve"> </w:t>
      </w:r>
      <w:r w:rsidR="00332EBF" w:rsidRPr="00EA0CF8">
        <w:rPr>
          <w:rFonts w:ascii="Arial" w:hAnsi="Arial" w:cs="Arial"/>
          <w:b/>
        </w:rPr>
        <w:t>2)</w:t>
      </w:r>
      <w:r w:rsidR="005136B4" w:rsidRPr="00EA0CF8">
        <w:rPr>
          <w:rFonts w:ascii="Arial" w:hAnsi="Arial" w:cs="Arial"/>
          <w:b/>
        </w:rPr>
        <w:t xml:space="preserve"> </w:t>
      </w:r>
      <w:r w:rsidR="005136B4" w:rsidRPr="00EA0CF8">
        <w:rPr>
          <w:rFonts w:ascii="Arial" w:hAnsi="Arial" w:cs="Arial"/>
        </w:rPr>
        <w:t xml:space="preserve">que el Artículo 191 de la Constitución de la República dispone que “Los Entes Autónomos, los Servicios Descentralizados y, en general, todas las administraciones autónomas con patrimonio propio, cualquiera sea su naturaleza jurídica, publicarán periódicamente estados que reflejen claramente su vida financiera. La ley fijará la norma y número anual de los mismos y todos deberán llevar la </w:t>
      </w:r>
      <w:proofErr w:type="spellStart"/>
      <w:r w:rsidR="005136B4" w:rsidRPr="00EA0CF8">
        <w:rPr>
          <w:rFonts w:ascii="Arial" w:hAnsi="Arial" w:cs="Arial"/>
        </w:rPr>
        <w:t>visación</w:t>
      </w:r>
      <w:proofErr w:type="spellEnd"/>
      <w:r w:rsidR="005136B4" w:rsidRPr="00EA0CF8">
        <w:rPr>
          <w:rFonts w:ascii="Arial" w:hAnsi="Arial" w:cs="Arial"/>
        </w:rPr>
        <w:t xml:space="preserve"> del Tribunal de Cuentas.”</w:t>
      </w:r>
      <w:r>
        <w:rPr>
          <w:rFonts w:ascii="Arial" w:hAnsi="Arial" w:cs="Arial"/>
        </w:rPr>
        <w:t>;</w:t>
      </w:r>
    </w:p>
    <w:p w:rsidR="00480084" w:rsidRDefault="00CF70AB" w:rsidP="00CF70AB">
      <w:pPr>
        <w:tabs>
          <w:tab w:val="left" w:pos="1134"/>
          <w:tab w:val="left" w:pos="2127"/>
        </w:tabs>
        <w:spacing w:line="360" w:lineRule="auto"/>
        <w:ind w:firstLine="2977"/>
        <w:jc w:val="both"/>
        <w:rPr>
          <w:rFonts w:ascii="Arial" w:hAnsi="Arial" w:cs="Arial"/>
        </w:rPr>
      </w:pPr>
      <w:r>
        <w:rPr>
          <w:rFonts w:ascii="Arial" w:hAnsi="Arial" w:cs="Arial"/>
          <w:b/>
        </w:rPr>
        <w:t xml:space="preserve"> </w:t>
      </w:r>
      <w:r w:rsidR="00332EBF" w:rsidRPr="00EA0CF8">
        <w:rPr>
          <w:rFonts w:ascii="Arial" w:hAnsi="Arial" w:cs="Arial"/>
          <w:b/>
        </w:rPr>
        <w:t>3)</w:t>
      </w:r>
      <w:r w:rsidR="00DA24D3" w:rsidRPr="00EA0CF8">
        <w:rPr>
          <w:rFonts w:ascii="Arial" w:hAnsi="Arial" w:cs="Arial"/>
        </w:rPr>
        <w:t xml:space="preserve"> que el Artículo 1° de la Ley N° 17.040 establece en su inciso primero que </w:t>
      </w:r>
      <w:r w:rsidR="005136B4" w:rsidRPr="00EA0CF8">
        <w:rPr>
          <w:rFonts w:ascii="Arial" w:hAnsi="Arial" w:cs="Arial"/>
        </w:rPr>
        <w:t>“Las empresas públicas o de propiedad estatal, con actividad comercial e industrial, publicarán su balance general, expresado en los estados de situación patrimonial y de resultados, confeccionados conforme a lo</w:t>
      </w:r>
      <w:r w:rsidR="00D723D9" w:rsidRPr="00EA0CF8">
        <w:rPr>
          <w:rFonts w:ascii="Arial" w:hAnsi="Arial" w:cs="Arial"/>
        </w:rPr>
        <w:t xml:space="preserve"> </w:t>
      </w:r>
      <w:r w:rsidR="005136B4" w:rsidRPr="00EA0CF8">
        <w:rPr>
          <w:rFonts w:ascii="Arial" w:hAnsi="Arial" w:cs="Arial"/>
        </w:rPr>
        <w:t xml:space="preserve">dispuesto por los </w:t>
      </w:r>
      <w:r w:rsidR="00480084">
        <w:rPr>
          <w:rFonts w:ascii="Arial" w:hAnsi="Arial" w:cs="Arial"/>
        </w:rPr>
        <w:t>A</w:t>
      </w:r>
      <w:r w:rsidR="005136B4" w:rsidRPr="00EA0CF8">
        <w:rPr>
          <w:rFonts w:ascii="Arial" w:hAnsi="Arial" w:cs="Arial"/>
        </w:rPr>
        <w:t>rtículos 88 a 92 de la Ley Nº16.060, de 4 de setiembre</w:t>
      </w:r>
      <w:r w:rsidR="00D723D9" w:rsidRPr="00EA0CF8">
        <w:rPr>
          <w:rFonts w:ascii="Arial" w:hAnsi="Arial" w:cs="Arial"/>
        </w:rPr>
        <w:t xml:space="preserve"> </w:t>
      </w:r>
      <w:r w:rsidR="005136B4" w:rsidRPr="00EA0CF8">
        <w:rPr>
          <w:rFonts w:ascii="Arial" w:hAnsi="Arial" w:cs="Arial"/>
        </w:rPr>
        <w:t>de 1989, antes de un año de vencido el ejercicio contable, previo dictamen</w:t>
      </w:r>
      <w:r w:rsidR="00D723D9" w:rsidRPr="00EA0CF8">
        <w:rPr>
          <w:rFonts w:ascii="Arial" w:hAnsi="Arial" w:cs="Arial"/>
        </w:rPr>
        <w:t xml:space="preserve"> </w:t>
      </w:r>
      <w:r w:rsidR="005136B4" w:rsidRPr="00EA0CF8">
        <w:rPr>
          <w:rFonts w:ascii="Arial" w:hAnsi="Arial" w:cs="Arial"/>
        </w:rPr>
        <w:t>de auditoría del Tribunal de Cuentas que se expresará y responsabilizará</w:t>
      </w:r>
      <w:r w:rsidR="00D723D9" w:rsidRPr="00EA0CF8">
        <w:rPr>
          <w:rFonts w:ascii="Arial" w:hAnsi="Arial" w:cs="Arial"/>
        </w:rPr>
        <w:t xml:space="preserve"> </w:t>
      </w:r>
      <w:r w:rsidR="005136B4" w:rsidRPr="00EA0CF8">
        <w:rPr>
          <w:rFonts w:ascii="Arial" w:hAnsi="Arial" w:cs="Arial"/>
        </w:rPr>
        <w:t>respecto de la razonabilidad y consistencia de los mismos.”</w:t>
      </w:r>
      <w:r>
        <w:rPr>
          <w:rFonts w:ascii="Arial" w:hAnsi="Arial" w:cs="Arial"/>
        </w:rPr>
        <w:t>;</w:t>
      </w:r>
    </w:p>
    <w:p w:rsidR="005136B4" w:rsidRPr="00EA0CF8" w:rsidRDefault="00CF70AB" w:rsidP="00CF70AB">
      <w:pPr>
        <w:tabs>
          <w:tab w:val="left" w:pos="1134"/>
          <w:tab w:val="left" w:pos="2127"/>
        </w:tabs>
        <w:spacing w:line="360" w:lineRule="auto"/>
        <w:ind w:firstLine="2977"/>
        <w:jc w:val="both"/>
        <w:rPr>
          <w:rFonts w:ascii="Arial" w:hAnsi="Arial" w:cs="Arial"/>
        </w:rPr>
      </w:pPr>
      <w:r>
        <w:rPr>
          <w:rFonts w:ascii="Arial" w:hAnsi="Arial" w:cs="Arial"/>
          <w:b/>
        </w:rPr>
        <w:t xml:space="preserve"> </w:t>
      </w:r>
      <w:r w:rsidR="00332EBF" w:rsidRPr="00EA0CF8">
        <w:rPr>
          <w:rFonts w:ascii="Arial" w:hAnsi="Arial" w:cs="Arial"/>
          <w:b/>
        </w:rPr>
        <w:t>4)</w:t>
      </w:r>
      <w:r w:rsidR="005136B4" w:rsidRPr="00EA0CF8">
        <w:rPr>
          <w:rFonts w:ascii="Arial" w:hAnsi="Arial" w:cs="Arial"/>
        </w:rPr>
        <w:t xml:space="preserve"> que el Artículo 5° de la </w:t>
      </w:r>
      <w:r w:rsidR="00480084">
        <w:rPr>
          <w:rFonts w:ascii="Arial" w:hAnsi="Arial" w:cs="Arial"/>
        </w:rPr>
        <w:t>L</w:t>
      </w:r>
      <w:r w:rsidR="005136B4" w:rsidRPr="00EA0CF8">
        <w:rPr>
          <w:rFonts w:ascii="Arial" w:hAnsi="Arial" w:cs="Arial"/>
        </w:rPr>
        <w:t xml:space="preserve">ey N° 18.381 </w:t>
      </w:r>
      <w:r w:rsidR="000829B2" w:rsidRPr="00EA0CF8">
        <w:rPr>
          <w:rFonts w:ascii="Arial" w:hAnsi="Arial" w:cs="Arial"/>
        </w:rPr>
        <w:t>prescribe</w:t>
      </w:r>
      <w:r w:rsidR="005136B4" w:rsidRPr="00EA0CF8">
        <w:rPr>
          <w:rFonts w:ascii="Arial" w:hAnsi="Arial" w:cs="Arial"/>
        </w:rPr>
        <w:t xml:space="preserve"> que </w:t>
      </w:r>
      <w:r w:rsidR="00D723D9" w:rsidRPr="00EA0CF8">
        <w:rPr>
          <w:rFonts w:ascii="Arial" w:hAnsi="Arial" w:cs="Arial"/>
        </w:rPr>
        <w:t>“</w:t>
      </w:r>
      <w:r w:rsidR="005136B4" w:rsidRPr="00EA0CF8">
        <w:rPr>
          <w:rFonts w:ascii="Arial" w:hAnsi="Arial" w:cs="Arial"/>
        </w:rPr>
        <w:t>Los organismos públicos, sean o no estatales, deberán difundir en forma</w:t>
      </w:r>
      <w:r w:rsidR="00A03847" w:rsidRPr="00EA0CF8">
        <w:rPr>
          <w:rFonts w:ascii="Arial" w:hAnsi="Arial" w:cs="Arial"/>
        </w:rPr>
        <w:t xml:space="preserve"> </w:t>
      </w:r>
      <w:r w:rsidR="005136B4" w:rsidRPr="00EA0CF8">
        <w:rPr>
          <w:rFonts w:ascii="Arial" w:hAnsi="Arial" w:cs="Arial"/>
        </w:rPr>
        <w:t>permanente, a través de sus sitios web u otros medios que el órgano de</w:t>
      </w:r>
      <w:r w:rsidR="00C90785" w:rsidRPr="00EA0CF8">
        <w:rPr>
          <w:rFonts w:ascii="Arial" w:hAnsi="Arial" w:cs="Arial"/>
        </w:rPr>
        <w:t xml:space="preserve"> </w:t>
      </w:r>
      <w:r w:rsidR="005136B4" w:rsidRPr="00EA0CF8">
        <w:rPr>
          <w:rFonts w:ascii="Arial" w:hAnsi="Arial" w:cs="Arial"/>
        </w:rPr>
        <w:t xml:space="preserve">control determine, </w:t>
      </w:r>
      <w:r w:rsidR="006E35C9" w:rsidRPr="00EA0CF8">
        <w:rPr>
          <w:rFonts w:ascii="Arial" w:hAnsi="Arial" w:cs="Arial"/>
        </w:rPr>
        <w:t>información mínima</w:t>
      </w:r>
      <w:r w:rsidR="00D723D9" w:rsidRPr="00EA0CF8">
        <w:rPr>
          <w:rFonts w:ascii="Arial" w:hAnsi="Arial" w:cs="Arial"/>
        </w:rPr>
        <w:t xml:space="preserve"> </w:t>
      </w:r>
      <w:r w:rsidR="006E35C9" w:rsidRPr="00EA0CF8">
        <w:rPr>
          <w:rFonts w:ascii="Arial" w:hAnsi="Arial" w:cs="Arial"/>
        </w:rPr>
        <w:t>entre la que se incluye la siguiente</w:t>
      </w:r>
      <w:r w:rsidR="00D723D9" w:rsidRPr="00EA0CF8">
        <w:rPr>
          <w:rFonts w:ascii="Arial" w:hAnsi="Arial" w:cs="Arial"/>
        </w:rPr>
        <w:t>:</w:t>
      </w:r>
    </w:p>
    <w:p w:rsidR="00480084" w:rsidRDefault="000829B2" w:rsidP="00480084">
      <w:pPr>
        <w:tabs>
          <w:tab w:val="left" w:pos="1134"/>
        </w:tabs>
        <w:spacing w:line="360" w:lineRule="auto"/>
        <w:jc w:val="both"/>
        <w:rPr>
          <w:rFonts w:ascii="Arial" w:hAnsi="Arial" w:cs="Arial"/>
        </w:rPr>
      </w:pPr>
      <w:r w:rsidRPr="00EA0CF8">
        <w:rPr>
          <w:rFonts w:ascii="Arial" w:hAnsi="Arial" w:cs="Arial"/>
        </w:rPr>
        <w:t>“</w:t>
      </w:r>
      <w:r w:rsidR="005136B4" w:rsidRPr="00EA0CF8">
        <w:rPr>
          <w:rFonts w:ascii="Arial" w:hAnsi="Arial" w:cs="Arial"/>
        </w:rPr>
        <w:t>D) Información sobre presupuesto asignado, su ejecución, con los  resultados</w:t>
      </w:r>
      <w:r w:rsidR="005136B4" w:rsidRPr="005136B4">
        <w:rPr>
          <w:rFonts w:ascii="Arial" w:hAnsi="Arial" w:cs="Arial"/>
        </w:rPr>
        <w:t xml:space="preserve"> de las auditorías que en cada caso corresponda</w:t>
      </w:r>
      <w:r>
        <w:rPr>
          <w:rFonts w:ascii="Arial" w:hAnsi="Arial" w:cs="Arial"/>
        </w:rPr>
        <w:t>”</w:t>
      </w:r>
      <w:r w:rsidR="00480084">
        <w:rPr>
          <w:rFonts w:ascii="Arial" w:hAnsi="Arial" w:cs="Arial"/>
        </w:rPr>
        <w:t>;</w:t>
      </w:r>
    </w:p>
    <w:p w:rsidR="00A03847" w:rsidRDefault="00CF70AB" w:rsidP="00CF70AB">
      <w:pPr>
        <w:tabs>
          <w:tab w:val="left" w:pos="1134"/>
        </w:tabs>
        <w:spacing w:line="360" w:lineRule="auto"/>
        <w:ind w:firstLine="2977"/>
        <w:jc w:val="both"/>
        <w:rPr>
          <w:rFonts w:ascii="Arial" w:hAnsi="Arial" w:cs="Arial"/>
        </w:rPr>
      </w:pPr>
      <w:r>
        <w:rPr>
          <w:rFonts w:ascii="Arial" w:hAnsi="Arial" w:cs="Arial"/>
          <w:b/>
        </w:rPr>
        <w:t xml:space="preserve"> </w:t>
      </w:r>
      <w:r w:rsidR="00332EBF" w:rsidRPr="00332EBF">
        <w:rPr>
          <w:rFonts w:ascii="Arial" w:hAnsi="Arial" w:cs="Arial"/>
          <w:b/>
        </w:rPr>
        <w:t>5)</w:t>
      </w:r>
      <w:r w:rsidR="00A03847">
        <w:rPr>
          <w:rFonts w:ascii="Arial" w:hAnsi="Arial" w:cs="Arial"/>
        </w:rPr>
        <w:t xml:space="preserve"> </w:t>
      </w:r>
      <w:r w:rsidR="00967DFC">
        <w:rPr>
          <w:rFonts w:ascii="Arial" w:hAnsi="Arial" w:cs="Arial"/>
        </w:rPr>
        <w:t>que los estados financier</w:t>
      </w:r>
      <w:r w:rsidR="000829B2">
        <w:rPr>
          <w:rFonts w:ascii="Arial" w:hAnsi="Arial" w:cs="Arial"/>
        </w:rPr>
        <w:t>o</w:t>
      </w:r>
      <w:r w:rsidR="00967DFC">
        <w:rPr>
          <w:rFonts w:ascii="Arial" w:hAnsi="Arial" w:cs="Arial"/>
        </w:rPr>
        <w:t>s de ANCAP del ejercicio 2015</w:t>
      </w:r>
      <w:r w:rsidR="00480084">
        <w:rPr>
          <w:rFonts w:ascii="Arial" w:hAnsi="Arial" w:cs="Arial"/>
        </w:rPr>
        <w:t>,</w:t>
      </w:r>
      <w:r w:rsidR="00967DFC">
        <w:rPr>
          <w:rFonts w:ascii="Arial" w:hAnsi="Arial" w:cs="Arial"/>
        </w:rPr>
        <w:t xml:space="preserve"> deberán publicarse en su página </w:t>
      </w:r>
      <w:r w:rsidR="003A71F4">
        <w:rPr>
          <w:rFonts w:ascii="Arial" w:hAnsi="Arial" w:cs="Arial"/>
        </w:rPr>
        <w:t>w</w:t>
      </w:r>
      <w:r w:rsidR="00967DFC">
        <w:rPr>
          <w:rFonts w:ascii="Arial" w:hAnsi="Arial" w:cs="Arial"/>
        </w:rPr>
        <w:t>eb acompañados del Dictamen del Tribunal de Cuenta</w:t>
      </w:r>
      <w:r>
        <w:rPr>
          <w:rFonts w:ascii="Arial" w:hAnsi="Arial" w:cs="Arial"/>
        </w:rPr>
        <w:t>s conforme a las normas citadas;</w:t>
      </w:r>
    </w:p>
    <w:p w:rsidR="00A03847" w:rsidRDefault="00A03847" w:rsidP="00CF70AB">
      <w:pPr>
        <w:tabs>
          <w:tab w:val="left" w:pos="1134"/>
        </w:tabs>
        <w:spacing w:line="360" w:lineRule="auto"/>
        <w:ind w:firstLine="851"/>
        <w:jc w:val="both"/>
        <w:rPr>
          <w:rFonts w:ascii="Arial" w:hAnsi="Arial" w:cs="Arial"/>
        </w:rPr>
      </w:pPr>
      <w:r w:rsidRPr="00A03847">
        <w:rPr>
          <w:rFonts w:ascii="Arial" w:hAnsi="Arial" w:cs="Arial"/>
          <w:b/>
        </w:rPr>
        <w:t>ATENTO</w:t>
      </w:r>
      <w:r w:rsidRPr="00480084">
        <w:rPr>
          <w:rFonts w:ascii="Arial" w:hAnsi="Arial" w:cs="Arial"/>
          <w:b/>
        </w:rPr>
        <w:t>:</w:t>
      </w:r>
      <w:r>
        <w:rPr>
          <w:rFonts w:ascii="Arial" w:hAnsi="Arial" w:cs="Arial"/>
        </w:rPr>
        <w:t xml:space="preserve"> a lo expuesto precedentemente</w:t>
      </w:r>
      <w:r w:rsidR="00CF70AB">
        <w:rPr>
          <w:rFonts w:ascii="Arial" w:hAnsi="Arial" w:cs="Arial"/>
        </w:rPr>
        <w:t>;</w:t>
      </w:r>
    </w:p>
    <w:p w:rsidR="00A03847" w:rsidRPr="00A03847" w:rsidRDefault="00A03847" w:rsidP="00120BED">
      <w:pPr>
        <w:tabs>
          <w:tab w:val="left" w:pos="1134"/>
        </w:tabs>
        <w:spacing w:line="360" w:lineRule="auto"/>
        <w:jc w:val="center"/>
        <w:rPr>
          <w:rFonts w:ascii="Arial" w:hAnsi="Arial" w:cs="Arial"/>
          <w:b/>
        </w:rPr>
      </w:pPr>
      <w:r w:rsidRPr="00A03847">
        <w:rPr>
          <w:rFonts w:ascii="Arial" w:hAnsi="Arial" w:cs="Arial"/>
          <w:b/>
        </w:rPr>
        <w:t>EL TRIBUNAL ACUERDA</w:t>
      </w:r>
    </w:p>
    <w:p w:rsidR="00A03847" w:rsidRPr="003A71F4" w:rsidRDefault="00A03847" w:rsidP="003A71F4">
      <w:pPr>
        <w:pStyle w:val="Prrafodelista"/>
        <w:numPr>
          <w:ilvl w:val="0"/>
          <w:numId w:val="4"/>
        </w:numPr>
        <w:spacing w:line="360" w:lineRule="auto"/>
        <w:jc w:val="both"/>
        <w:rPr>
          <w:rFonts w:ascii="Arial" w:hAnsi="Arial" w:cs="Arial"/>
        </w:rPr>
      </w:pPr>
      <w:r w:rsidRPr="003A71F4">
        <w:rPr>
          <w:rFonts w:ascii="Arial" w:hAnsi="Arial" w:cs="Arial"/>
        </w:rPr>
        <w:t>Expedirse en los términos de los Considerandos 1</w:t>
      </w:r>
      <w:r w:rsidR="003A71F4">
        <w:rPr>
          <w:rFonts w:ascii="Arial" w:hAnsi="Arial" w:cs="Arial"/>
        </w:rPr>
        <w:t>)</w:t>
      </w:r>
      <w:r w:rsidRPr="003A71F4">
        <w:rPr>
          <w:rFonts w:ascii="Arial" w:hAnsi="Arial" w:cs="Arial"/>
        </w:rPr>
        <w:t xml:space="preserve"> y 5</w:t>
      </w:r>
      <w:r w:rsidR="003A71F4">
        <w:rPr>
          <w:rFonts w:ascii="Arial" w:hAnsi="Arial" w:cs="Arial"/>
        </w:rPr>
        <w:t>)</w:t>
      </w:r>
      <w:r w:rsidRPr="003A71F4">
        <w:rPr>
          <w:rFonts w:ascii="Arial" w:hAnsi="Arial" w:cs="Arial"/>
        </w:rPr>
        <w:t>;</w:t>
      </w:r>
      <w:r w:rsidR="00480084">
        <w:rPr>
          <w:rFonts w:ascii="Arial" w:hAnsi="Arial" w:cs="Arial"/>
        </w:rPr>
        <w:t xml:space="preserve"> y</w:t>
      </w:r>
    </w:p>
    <w:p w:rsidR="00C90785" w:rsidRPr="00CF70AB" w:rsidRDefault="00A03847" w:rsidP="0089405E">
      <w:pPr>
        <w:numPr>
          <w:ilvl w:val="0"/>
          <w:numId w:val="4"/>
        </w:numPr>
        <w:spacing w:line="360" w:lineRule="auto"/>
        <w:jc w:val="both"/>
        <w:rPr>
          <w:rFonts w:ascii="Arial" w:hAnsi="Arial" w:cs="Arial"/>
        </w:rPr>
      </w:pPr>
      <w:r>
        <w:rPr>
          <w:rFonts w:ascii="Arial" w:hAnsi="Arial" w:cs="Arial"/>
        </w:rPr>
        <w:t>Comunicar al Organismo.</w:t>
      </w:r>
    </w:p>
    <w:sectPr w:rsidR="00C90785" w:rsidRPr="00CF70AB" w:rsidSect="00023C49">
      <w:pgSz w:w="11906" w:h="16838" w:code="9"/>
      <w:pgMar w:top="3402" w:right="1701" w:bottom="85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0AB" w:rsidRDefault="00CF70AB">
      <w:r>
        <w:separator/>
      </w:r>
    </w:p>
  </w:endnote>
  <w:endnote w:type="continuationSeparator" w:id="0">
    <w:p w:rsidR="00CF70AB" w:rsidRDefault="00CF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0AB" w:rsidRDefault="00CF70AB">
      <w:r>
        <w:separator/>
      </w:r>
    </w:p>
  </w:footnote>
  <w:footnote w:type="continuationSeparator" w:id="0">
    <w:p w:rsidR="00CF70AB" w:rsidRDefault="00CF7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A63B6"/>
    <w:multiLevelType w:val="multilevel"/>
    <w:tmpl w:val="72383CC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23954737"/>
    <w:multiLevelType w:val="hybridMultilevel"/>
    <w:tmpl w:val="0E621E4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E1E6164"/>
    <w:multiLevelType w:val="hybridMultilevel"/>
    <w:tmpl w:val="1CD69E9C"/>
    <w:lvl w:ilvl="0" w:tplc="0C0A000F">
      <w:start w:val="1"/>
      <w:numFmt w:val="decimal"/>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3">
    <w:nsid w:val="65CF7903"/>
    <w:multiLevelType w:val="multilevel"/>
    <w:tmpl w:val="6546A86A"/>
    <w:lvl w:ilvl="0">
      <w:start w:val="1"/>
      <w:numFmt w:val="decimal"/>
      <w:lvlText w:val="%1)"/>
      <w:lvlJc w:val="left"/>
      <w:pPr>
        <w:ind w:left="360" w:hanging="360"/>
      </w:pPr>
      <w:rPr>
        <w:rFonts w:ascii="Arial" w:eastAsia="Times New Roman" w:hAnsi="Arial" w:cs="Arial"/>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0B6"/>
    <w:rsid w:val="00023C49"/>
    <w:rsid w:val="00026384"/>
    <w:rsid w:val="00063D5B"/>
    <w:rsid w:val="000661C4"/>
    <w:rsid w:val="000726C8"/>
    <w:rsid w:val="00072EFF"/>
    <w:rsid w:val="000820F2"/>
    <w:rsid w:val="000829B2"/>
    <w:rsid w:val="00082C47"/>
    <w:rsid w:val="00086525"/>
    <w:rsid w:val="000D301B"/>
    <w:rsid w:val="000D5FC0"/>
    <w:rsid w:val="000E4FB7"/>
    <w:rsid w:val="00103017"/>
    <w:rsid w:val="0011043F"/>
    <w:rsid w:val="00120BED"/>
    <w:rsid w:val="001223C6"/>
    <w:rsid w:val="001253B3"/>
    <w:rsid w:val="00191D63"/>
    <w:rsid w:val="001C20B6"/>
    <w:rsid w:val="001C6FE5"/>
    <w:rsid w:val="001D4A04"/>
    <w:rsid w:val="001D71F4"/>
    <w:rsid w:val="001E71E7"/>
    <w:rsid w:val="001F0EFC"/>
    <w:rsid w:val="001F20D1"/>
    <w:rsid w:val="00210FEC"/>
    <w:rsid w:val="00215450"/>
    <w:rsid w:val="00224B01"/>
    <w:rsid w:val="0022758C"/>
    <w:rsid w:val="002339B4"/>
    <w:rsid w:val="002609D8"/>
    <w:rsid w:val="00267EA4"/>
    <w:rsid w:val="0027545C"/>
    <w:rsid w:val="00297A00"/>
    <w:rsid w:val="002A53F8"/>
    <w:rsid w:val="002A6659"/>
    <w:rsid w:val="002C3A1C"/>
    <w:rsid w:val="002C759B"/>
    <w:rsid w:val="002E3886"/>
    <w:rsid w:val="002F1DF8"/>
    <w:rsid w:val="0031458F"/>
    <w:rsid w:val="00314612"/>
    <w:rsid w:val="00324A08"/>
    <w:rsid w:val="00332EBF"/>
    <w:rsid w:val="00337031"/>
    <w:rsid w:val="003560ED"/>
    <w:rsid w:val="003936A2"/>
    <w:rsid w:val="003A71F4"/>
    <w:rsid w:val="003B56BB"/>
    <w:rsid w:val="003B7103"/>
    <w:rsid w:val="00440A62"/>
    <w:rsid w:val="00480084"/>
    <w:rsid w:val="00483D18"/>
    <w:rsid w:val="00483D3F"/>
    <w:rsid w:val="004B000A"/>
    <w:rsid w:val="004B0121"/>
    <w:rsid w:val="004B2E02"/>
    <w:rsid w:val="005136B4"/>
    <w:rsid w:val="00514D3B"/>
    <w:rsid w:val="00515BAE"/>
    <w:rsid w:val="00543766"/>
    <w:rsid w:val="005472E9"/>
    <w:rsid w:val="00574622"/>
    <w:rsid w:val="00602F0A"/>
    <w:rsid w:val="00610CFB"/>
    <w:rsid w:val="006139EE"/>
    <w:rsid w:val="00665B38"/>
    <w:rsid w:val="00676C9E"/>
    <w:rsid w:val="006B401C"/>
    <w:rsid w:val="006B5299"/>
    <w:rsid w:val="006D07AF"/>
    <w:rsid w:val="006E35C9"/>
    <w:rsid w:val="006F0262"/>
    <w:rsid w:val="006F751D"/>
    <w:rsid w:val="00715FBE"/>
    <w:rsid w:val="00763D18"/>
    <w:rsid w:val="00765576"/>
    <w:rsid w:val="00776C7C"/>
    <w:rsid w:val="00791864"/>
    <w:rsid w:val="007E1686"/>
    <w:rsid w:val="00805972"/>
    <w:rsid w:val="0089405E"/>
    <w:rsid w:val="008E0AA0"/>
    <w:rsid w:val="008F48C1"/>
    <w:rsid w:val="00903705"/>
    <w:rsid w:val="009363CA"/>
    <w:rsid w:val="00941F78"/>
    <w:rsid w:val="00957237"/>
    <w:rsid w:val="00967DFC"/>
    <w:rsid w:val="009A6BD9"/>
    <w:rsid w:val="009A78CF"/>
    <w:rsid w:val="009D6BB3"/>
    <w:rsid w:val="009F2EBE"/>
    <w:rsid w:val="00A01427"/>
    <w:rsid w:val="00A03847"/>
    <w:rsid w:val="00A1399C"/>
    <w:rsid w:val="00A21259"/>
    <w:rsid w:val="00A800DD"/>
    <w:rsid w:val="00AB6CC5"/>
    <w:rsid w:val="00B1092C"/>
    <w:rsid w:val="00B14B2F"/>
    <w:rsid w:val="00B23EEE"/>
    <w:rsid w:val="00B26039"/>
    <w:rsid w:val="00B34367"/>
    <w:rsid w:val="00B51974"/>
    <w:rsid w:val="00B55922"/>
    <w:rsid w:val="00B65E5B"/>
    <w:rsid w:val="00B84E3A"/>
    <w:rsid w:val="00BC5722"/>
    <w:rsid w:val="00BD3C4E"/>
    <w:rsid w:val="00C07C03"/>
    <w:rsid w:val="00C15013"/>
    <w:rsid w:val="00C61B87"/>
    <w:rsid w:val="00C76C9F"/>
    <w:rsid w:val="00C90785"/>
    <w:rsid w:val="00C941B8"/>
    <w:rsid w:val="00CB612E"/>
    <w:rsid w:val="00CC1CBD"/>
    <w:rsid w:val="00CC296D"/>
    <w:rsid w:val="00CD6763"/>
    <w:rsid w:val="00CF70AB"/>
    <w:rsid w:val="00D647AA"/>
    <w:rsid w:val="00D723D9"/>
    <w:rsid w:val="00D73227"/>
    <w:rsid w:val="00D96AAC"/>
    <w:rsid w:val="00DA24D3"/>
    <w:rsid w:val="00DA2803"/>
    <w:rsid w:val="00DA31FA"/>
    <w:rsid w:val="00DA5255"/>
    <w:rsid w:val="00DA7AA9"/>
    <w:rsid w:val="00DB4B93"/>
    <w:rsid w:val="00DC04A1"/>
    <w:rsid w:val="00DD3436"/>
    <w:rsid w:val="00E32246"/>
    <w:rsid w:val="00E454C7"/>
    <w:rsid w:val="00E90315"/>
    <w:rsid w:val="00EA0CF8"/>
    <w:rsid w:val="00EA14E2"/>
    <w:rsid w:val="00EA283A"/>
    <w:rsid w:val="00EB29EC"/>
    <w:rsid w:val="00EE3ABC"/>
    <w:rsid w:val="00EF40BF"/>
    <w:rsid w:val="00F35796"/>
    <w:rsid w:val="00F3659E"/>
    <w:rsid w:val="00F85E56"/>
    <w:rsid w:val="00FC642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1C20B6"/>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C20B6"/>
    <w:pPr>
      <w:tabs>
        <w:tab w:val="center" w:pos="4252"/>
        <w:tab w:val="right" w:pos="8504"/>
      </w:tabs>
    </w:pPr>
  </w:style>
  <w:style w:type="paragraph" w:styleId="Piedepgina">
    <w:name w:val="footer"/>
    <w:basedOn w:val="Normal"/>
    <w:link w:val="PiedepginaCar"/>
    <w:uiPriority w:val="99"/>
    <w:rsid w:val="001C20B6"/>
    <w:pPr>
      <w:tabs>
        <w:tab w:val="center" w:pos="4252"/>
        <w:tab w:val="right" w:pos="8504"/>
      </w:tabs>
    </w:pPr>
  </w:style>
  <w:style w:type="paragraph" w:styleId="Prrafodelista">
    <w:name w:val="List Paragraph"/>
    <w:basedOn w:val="Normal"/>
    <w:uiPriority w:val="34"/>
    <w:qFormat/>
    <w:rsid w:val="009A78CF"/>
    <w:pPr>
      <w:ind w:left="708"/>
    </w:pPr>
  </w:style>
  <w:style w:type="paragraph" w:styleId="HTMLconformatoprevio">
    <w:name w:val="HTML Preformatted"/>
    <w:basedOn w:val="Normal"/>
    <w:link w:val="HTMLconformatoprevioCar"/>
    <w:rsid w:val="000E4FB7"/>
    <w:rPr>
      <w:rFonts w:ascii="Courier New" w:hAnsi="Courier New" w:cs="Courier New"/>
      <w:sz w:val="20"/>
      <w:szCs w:val="20"/>
    </w:rPr>
  </w:style>
  <w:style w:type="character" w:customStyle="1" w:styleId="HTMLconformatoprevioCar">
    <w:name w:val="HTML con formato previo Car"/>
    <w:link w:val="HTMLconformatoprevio"/>
    <w:rsid w:val="000E4FB7"/>
    <w:rPr>
      <w:rFonts w:ascii="Courier New" w:hAnsi="Courier New" w:cs="Courier New"/>
      <w:lang w:val="es-ES" w:eastAsia="es-ES"/>
    </w:rPr>
  </w:style>
  <w:style w:type="character" w:customStyle="1" w:styleId="PiedepginaCar">
    <w:name w:val="Pie de página Car"/>
    <w:link w:val="Piedepgina"/>
    <w:uiPriority w:val="99"/>
    <w:rsid w:val="0089405E"/>
    <w:rPr>
      <w:sz w:val="24"/>
      <w:szCs w:val="24"/>
      <w:lang w:val="es-ES" w:eastAsia="es-ES"/>
    </w:rPr>
  </w:style>
  <w:style w:type="paragraph" w:styleId="Textodeglobo">
    <w:name w:val="Balloon Text"/>
    <w:basedOn w:val="Normal"/>
    <w:link w:val="TextodegloboCar"/>
    <w:rsid w:val="009363CA"/>
    <w:rPr>
      <w:rFonts w:ascii="Tahoma" w:hAnsi="Tahoma" w:cs="Tahoma"/>
      <w:sz w:val="16"/>
      <w:szCs w:val="16"/>
    </w:rPr>
  </w:style>
  <w:style w:type="character" w:customStyle="1" w:styleId="TextodegloboCar">
    <w:name w:val="Texto de globo Car"/>
    <w:link w:val="Textodeglobo"/>
    <w:rsid w:val="009363CA"/>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1C20B6"/>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C20B6"/>
    <w:pPr>
      <w:tabs>
        <w:tab w:val="center" w:pos="4252"/>
        <w:tab w:val="right" w:pos="8504"/>
      </w:tabs>
    </w:pPr>
  </w:style>
  <w:style w:type="paragraph" w:styleId="Piedepgina">
    <w:name w:val="footer"/>
    <w:basedOn w:val="Normal"/>
    <w:link w:val="PiedepginaCar"/>
    <w:uiPriority w:val="99"/>
    <w:rsid w:val="001C20B6"/>
    <w:pPr>
      <w:tabs>
        <w:tab w:val="center" w:pos="4252"/>
        <w:tab w:val="right" w:pos="8504"/>
      </w:tabs>
    </w:pPr>
  </w:style>
  <w:style w:type="paragraph" w:styleId="Prrafodelista">
    <w:name w:val="List Paragraph"/>
    <w:basedOn w:val="Normal"/>
    <w:uiPriority w:val="34"/>
    <w:qFormat/>
    <w:rsid w:val="009A78CF"/>
    <w:pPr>
      <w:ind w:left="708"/>
    </w:pPr>
  </w:style>
  <w:style w:type="paragraph" w:styleId="HTMLconformatoprevio">
    <w:name w:val="HTML Preformatted"/>
    <w:basedOn w:val="Normal"/>
    <w:link w:val="HTMLconformatoprevioCar"/>
    <w:rsid w:val="000E4FB7"/>
    <w:rPr>
      <w:rFonts w:ascii="Courier New" w:hAnsi="Courier New" w:cs="Courier New"/>
      <w:sz w:val="20"/>
      <w:szCs w:val="20"/>
    </w:rPr>
  </w:style>
  <w:style w:type="character" w:customStyle="1" w:styleId="HTMLconformatoprevioCar">
    <w:name w:val="HTML con formato previo Car"/>
    <w:link w:val="HTMLconformatoprevio"/>
    <w:rsid w:val="000E4FB7"/>
    <w:rPr>
      <w:rFonts w:ascii="Courier New" w:hAnsi="Courier New" w:cs="Courier New"/>
      <w:lang w:val="es-ES" w:eastAsia="es-ES"/>
    </w:rPr>
  </w:style>
  <w:style w:type="character" w:customStyle="1" w:styleId="PiedepginaCar">
    <w:name w:val="Pie de página Car"/>
    <w:link w:val="Piedepgina"/>
    <w:uiPriority w:val="99"/>
    <w:rsid w:val="0089405E"/>
    <w:rPr>
      <w:sz w:val="24"/>
      <w:szCs w:val="24"/>
      <w:lang w:val="es-ES" w:eastAsia="es-ES"/>
    </w:rPr>
  </w:style>
  <w:style w:type="paragraph" w:styleId="Textodeglobo">
    <w:name w:val="Balloon Text"/>
    <w:basedOn w:val="Normal"/>
    <w:link w:val="TextodegloboCar"/>
    <w:rsid w:val="009363CA"/>
    <w:rPr>
      <w:rFonts w:ascii="Tahoma" w:hAnsi="Tahoma" w:cs="Tahoma"/>
      <w:sz w:val="16"/>
      <w:szCs w:val="16"/>
    </w:rPr>
  </w:style>
  <w:style w:type="character" w:customStyle="1" w:styleId="TextodegloboCar">
    <w:name w:val="Texto de globo Car"/>
    <w:link w:val="Textodeglobo"/>
    <w:rsid w:val="009363CA"/>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27481">
      <w:bodyDiv w:val="1"/>
      <w:marLeft w:val="0"/>
      <w:marRight w:val="0"/>
      <w:marTop w:val="0"/>
      <w:marBottom w:val="0"/>
      <w:divBdr>
        <w:top w:val="none" w:sz="0" w:space="0" w:color="auto"/>
        <w:left w:val="none" w:sz="0" w:space="0" w:color="auto"/>
        <w:bottom w:val="none" w:sz="0" w:space="0" w:color="auto"/>
        <w:right w:val="none" w:sz="0" w:space="0" w:color="auto"/>
      </w:divBdr>
      <w:divsChild>
        <w:div w:id="11928127">
          <w:marLeft w:val="0"/>
          <w:marRight w:val="0"/>
          <w:marTop w:val="0"/>
          <w:marBottom w:val="0"/>
          <w:divBdr>
            <w:top w:val="none" w:sz="0" w:space="0" w:color="auto"/>
            <w:left w:val="none" w:sz="0" w:space="0" w:color="auto"/>
            <w:bottom w:val="none" w:sz="0" w:space="0" w:color="auto"/>
            <w:right w:val="none" w:sz="0" w:space="0" w:color="auto"/>
          </w:divBdr>
          <w:divsChild>
            <w:div w:id="2123500832">
              <w:marLeft w:val="-225"/>
              <w:marRight w:val="-225"/>
              <w:marTop w:val="0"/>
              <w:marBottom w:val="0"/>
              <w:divBdr>
                <w:top w:val="none" w:sz="0" w:space="0" w:color="auto"/>
                <w:left w:val="none" w:sz="0" w:space="0" w:color="auto"/>
                <w:bottom w:val="none" w:sz="0" w:space="0" w:color="auto"/>
                <w:right w:val="none" w:sz="0" w:space="0" w:color="auto"/>
              </w:divBdr>
              <w:divsChild>
                <w:div w:id="18650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27339">
      <w:bodyDiv w:val="1"/>
      <w:marLeft w:val="0"/>
      <w:marRight w:val="0"/>
      <w:marTop w:val="0"/>
      <w:marBottom w:val="0"/>
      <w:divBdr>
        <w:top w:val="none" w:sz="0" w:space="0" w:color="auto"/>
        <w:left w:val="none" w:sz="0" w:space="0" w:color="auto"/>
        <w:bottom w:val="none" w:sz="0" w:space="0" w:color="auto"/>
        <w:right w:val="none" w:sz="0" w:space="0" w:color="auto"/>
      </w:divBdr>
    </w:div>
    <w:div w:id="952790091">
      <w:bodyDiv w:val="1"/>
      <w:marLeft w:val="0"/>
      <w:marRight w:val="0"/>
      <w:marTop w:val="0"/>
      <w:marBottom w:val="0"/>
      <w:divBdr>
        <w:top w:val="none" w:sz="0" w:space="0" w:color="auto"/>
        <w:left w:val="none" w:sz="0" w:space="0" w:color="auto"/>
        <w:bottom w:val="none" w:sz="0" w:space="0" w:color="auto"/>
        <w:right w:val="none" w:sz="0" w:space="0" w:color="auto"/>
      </w:divBdr>
      <w:divsChild>
        <w:div w:id="1081831133">
          <w:marLeft w:val="0"/>
          <w:marRight w:val="0"/>
          <w:marTop w:val="0"/>
          <w:marBottom w:val="0"/>
          <w:divBdr>
            <w:top w:val="none" w:sz="0" w:space="0" w:color="auto"/>
            <w:left w:val="none" w:sz="0" w:space="0" w:color="auto"/>
            <w:bottom w:val="none" w:sz="0" w:space="0" w:color="auto"/>
            <w:right w:val="none" w:sz="0" w:space="0" w:color="auto"/>
          </w:divBdr>
          <w:divsChild>
            <w:div w:id="281116542">
              <w:marLeft w:val="-225"/>
              <w:marRight w:val="-225"/>
              <w:marTop w:val="0"/>
              <w:marBottom w:val="0"/>
              <w:divBdr>
                <w:top w:val="none" w:sz="0" w:space="0" w:color="auto"/>
                <w:left w:val="none" w:sz="0" w:space="0" w:color="auto"/>
                <w:bottom w:val="none" w:sz="0" w:space="0" w:color="auto"/>
                <w:right w:val="none" w:sz="0" w:space="0" w:color="auto"/>
              </w:divBdr>
              <w:divsChild>
                <w:div w:id="1478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F068F-077B-4CB4-999A-89625F02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845</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Montevideo, 30 de mayo de 2007</vt:lpstr>
    </vt:vector>
  </TitlesOfParts>
  <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30 de mayo de 2007</dc:title>
  <dc:creator>tribunalcuentas</dc:creator>
  <cp:lastModifiedBy> </cp:lastModifiedBy>
  <cp:revision>3</cp:revision>
  <cp:lastPrinted>2016-06-21T16:17:00Z</cp:lastPrinted>
  <dcterms:created xsi:type="dcterms:W3CDTF">2016-06-21T16:18:00Z</dcterms:created>
  <dcterms:modified xsi:type="dcterms:W3CDTF">2016-09-21T18:58:00Z</dcterms:modified>
</cp:coreProperties>
</file>