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48" w:rsidRPr="00786EEB" w:rsidRDefault="00052D48" w:rsidP="00CB4AB4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4F6968">
        <w:rPr>
          <w:rFonts w:ascii="Arial" w:hAnsi="Arial" w:cs="Arial"/>
          <w:b/>
          <w:sz w:val="28"/>
          <w:szCs w:val="28"/>
          <w:lang w:val="es-ES_tradnl"/>
        </w:rPr>
        <w:t>2345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052D48" w:rsidRPr="004F6968" w:rsidRDefault="00052D48" w:rsidP="00052D48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052D48" w:rsidRPr="004F6968" w:rsidRDefault="00052D48" w:rsidP="004F696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F696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52D48" w:rsidRPr="004F6968" w:rsidRDefault="00052D48" w:rsidP="004F696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52D48" w:rsidRPr="004F6968" w:rsidRDefault="00052D48" w:rsidP="004F696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F696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52D48" w:rsidRPr="004F6968" w:rsidRDefault="00052D48" w:rsidP="004F696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52D48" w:rsidRPr="004F6968" w:rsidRDefault="00052D48" w:rsidP="004F696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F6968">
        <w:rPr>
          <w:rFonts w:ascii="Arial" w:hAnsi="Arial" w:cs="Arial"/>
          <w:b/>
          <w:sz w:val="24"/>
          <w:szCs w:val="24"/>
          <w:lang w:val="es-ES_tradnl"/>
        </w:rPr>
        <w:t>EN SESION DE FECHA 6 DE JULIO DE 2016</w:t>
      </w:r>
    </w:p>
    <w:p w:rsidR="00052D48" w:rsidRPr="004F6968" w:rsidRDefault="00052D48" w:rsidP="004F696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52D48" w:rsidRDefault="00052D48" w:rsidP="004F696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F6968">
        <w:rPr>
          <w:rFonts w:ascii="Arial" w:hAnsi="Arial" w:cs="Arial"/>
          <w:b/>
          <w:sz w:val="24"/>
          <w:szCs w:val="24"/>
          <w:lang w:val="en-US"/>
        </w:rPr>
        <w:t>(E. E. Nº</w:t>
      </w:r>
      <w:r w:rsidR="004F6968" w:rsidRPr="004F6968">
        <w:rPr>
          <w:rFonts w:ascii="Arial" w:hAnsi="Arial" w:cs="Arial"/>
          <w:b/>
          <w:sz w:val="24"/>
          <w:szCs w:val="24"/>
          <w:lang w:val="es-ES"/>
        </w:rPr>
        <w:t>2016-17-1-0003645</w:t>
      </w:r>
      <w:r w:rsidRPr="004F6968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proofErr w:type="gramStart"/>
      <w:r w:rsidRPr="004F6968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4F6968">
        <w:rPr>
          <w:rFonts w:ascii="Arial" w:hAnsi="Arial" w:cs="Arial"/>
          <w:b/>
          <w:sz w:val="24"/>
          <w:szCs w:val="24"/>
          <w:lang w:val="en-US"/>
        </w:rPr>
        <w:t>. N°</w:t>
      </w:r>
      <w:r w:rsidR="004F6968" w:rsidRPr="004F6968">
        <w:rPr>
          <w:rFonts w:ascii="Arial" w:hAnsi="Arial" w:cs="Arial"/>
          <w:b/>
          <w:sz w:val="24"/>
          <w:szCs w:val="24"/>
        </w:rPr>
        <w:t>2793/16</w:t>
      </w:r>
      <w:r w:rsidR="004F6968">
        <w:rPr>
          <w:rFonts w:ascii="Arial" w:hAnsi="Arial" w:cs="Arial"/>
          <w:b/>
          <w:sz w:val="24"/>
          <w:szCs w:val="24"/>
          <w:lang w:val="en-US"/>
        </w:rPr>
        <w:t>)</w:t>
      </w:r>
    </w:p>
    <w:p w:rsidR="004F6968" w:rsidRPr="004F6968" w:rsidRDefault="004F6968" w:rsidP="004F696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7263D1" w:rsidRDefault="007263D1" w:rsidP="00CB4AB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 las actuaciones remitidas por la Administración Nacional de Usinas y Trasmisiones Eléctricas relacionadas con la Licitación Publica </w:t>
      </w:r>
      <w:r w:rsidR="004F6968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Nº P47404, para la ejecución de trabajos de remodelación y ampliación de la red de distribución en el ámbito geográfico de la Gerencia Oeste;</w:t>
      </w:r>
    </w:p>
    <w:p w:rsidR="007263D1" w:rsidRDefault="007263D1" w:rsidP="00CB4AB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cumplidos los trám</w:t>
      </w:r>
      <w:r w:rsidR="004F6968">
        <w:rPr>
          <w:rFonts w:ascii="Arial" w:hAnsi="Arial" w:cs="Arial"/>
          <w:sz w:val="24"/>
          <w:szCs w:val="24"/>
        </w:rPr>
        <w:t>ites de estilo</w:t>
      </w:r>
      <w:r>
        <w:rPr>
          <w:rFonts w:ascii="Arial" w:hAnsi="Arial" w:cs="Arial"/>
          <w:sz w:val="24"/>
          <w:szCs w:val="24"/>
        </w:rPr>
        <w:t>,</w:t>
      </w:r>
      <w:r w:rsidR="004F69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 acto de apertura realizado el 18.12.15, se presentaron las firmas: CLAUGER SA., CITE SA, ELECTROTECNICA NOVAS SA, ORITECNO SA, COMPAÑÍA ELECTROTECNICA INDUSTRIAL SRL, ELECTRICIDAD DURAZNO SRL, MARIO JUIZ FERIA, RIO GOLF SA, CANDELAS SA, y SERVICIOS DE INGENIERIA ELECTRICA URUGUAY SA.  </w:t>
      </w:r>
    </w:p>
    <w:p w:rsidR="007263D1" w:rsidRDefault="007263D1" w:rsidP="00CB4AB4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con fecha 12.2.16, se solicitó al amparo del </w:t>
      </w:r>
      <w:r w:rsidR="004F696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4F6968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65 del T</w:t>
      </w:r>
      <w:r w:rsidR="004F6968">
        <w:rPr>
          <w:rFonts w:ascii="Arial" w:hAnsi="Arial" w:cs="Arial"/>
          <w:sz w:val="24"/>
          <w:szCs w:val="24"/>
        </w:rPr>
        <w:t>OCAF</w:t>
      </w:r>
      <w:r>
        <w:rPr>
          <w:rFonts w:ascii="Arial" w:hAnsi="Arial" w:cs="Arial"/>
          <w:sz w:val="24"/>
          <w:szCs w:val="24"/>
        </w:rPr>
        <w:t xml:space="preserve"> a los oferentes, la siguiente información: a</w:t>
      </w:r>
      <w:r>
        <w:rPr>
          <w:rFonts w:ascii="Arial" w:hAnsi="Arial" w:cs="Arial"/>
          <w:b/>
          <w:bCs/>
          <w:sz w:val="24"/>
          <w:szCs w:val="24"/>
        </w:rPr>
        <w:t>) ORITECNO SA,</w:t>
      </w:r>
      <w:r>
        <w:rPr>
          <w:rFonts w:ascii="Arial" w:hAnsi="Arial" w:cs="Arial"/>
          <w:sz w:val="24"/>
          <w:szCs w:val="24"/>
        </w:rPr>
        <w:t xml:space="preserve"> complementación de antecedentes  en unidades físicas del responsable técnico de montaje, del superintendente y de los capataces, de acuerdo a lo indicado en el pliego de condiciones; b) </w:t>
      </w:r>
      <w:r>
        <w:rPr>
          <w:rFonts w:ascii="Arial" w:hAnsi="Arial" w:cs="Arial"/>
          <w:b/>
          <w:bCs/>
          <w:sz w:val="24"/>
          <w:szCs w:val="24"/>
        </w:rPr>
        <w:t>ELECTROTECNIA NOVAS SA</w:t>
      </w:r>
      <w:r>
        <w:rPr>
          <w:rFonts w:ascii="Arial" w:hAnsi="Arial" w:cs="Arial"/>
          <w:sz w:val="24"/>
          <w:szCs w:val="24"/>
        </w:rPr>
        <w:t xml:space="preserve">, el certificado del MTSS respecto Ley 18.516 vigente a la fecha de apertura ofertas; </w:t>
      </w:r>
      <w:r w:rsidRPr="004F6968">
        <w:rPr>
          <w:rFonts w:ascii="Arial" w:hAnsi="Arial" w:cs="Arial"/>
          <w:bCs/>
          <w:sz w:val="24"/>
          <w:szCs w:val="24"/>
        </w:rPr>
        <w:t>c)</w:t>
      </w:r>
      <w:r>
        <w:rPr>
          <w:rFonts w:ascii="Arial" w:hAnsi="Arial" w:cs="Arial"/>
          <w:b/>
          <w:bCs/>
          <w:sz w:val="24"/>
          <w:szCs w:val="24"/>
        </w:rPr>
        <w:t xml:space="preserve"> RIO GOLF SA</w:t>
      </w:r>
      <w:r>
        <w:rPr>
          <w:rFonts w:ascii="Arial" w:hAnsi="Arial" w:cs="Arial"/>
          <w:sz w:val="24"/>
          <w:szCs w:val="24"/>
        </w:rPr>
        <w:t xml:space="preserve">: certificado emitido por el Organismo certificador, correspondiente a OHSAS 18001-2007; d) </w:t>
      </w:r>
      <w:r>
        <w:rPr>
          <w:rFonts w:ascii="Arial" w:hAnsi="Arial" w:cs="Arial"/>
          <w:b/>
          <w:bCs/>
          <w:sz w:val="24"/>
          <w:szCs w:val="24"/>
        </w:rPr>
        <w:t>COMPAÑÍA ELECTROTECNICA INDUSTRIAL SRL</w:t>
      </w:r>
      <w:r>
        <w:rPr>
          <w:rFonts w:ascii="Arial" w:hAnsi="Arial" w:cs="Arial"/>
          <w:sz w:val="24"/>
          <w:szCs w:val="24"/>
        </w:rPr>
        <w:t xml:space="preserve">: las auditorias de seguimientos realizadas por el Organismo certificador, con respecto a los certificados correspondientes a ISO 9001:2008 y OHSAS 18001:2007 y antecedentes  en unidades físicas del responsable técnico de obras y los capataces, otorgando un plazo de 2 días; </w:t>
      </w:r>
    </w:p>
    <w:p w:rsidR="007263D1" w:rsidRDefault="007263D1" w:rsidP="00CB4AB4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3)</w:t>
      </w:r>
      <w:r>
        <w:rPr>
          <w:b/>
          <w:bCs/>
        </w:rPr>
        <w:t xml:space="preserve"> </w:t>
      </w:r>
      <w:r w:rsidR="004F6968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="004F69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 fecha 19.4.16, la Comisión Asesora procedió al estudio de las ofertas presentadas, y aconsejo a) descartar la oferta de Electrotecnia Novas SA, por no cumplir l</w:t>
      </w:r>
      <w:r w:rsidR="00CB4AB4">
        <w:rPr>
          <w:rFonts w:ascii="Arial" w:hAnsi="Arial" w:cs="Arial"/>
          <w:sz w:val="24"/>
          <w:szCs w:val="24"/>
        </w:rPr>
        <w:t>a firma con lo requerido en el N</w:t>
      </w:r>
      <w:r w:rsidR="004F6968">
        <w:rPr>
          <w:rFonts w:ascii="Arial" w:hAnsi="Arial" w:cs="Arial"/>
          <w:sz w:val="24"/>
          <w:szCs w:val="24"/>
        </w:rPr>
        <w:t>umeral</w:t>
      </w:r>
      <w:r>
        <w:rPr>
          <w:rFonts w:ascii="Arial" w:hAnsi="Arial" w:cs="Arial"/>
          <w:sz w:val="24"/>
          <w:szCs w:val="24"/>
        </w:rPr>
        <w:t xml:space="preserve"> 5.3 del Volumen I del P. de Condiciones, ya que el certificado presentado no acredita saldo suficiente de VECA, para cubrir lo ofertado</w:t>
      </w:r>
      <w:r w:rsidR="00CB4AB4">
        <w:rPr>
          <w:rFonts w:ascii="Arial" w:hAnsi="Arial" w:cs="Arial"/>
          <w:sz w:val="24"/>
          <w:szCs w:val="24"/>
        </w:rPr>
        <w:t xml:space="preserve"> (L</w:t>
      </w:r>
      <w:r>
        <w:rPr>
          <w:rFonts w:ascii="Arial" w:hAnsi="Arial" w:cs="Arial"/>
          <w:sz w:val="24"/>
          <w:szCs w:val="24"/>
        </w:rPr>
        <w:t>iteral c</w:t>
      </w:r>
      <w:r w:rsidR="00CB4AB4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del n</w:t>
      </w:r>
      <w:r w:rsidR="004F6968">
        <w:rPr>
          <w:rFonts w:ascii="Arial" w:hAnsi="Arial" w:cs="Arial"/>
          <w:sz w:val="24"/>
          <w:szCs w:val="24"/>
        </w:rPr>
        <w:t>ume</w:t>
      </w:r>
      <w:r>
        <w:rPr>
          <w:rFonts w:ascii="Arial" w:hAnsi="Arial" w:cs="Arial"/>
          <w:sz w:val="24"/>
          <w:szCs w:val="24"/>
        </w:rPr>
        <w:t xml:space="preserve">ral 10.1 ) y la de la firma </w:t>
      </w:r>
      <w:proofErr w:type="spellStart"/>
      <w:r>
        <w:rPr>
          <w:rFonts w:ascii="Arial" w:hAnsi="Arial" w:cs="Arial"/>
          <w:sz w:val="24"/>
          <w:szCs w:val="24"/>
        </w:rPr>
        <w:t>Oritecno</w:t>
      </w:r>
      <w:proofErr w:type="spellEnd"/>
      <w:r>
        <w:rPr>
          <w:rFonts w:ascii="Arial" w:hAnsi="Arial" w:cs="Arial"/>
          <w:sz w:val="24"/>
          <w:szCs w:val="24"/>
        </w:rPr>
        <w:t xml:space="preserve"> SA, por no cumplir con lo</w:t>
      </w:r>
      <w:r w:rsidR="004F696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requerimientos de experiencia solicitados  y b) entre las restantes  ofertas admisibles, estableció un orden creciente de precios, tomando en consideración la aplicación de las bonificaciones por certificación en la norma ISO 9001 – 2008, y OHSAS 18001, y la aplicación del régimen de protección nacional, de acuerdo a la documentación y declaración realizada por los oferentes, adjudicar a </w:t>
      </w:r>
      <w:r>
        <w:rPr>
          <w:rFonts w:ascii="Arial" w:hAnsi="Arial" w:cs="Arial"/>
          <w:b/>
          <w:bCs/>
          <w:sz w:val="24"/>
          <w:szCs w:val="24"/>
        </w:rPr>
        <w:t>SERVICIOS DE INGENIERIA ELECTRICA</w:t>
      </w:r>
      <w:r w:rsidR="00CB4AB4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URUGUAY SA, </w:t>
      </w:r>
      <w:r w:rsidR="00CB4AB4">
        <w:rPr>
          <w:rFonts w:ascii="Arial" w:hAnsi="Arial" w:cs="Arial"/>
          <w:sz w:val="24"/>
          <w:szCs w:val="24"/>
        </w:rPr>
        <w:t>los ítems 1:</w:t>
      </w:r>
      <w:r>
        <w:rPr>
          <w:rFonts w:ascii="Arial" w:hAnsi="Arial" w:cs="Arial"/>
          <w:sz w:val="24"/>
          <w:szCs w:val="24"/>
        </w:rPr>
        <w:t xml:space="preserve">$ 90.908.400 3: $ 70.937.520,  por un monto total de $ 161.845.920; </w:t>
      </w:r>
      <w:r>
        <w:rPr>
          <w:rFonts w:ascii="Arial" w:hAnsi="Arial" w:cs="Arial"/>
          <w:b/>
          <w:bCs/>
          <w:sz w:val="24"/>
          <w:szCs w:val="24"/>
        </w:rPr>
        <w:t>COMPAÑÍA ELECTROTECNICA INDUSTRIAL SRL</w:t>
      </w:r>
      <w:r>
        <w:rPr>
          <w:rFonts w:ascii="Arial" w:hAnsi="Arial" w:cs="Arial"/>
          <w:sz w:val="24"/>
          <w:szCs w:val="24"/>
        </w:rPr>
        <w:t xml:space="preserve">:, </w:t>
      </w:r>
      <w:r w:rsidR="00CB4AB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Items</w:t>
      </w:r>
      <w:proofErr w:type="spellEnd"/>
      <w:r>
        <w:rPr>
          <w:rFonts w:ascii="Arial" w:hAnsi="Arial" w:cs="Arial"/>
          <w:sz w:val="24"/>
          <w:szCs w:val="24"/>
        </w:rPr>
        <w:t xml:space="preserve"> 2: $ 90.908.400, 4: $ 70.937.520  y  6: $ 33.056.800, por un monto total de $ 194.902.720 y a </w:t>
      </w:r>
      <w:r>
        <w:rPr>
          <w:rFonts w:ascii="Arial" w:hAnsi="Arial" w:cs="Arial"/>
          <w:b/>
          <w:bCs/>
          <w:sz w:val="24"/>
          <w:szCs w:val="24"/>
        </w:rPr>
        <w:t>RIO GOLF SA</w:t>
      </w:r>
      <w:r>
        <w:rPr>
          <w:rFonts w:ascii="Arial" w:hAnsi="Arial" w:cs="Arial"/>
          <w:sz w:val="24"/>
          <w:szCs w:val="24"/>
        </w:rPr>
        <w:t xml:space="preserve"> el ítem 5, por un monto total de </w:t>
      </w:r>
      <w:r w:rsidR="00CB4AB4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>$ 44.076.800, por encontrarse en primer lugar en el orden creciente de precios y ser técnicamente aceptables, y ajustarse sustancialmente a las especificaciones establecidas en el Pliego de Condiciones;</w:t>
      </w:r>
    </w:p>
    <w:p w:rsidR="007263D1" w:rsidRDefault="007263D1" w:rsidP="00CB4AB4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 que  se dio vista de las actuaciones, al amparo de lo dispuesto por el art. 67 del TOCAF;</w:t>
      </w:r>
    </w:p>
    <w:p w:rsidR="007263D1" w:rsidRDefault="007263D1" w:rsidP="00CB4AB4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por Resolución G.G. 10/16 de fe</w:t>
      </w:r>
      <w:r w:rsidR="00CB4AB4">
        <w:rPr>
          <w:rFonts w:ascii="Arial" w:hAnsi="Arial" w:cs="Arial"/>
          <w:sz w:val="24"/>
          <w:szCs w:val="24"/>
        </w:rPr>
        <w:t>cha 26.5.16, el Gerente General</w:t>
      </w:r>
      <w:r>
        <w:rPr>
          <w:rFonts w:ascii="Arial" w:hAnsi="Arial" w:cs="Arial"/>
          <w:sz w:val="24"/>
          <w:szCs w:val="24"/>
        </w:rPr>
        <w:t>,</w:t>
      </w:r>
      <w:r w:rsidR="00CB4A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atribuciones delegadas establecidas por Resolución R.11-1990 del 22.12.11, adjudico el llamado,</w:t>
      </w:r>
      <w:r w:rsidR="00656E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acuerdo a lo aconsejado por la Comi</w:t>
      </w:r>
      <w:r w:rsidR="003C3139">
        <w:rPr>
          <w:rFonts w:ascii="Arial" w:hAnsi="Arial" w:cs="Arial"/>
          <w:sz w:val="24"/>
          <w:szCs w:val="24"/>
        </w:rPr>
        <w:t>sión, por un monto total de $</w:t>
      </w:r>
      <w:r>
        <w:rPr>
          <w:rFonts w:ascii="Arial" w:hAnsi="Arial" w:cs="Arial"/>
          <w:sz w:val="24"/>
          <w:szCs w:val="24"/>
        </w:rPr>
        <w:t>400.825.439</w:t>
      </w:r>
      <w:proofErr w:type="gramStart"/>
      <w:r>
        <w:rPr>
          <w:rFonts w:ascii="Arial" w:hAnsi="Arial" w:cs="Arial"/>
          <w:sz w:val="24"/>
          <w:szCs w:val="24"/>
        </w:rPr>
        <w:t>( incluidos</w:t>
      </w:r>
      <w:proofErr w:type="gramEnd"/>
      <w:r>
        <w:rPr>
          <w:rFonts w:ascii="Arial" w:hAnsi="Arial" w:cs="Arial"/>
          <w:sz w:val="24"/>
          <w:szCs w:val="24"/>
        </w:rPr>
        <w:t xml:space="preserve"> impuestos, imprevistos y previsión por ajustes de precios); </w:t>
      </w:r>
    </w:p>
    <w:p w:rsidR="007263D1" w:rsidRDefault="007263D1" w:rsidP="00CB4AB4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el Departamento de Registro y Control Presupuestal informo  que  el grupo 3, ha sido imputado sin disponibilidad presupuestal para comprometer el mont</w:t>
      </w:r>
      <w:r w:rsidR="00CB4AB4">
        <w:rPr>
          <w:rFonts w:ascii="Arial" w:hAnsi="Arial" w:cs="Arial"/>
          <w:sz w:val="24"/>
          <w:szCs w:val="24"/>
        </w:rPr>
        <w:t>o de $ 13.200.000 (neto) en el E</w:t>
      </w:r>
      <w:r>
        <w:rPr>
          <w:rFonts w:ascii="Arial" w:hAnsi="Arial" w:cs="Arial"/>
          <w:sz w:val="24"/>
          <w:szCs w:val="24"/>
        </w:rPr>
        <w:t xml:space="preserve">jercicio 2016, y que, para comprometer en el </w:t>
      </w:r>
      <w:r w:rsidR="00CB4AB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jercicio 2016 y ejecutar en el </w:t>
      </w:r>
      <w:r w:rsidR="00CB4AB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jercicio </w:t>
      </w:r>
      <w:r>
        <w:rPr>
          <w:rFonts w:ascii="Arial" w:hAnsi="Arial" w:cs="Arial"/>
          <w:sz w:val="24"/>
          <w:szCs w:val="24"/>
        </w:rPr>
        <w:lastRenderedPageBreak/>
        <w:t>2017 y siguientes, dicho grupo presenta créditos disponibles de $ 325.525.600 (neto de impuestos);</w:t>
      </w:r>
    </w:p>
    <w:p w:rsidR="007263D1" w:rsidRDefault="007263D1" w:rsidP="00CB4AB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</w:t>
      </w:r>
      <w:r>
        <w:rPr>
          <w:rFonts w:ascii="Arial" w:hAnsi="Arial" w:cs="Arial"/>
          <w:sz w:val="24"/>
          <w:szCs w:val="24"/>
          <w:lang w:val="es-MX"/>
        </w:rPr>
        <w:t>l</w:t>
      </w:r>
      <w:r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="00A764E9">
        <w:rPr>
          <w:rFonts w:ascii="Arial" w:hAnsi="Arial" w:cs="Arial"/>
          <w:sz w:val="24"/>
          <w:szCs w:val="24"/>
          <w:lang w:val="es-MX"/>
        </w:rPr>
        <w:t>A</w:t>
      </w:r>
      <w:r>
        <w:rPr>
          <w:rFonts w:ascii="Arial" w:hAnsi="Arial" w:cs="Arial"/>
          <w:sz w:val="24"/>
          <w:szCs w:val="24"/>
          <w:lang w:val="es-MX"/>
        </w:rPr>
        <w:t>rt</w:t>
      </w:r>
      <w:r w:rsidR="00A764E9">
        <w:rPr>
          <w:rFonts w:ascii="Arial" w:hAnsi="Arial" w:cs="Arial"/>
          <w:sz w:val="24"/>
          <w:szCs w:val="24"/>
          <w:lang w:val="es-MX"/>
        </w:rPr>
        <w:t>ículo</w:t>
      </w:r>
      <w:r>
        <w:rPr>
          <w:rFonts w:ascii="Arial" w:hAnsi="Arial" w:cs="Arial"/>
          <w:sz w:val="24"/>
          <w:szCs w:val="24"/>
          <w:lang w:val="es-MX"/>
        </w:rPr>
        <w:t xml:space="preserve"> 5.6 apartado 3º del Pliego de Condiciones Particulares, bajo el acápite “presentación de las ofertas”, dispuso: </w:t>
      </w:r>
      <w:r>
        <w:rPr>
          <w:rFonts w:ascii="Arial" w:hAnsi="Arial" w:cs="Arial"/>
          <w:i/>
          <w:iCs/>
          <w:sz w:val="24"/>
          <w:szCs w:val="24"/>
          <w:lang w:val="es-MX"/>
        </w:rPr>
        <w:t>“Asimismo, deberán acompañar a sus ofertas el certificado notarial correspondiente que acredite la capacidad del Administrador, o quien haga sus veces,  en relación a la sociedad…”;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7263D1" w:rsidRDefault="007263D1" w:rsidP="00CB4AB4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2)</w:t>
      </w:r>
      <w:r>
        <w:rPr>
          <w:rFonts w:ascii="Arial" w:hAnsi="Arial" w:cs="Arial"/>
          <w:sz w:val="24"/>
          <w:szCs w:val="24"/>
          <w:lang w:val="es-MX"/>
        </w:rPr>
        <w:t xml:space="preserve"> que  esta exigencia contraviene lo dispuesto por el Pliego Único de Bases y  Condiciones Generales para los Contratos de Obra Pública aprobado por Decreto Nº 131/01</w:t>
      </w:r>
      <w:r w:rsidR="003C3139">
        <w:rPr>
          <w:rFonts w:ascii="Arial" w:hAnsi="Arial" w:cs="Arial"/>
          <w:sz w:val="24"/>
          <w:szCs w:val="24"/>
          <w:lang w:val="es-MX"/>
        </w:rPr>
        <w:t>4 de fecha 19/5/14,  que en su  A</w:t>
      </w:r>
      <w:r>
        <w:rPr>
          <w:rFonts w:ascii="Arial" w:hAnsi="Arial" w:cs="Arial"/>
          <w:sz w:val="24"/>
          <w:szCs w:val="24"/>
          <w:lang w:val="es-MX"/>
        </w:rPr>
        <w:t>rt</w:t>
      </w:r>
      <w:r w:rsidR="003C3139">
        <w:rPr>
          <w:rFonts w:ascii="Arial" w:hAnsi="Arial" w:cs="Arial"/>
          <w:sz w:val="24"/>
          <w:szCs w:val="24"/>
          <w:lang w:val="es-MX"/>
        </w:rPr>
        <w:t xml:space="preserve">ículo </w:t>
      </w:r>
      <w:r>
        <w:rPr>
          <w:rFonts w:ascii="Arial" w:hAnsi="Arial" w:cs="Arial"/>
          <w:sz w:val="24"/>
          <w:szCs w:val="24"/>
          <w:lang w:val="es-MX"/>
        </w:rPr>
        <w:t xml:space="preserve">9 in fine establece que </w:t>
      </w:r>
      <w:r>
        <w:rPr>
          <w:rFonts w:ascii="Arial" w:hAnsi="Arial" w:cs="Arial"/>
          <w:i/>
          <w:iCs/>
          <w:sz w:val="24"/>
          <w:szCs w:val="24"/>
          <w:lang w:val="es-MX"/>
        </w:rPr>
        <w:t>“el Pliego Particular no podrá exigir documentación a la que se pueda acceder a través del RUPE o de cualquier sistema de información de libre acceso.”</w:t>
      </w:r>
      <w:r>
        <w:rPr>
          <w:rFonts w:ascii="Arial" w:hAnsi="Arial" w:cs="Arial"/>
          <w:sz w:val="24"/>
          <w:szCs w:val="24"/>
        </w:rPr>
        <w:t>;</w:t>
      </w:r>
    </w:p>
    <w:p w:rsidR="007263D1" w:rsidRDefault="007263D1" w:rsidP="00CB4AB4">
      <w:pPr>
        <w:spacing w:after="0" w:line="360" w:lineRule="auto"/>
        <w:ind w:firstLine="2977"/>
        <w:jc w:val="both"/>
        <w:rPr>
          <w:rFonts w:ascii="Arial" w:hAnsi="Arial" w:cs="Arial"/>
          <w:i/>
          <w:i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  3)</w:t>
      </w:r>
      <w:r>
        <w:rPr>
          <w:rFonts w:ascii="Arial" w:hAnsi="Arial" w:cs="Arial"/>
          <w:sz w:val="24"/>
          <w:szCs w:val="24"/>
          <w:lang w:val="es-MX"/>
        </w:rPr>
        <w:t xml:space="preserve"> que por otra parte, el </w:t>
      </w:r>
      <w:r w:rsidR="00CB4AB4">
        <w:rPr>
          <w:rFonts w:ascii="Arial" w:hAnsi="Arial" w:cs="Arial"/>
          <w:sz w:val="24"/>
          <w:szCs w:val="24"/>
          <w:lang w:val="es-MX"/>
        </w:rPr>
        <w:t>A</w:t>
      </w:r>
      <w:r>
        <w:rPr>
          <w:rFonts w:ascii="Arial" w:hAnsi="Arial" w:cs="Arial"/>
          <w:sz w:val="24"/>
          <w:szCs w:val="24"/>
          <w:lang w:val="es-MX"/>
        </w:rPr>
        <w:t>rt</w:t>
      </w:r>
      <w:r w:rsidR="00CB4AB4">
        <w:rPr>
          <w:rFonts w:ascii="Arial" w:hAnsi="Arial" w:cs="Arial"/>
          <w:sz w:val="24"/>
          <w:szCs w:val="24"/>
          <w:lang w:val="es-MX"/>
        </w:rPr>
        <w:t>ículo</w:t>
      </w:r>
      <w:r>
        <w:rPr>
          <w:rFonts w:ascii="Arial" w:hAnsi="Arial" w:cs="Arial"/>
          <w:sz w:val="24"/>
          <w:szCs w:val="24"/>
          <w:lang w:val="es-MX"/>
        </w:rPr>
        <w:t xml:space="preserve"> 6.2 del Pliego de Condiciones Particulares estableció: </w:t>
      </w:r>
      <w:r>
        <w:rPr>
          <w:rFonts w:ascii="Arial" w:hAnsi="Arial" w:cs="Arial"/>
          <w:i/>
          <w:iCs/>
          <w:sz w:val="24"/>
          <w:szCs w:val="24"/>
          <w:lang w:val="es-MX"/>
        </w:rPr>
        <w:t>“El oferente listará las desviaciones menores de su oferta con relación a las especificaciones. UTE en los casos en que estime necesario, se reserva el derecho de considerarlas a los efectos comparativos o de rechazar la oferta”;</w:t>
      </w:r>
    </w:p>
    <w:p w:rsidR="007263D1" w:rsidRDefault="007263D1" w:rsidP="00CB4AB4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4) </w:t>
      </w:r>
      <w:r>
        <w:rPr>
          <w:rFonts w:ascii="Arial" w:hAnsi="Arial" w:cs="Arial"/>
          <w:sz w:val="24"/>
          <w:szCs w:val="24"/>
          <w:lang w:val="es-MX"/>
        </w:rPr>
        <w:t xml:space="preserve">que la previsión referida en el Considerando anterior contraviene lo preceptuado por el </w:t>
      </w:r>
      <w:r w:rsidR="00CB4AB4">
        <w:rPr>
          <w:rFonts w:ascii="Arial" w:hAnsi="Arial" w:cs="Arial"/>
          <w:sz w:val="24"/>
          <w:szCs w:val="24"/>
          <w:lang w:val="es-MX"/>
        </w:rPr>
        <w:t>A</w:t>
      </w:r>
      <w:r>
        <w:rPr>
          <w:rFonts w:ascii="Arial" w:hAnsi="Arial" w:cs="Arial"/>
          <w:sz w:val="24"/>
          <w:szCs w:val="24"/>
          <w:lang w:val="es-MX"/>
        </w:rPr>
        <w:t>rt</w:t>
      </w:r>
      <w:r w:rsidR="00CB4AB4">
        <w:rPr>
          <w:rFonts w:ascii="Arial" w:hAnsi="Arial" w:cs="Arial"/>
          <w:sz w:val="24"/>
          <w:szCs w:val="24"/>
          <w:lang w:val="es-MX"/>
        </w:rPr>
        <w:t>ículo</w:t>
      </w:r>
      <w:r>
        <w:rPr>
          <w:rFonts w:ascii="Arial" w:hAnsi="Arial" w:cs="Arial"/>
          <w:sz w:val="24"/>
          <w:szCs w:val="24"/>
          <w:lang w:val="es-MX"/>
        </w:rPr>
        <w:t xml:space="preserve"> 63 del T.O.C.A.F., que  exige que los oferentes presenten sus propuestas en las condiciones y formas requeridas, en tanto permite que los proponentes presenten apartamientos a las bases del llamado, vulnerando asimismo</w:t>
      </w:r>
      <w:r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los postulados del </w:t>
      </w:r>
      <w:r>
        <w:rPr>
          <w:rFonts w:ascii="Arial" w:hAnsi="Arial" w:cs="Arial"/>
          <w:sz w:val="24"/>
          <w:szCs w:val="24"/>
        </w:rPr>
        <w:t>principio de estricto cumplimiento del Pliego de Condiciones, el que deriva de los principios de legalidad e igualdad de los oferentes (</w:t>
      </w:r>
      <w:r w:rsidR="00CB4AB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CB4AB4">
        <w:rPr>
          <w:rFonts w:ascii="Arial" w:hAnsi="Arial" w:cs="Arial"/>
          <w:sz w:val="24"/>
          <w:szCs w:val="24"/>
        </w:rPr>
        <w:t>ículo 149 L</w:t>
      </w:r>
      <w:r>
        <w:rPr>
          <w:rFonts w:ascii="Arial" w:hAnsi="Arial" w:cs="Arial"/>
          <w:sz w:val="24"/>
          <w:szCs w:val="24"/>
        </w:rPr>
        <w:t>it</w:t>
      </w:r>
      <w:r w:rsidR="00CB4AB4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B) del T.O.C.A.F.);</w:t>
      </w:r>
    </w:p>
    <w:p w:rsidR="007263D1" w:rsidRDefault="007263D1" w:rsidP="00CB4AB4">
      <w:pPr>
        <w:spacing w:after="0" w:line="360" w:lineRule="auto"/>
        <w:ind w:firstLine="311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en el </w:t>
      </w:r>
      <w:r w:rsidR="00CB4AB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CB4AB4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64 del TOCAF se establece que  “</w:t>
      </w:r>
      <w:r>
        <w:rPr>
          <w:rFonts w:ascii="Arial" w:hAnsi="Arial" w:cs="Arial"/>
          <w:i/>
          <w:iCs/>
          <w:sz w:val="24"/>
          <w:szCs w:val="24"/>
        </w:rPr>
        <w:t xml:space="preserve">los oferentes podrán garantizar el mantenimiento de su oferta mediante deposito en efectivo o en valores públicos……, por un valor fijo en moneda nacional o extranjera que la administración deberá determinar expresamente </w:t>
      </w:r>
      <w:r>
        <w:rPr>
          <w:rFonts w:ascii="Arial" w:hAnsi="Arial" w:cs="Arial"/>
          <w:i/>
          <w:iCs/>
          <w:sz w:val="24"/>
          <w:szCs w:val="24"/>
        </w:rPr>
        <w:lastRenderedPageBreak/>
        <w:t>en el pliego particular. Cada oferente podrá optar por no presentar garantía si ella no es obligatoria….”</w:t>
      </w:r>
    </w:p>
    <w:p w:rsidR="007263D1" w:rsidRDefault="007263D1" w:rsidP="00CB4AB4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</w:rPr>
        <w:t xml:space="preserve">6) </w:t>
      </w:r>
      <w:r>
        <w:rPr>
          <w:rFonts w:ascii="Arial" w:hAnsi="Arial" w:cs="Arial"/>
          <w:sz w:val="24"/>
          <w:szCs w:val="24"/>
        </w:rPr>
        <w:t xml:space="preserve">que no surge del pliego en forma precisa cual es el monto fijado para el mantenimiento de oferta, en caso de optar por la presentación de la misma; </w:t>
      </w:r>
    </w:p>
    <w:p w:rsidR="007263D1" w:rsidRDefault="007263D1" w:rsidP="00CB4AB4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7)</w:t>
      </w:r>
      <w:r>
        <w:rPr>
          <w:rFonts w:ascii="Arial" w:hAnsi="Arial" w:cs="Arial"/>
          <w:sz w:val="24"/>
          <w:szCs w:val="24"/>
        </w:rPr>
        <w:t xml:space="preserve"> que asimismo, se contravino el </w:t>
      </w:r>
      <w:r w:rsidR="00CB4AB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CB4AB4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15 del TOCAF al  comprometerse  un gasto sin disponibilidad presupuestal en el rubro de imputación, para el </w:t>
      </w:r>
      <w:r w:rsidR="00656EF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jercicio 2016;</w:t>
      </w:r>
    </w:p>
    <w:p w:rsidR="007263D1" w:rsidRDefault="007263D1" w:rsidP="00B306F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ATENTO:</w:t>
      </w:r>
      <w:r w:rsidR="00CB4AB4">
        <w:rPr>
          <w:rFonts w:ascii="Arial" w:hAnsi="Arial" w:cs="Arial"/>
          <w:sz w:val="24"/>
          <w:szCs w:val="24"/>
        </w:rPr>
        <w:t xml:space="preserve"> a lo dispuesto por el A</w:t>
      </w:r>
      <w:r>
        <w:rPr>
          <w:rFonts w:ascii="Arial" w:hAnsi="Arial" w:cs="Arial"/>
          <w:sz w:val="24"/>
          <w:szCs w:val="24"/>
        </w:rPr>
        <w:t>rt</w:t>
      </w:r>
      <w:r w:rsidR="00CB4AB4">
        <w:rPr>
          <w:rFonts w:ascii="Arial" w:hAnsi="Arial" w:cs="Arial"/>
          <w:sz w:val="24"/>
          <w:szCs w:val="24"/>
        </w:rPr>
        <w:t>ículo</w:t>
      </w:r>
      <w:r w:rsidR="00656EFC">
        <w:rPr>
          <w:rFonts w:ascii="Arial" w:hAnsi="Arial" w:cs="Arial"/>
          <w:sz w:val="24"/>
          <w:szCs w:val="24"/>
        </w:rPr>
        <w:t xml:space="preserve"> 211 L</w:t>
      </w:r>
      <w:r>
        <w:rPr>
          <w:rFonts w:ascii="Arial" w:hAnsi="Arial" w:cs="Arial"/>
          <w:sz w:val="24"/>
          <w:szCs w:val="24"/>
        </w:rPr>
        <w:t>it</w:t>
      </w:r>
      <w:r w:rsidR="00656EFC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B) de la</w:t>
      </w:r>
      <w:r w:rsidR="00656EFC">
        <w:rPr>
          <w:rFonts w:ascii="Arial" w:hAnsi="Arial" w:cs="Arial"/>
          <w:sz w:val="24"/>
          <w:szCs w:val="24"/>
        </w:rPr>
        <w:t xml:space="preserve"> Constitución de la Republica; </w:t>
      </w:r>
    </w:p>
    <w:p w:rsidR="007263D1" w:rsidRDefault="007263D1" w:rsidP="00CB4AB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7263D1" w:rsidRDefault="007263D1" w:rsidP="00CB4AB4">
      <w:pPr>
        <w:pStyle w:val="Prrafodelista"/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Observar el gasto </w:t>
      </w:r>
    </w:p>
    <w:p w:rsidR="007263D1" w:rsidRDefault="007263D1" w:rsidP="00CB4AB4">
      <w:pPr>
        <w:pStyle w:val="Prrafodelista"/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actuaciones.</w:t>
      </w:r>
    </w:p>
    <w:p w:rsidR="007263D1" w:rsidRDefault="007263D1" w:rsidP="00CB4AB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263D1" w:rsidRDefault="007263D1">
      <w:pPr>
        <w:jc w:val="both"/>
        <w:rPr>
          <w:rFonts w:ascii="Arial" w:hAnsi="Arial" w:cs="Arial"/>
          <w:sz w:val="24"/>
          <w:szCs w:val="24"/>
        </w:rPr>
      </w:pPr>
    </w:p>
    <w:p w:rsidR="007263D1" w:rsidRDefault="00656E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CLC</w:t>
      </w:r>
    </w:p>
    <w:sectPr w:rsidR="007263D1" w:rsidSect="00CB4AB4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10C3E"/>
    <w:multiLevelType w:val="hybridMultilevel"/>
    <w:tmpl w:val="9A6A52C0"/>
    <w:lvl w:ilvl="0" w:tplc="066A5F2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63D1"/>
    <w:rsid w:val="00052D48"/>
    <w:rsid w:val="003C3139"/>
    <w:rsid w:val="004F6968"/>
    <w:rsid w:val="00656EFC"/>
    <w:rsid w:val="007263D1"/>
    <w:rsid w:val="00A764E9"/>
    <w:rsid w:val="00B306FF"/>
    <w:rsid w:val="00CB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pPr>
      <w:spacing w:after="0" w:line="360" w:lineRule="auto"/>
      <w:jc w:val="both"/>
    </w:pPr>
    <w:rPr>
      <w:rFonts w:ascii="Arial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Arial" w:hAnsi="Arial" w:cs="Arial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952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 2016-17-1-3645</vt:lpstr>
    </vt:vector>
  </TitlesOfParts>
  <Company>Tribunal de Cuentas</Company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 2016-17-1-3645</dc:title>
  <dc:creator>Tribunal1</dc:creator>
  <cp:lastModifiedBy>Tribunal1</cp:lastModifiedBy>
  <cp:revision>4</cp:revision>
  <cp:lastPrinted>2016-06-24T18:53:00Z</cp:lastPrinted>
  <dcterms:created xsi:type="dcterms:W3CDTF">2016-07-07T18:36:00Z</dcterms:created>
  <dcterms:modified xsi:type="dcterms:W3CDTF">2016-07-07T19:30:00Z</dcterms:modified>
</cp:coreProperties>
</file>