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634" w:rsidRPr="00AC3019" w:rsidRDefault="00B43634" w:rsidP="00AC3019">
      <w:pPr>
        <w:tabs>
          <w:tab w:val="center" w:pos="4253"/>
        </w:tabs>
        <w:suppressAutoHyphens/>
        <w:spacing w:line="360" w:lineRule="auto"/>
        <w:jc w:val="right"/>
        <w:rPr>
          <w:rFonts w:ascii="Arial" w:hAnsi="Arial" w:cs="Arial"/>
          <w:b/>
          <w:sz w:val="24"/>
          <w:szCs w:val="24"/>
          <w:lang w:val="es-ES_tradnl"/>
        </w:rPr>
      </w:pPr>
      <w:bookmarkStart w:id="0" w:name="_GoBack"/>
      <w:bookmarkEnd w:id="0"/>
      <w:r w:rsidRPr="00AC3019">
        <w:rPr>
          <w:rFonts w:ascii="Arial" w:hAnsi="Arial" w:cs="Arial"/>
          <w:b/>
          <w:sz w:val="24"/>
          <w:szCs w:val="24"/>
          <w:lang w:val="es-ES_tradnl"/>
        </w:rPr>
        <w:t>RES.</w:t>
      </w:r>
      <w:r w:rsidR="008B1CCD">
        <w:rPr>
          <w:rFonts w:ascii="Arial" w:hAnsi="Arial" w:cs="Arial"/>
          <w:b/>
          <w:sz w:val="24"/>
          <w:szCs w:val="24"/>
          <w:lang w:val="es-ES_tradnl"/>
        </w:rPr>
        <w:t xml:space="preserve"> </w:t>
      </w:r>
      <w:r w:rsidR="00AC3019" w:rsidRPr="00AC3019">
        <w:rPr>
          <w:rFonts w:ascii="Arial" w:hAnsi="Arial" w:cs="Arial"/>
          <w:b/>
          <w:sz w:val="24"/>
          <w:szCs w:val="24"/>
          <w:lang w:val="es-ES_tradnl"/>
        </w:rPr>
        <w:t>2374</w:t>
      </w:r>
      <w:r w:rsidRPr="00AC3019">
        <w:rPr>
          <w:rFonts w:ascii="Arial" w:hAnsi="Arial" w:cs="Arial"/>
          <w:b/>
          <w:sz w:val="24"/>
          <w:szCs w:val="24"/>
          <w:lang w:val="es-ES_tradnl"/>
        </w:rPr>
        <w:t>/16</w:t>
      </w:r>
    </w:p>
    <w:p w:rsidR="00AC3019" w:rsidRDefault="00AC3019" w:rsidP="00AC3019">
      <w:pPr>
        <w:tabs>
          <w:tab w:val="center" w:pos="4253"/>
        </w:tabs>
        <w:suppressAutoHyphens/>
        <w:spacing w:line="360" w:lineRule="auto"/>
        <w:jc w:val="center"/>
        <w:rPr>
          <w:rFonts w:ascii="Arial" w:hAnsi="Arial" w:cs="Arial"/>
          <w:b/>
          <w:sz w:val="24"/>
          <w:szCs w:val="24"/>
          <w:lang w:val="es-ES_tradnl"/>
        </w:rPr>
      </w:pPr>
      <w:r>
        <w:rPr>
          <w:rFonts w:ascii="Arial" w:hAnsi="Arial" w:cs="Arial"/>
          <w:b/>
          <w:sz w:val="24"/>
          <w:szCs w:val="24"/>
          <w:lang w:val="es-ES_tradnl"/>
        </w:rPr>
        <w:t>RESOLUCION ADOPTADA POR EL</w:t>
      </w:r>
    </w:p>
    <w:p w:rsidR="00B43634" w:rsidRPr="00AC3019" w:rsidRDefault="00B43634" w:rsidP="00AC3019">
      <w:pPr>
        <w:tabs>
          <w:tab w:val="center" w:pos="4253"/>
        </w:tabs>
        <w:suppressAutoHyphens/>
        <w:spacing w:line="360" w:lineRule="auto"/>
        <w:jc w:val="center"/>
        <w:rPr>
          <w:rFonts w:ascii="Arial" w:hAnsi="Arial" w:cs="Arial"/>
          <w:b/>
          <w:sz w:val="24"/>
          <w:szCs w:val="24"/>
          <w:lang w:val="es-ES_tradnl"/>
        </w:rPr>
      </w:pPr>
      <w:r w:rsidRPr="00AC3019">
        <w:rPr>
          <w:rFonts w:ascii="Arial" w:hAnsi="Arial" w:cs="Arial"/>
          <w:b/>
          <w:sz w:val="24"/>
          <w:szCs w:val="24"/>
          <w:lang w:val="es-ES_tradnl"/>
        </w:rPr>
        <w:t>TRIBUNAL DE CUENTAS</w:t>
      </w:r>
    </w:p>
    <w:p w:rsidR="00B43634" w:rsidRDefault="00B43634" w:rsidP="00AC3019">
      <w:pPr>
        <w:tabs>
          <w:tab w:val="center" w:pos="4253"/>
        </w:tabs>
        <w:suppressAutoHyphens/>
        <w:spacing w:line="360" w:lineRule="auto"/>
        <w:jc w:val="center"/>
        <w:rPr>
          <w:rFonts w:ascii="Arial" w:hAnsi="Arial" w:cs="Arial"/>
          <w:b/>
          <w:sz w:val="24"/>
          <w:szCs w:val="24"/>
          <w:lang w:val="es-ES_tradnl"/>
        </w:rPr>
      </w:pPr>
      <w:r w:rsidRPr="00AC3019">
        <w:rPr>
          <w:rFonts w:ascii="Arial" w:hAnsi="Arial" w:cs="Arial"/>
          <w:b/>
          <w:sz w:val="24"/>
          <w:szCs w:val="24"/>
          <w:lang w:val="es-ES_tradnl"/>
        </w:rPr>
        <w:t>EN SESION DE FECHA 6 DE JULIO DE 2016</w:t>
      </w:r>
    </w:p>
    <w:p w:rsidR="00AC3019" w:rsidRDefault="00370BBD" w:rsidP="00370BBD">
      <w:pPr>
        <w:tabs>
          <w:tab w:val="center" w:pos="4253"/>
        </w:tabs>
        <w:suppressAutoHyphens/>
        <w:spacing w:line="360" w:lineRule="auto"/>
        <w:jc w:val="center"/>
        <w:rPr>
          <w:rFonts w:ascii="Arial" w:hAnsi="Arial" w:cs="Arial"/>
          <w:b/>
          <w:sz w:val="24"/>
          <w:szCs w:val="24"/>
        </w:rPr>
      </w:pPr>
      <w:r>
        <w:rPr>
          <w:rFonts w:ascii="Arial" w:hAnsi="Arial" w:cs="Arial"/>
          <w:b/>
          <w:sz w:val="24"/>
          <w:szCs w:val="24"/>
          <w:lang w:val="es-ES_tradnl"/>
        </w:rPr>
        <w:t>(E.</w:t>
      </w:r>
      <w:r w:rsidR="008B1CCD">
        <w:rPr>
          <w:rFonts w:ascii="Arial" w:hAnsi="Arial" w:cs="Arial"/>
          <w:b/>
          <w:sz w:val="24"/>
          <w:szCs w:val="24"/>
          <w:lang w:val="es-ES_tradnl"/>
        </w:rPr>
        <w:t xml:space="preserve"> </w:t>
      </w:r>
      <w:r>
        <w:rPr>
          <w:rFonts w:ascii="Arial" w:hAnsi="Arial" w:cs="Arial"/>
          <w:b/>
          <w:sz w:val="24"/>
          <w:szCs w:val="24"/>
          <w:lang w:val="es-ES_tradnl"/>
        </w:rPr>
        <w:t>E. N° 2016-17-1-0001516, E.</w:t>
      </w:r>
      <w:r w:rsidR="008B1CCD">
        <w:rPr>
          <w:rFonts w:ascii="Arial" w:hAnsi="Arial" w:cs="Arial"/>
          <w:b/>
          <w:sz w:val="24"/>
          <w:szCs w:val="24"/>
          <w:lang w:val="es-ES_tradnl"/>
        </w:rPr>
        <w:t xml:space="preserve"> </w:t>
      </w:r>
      <w:r>
        <w:rPr>
          <w:rFonts w:ascii="Arial" w:hAnsi="Arial" w:cs="Arial"/>
          <w:b/>
          <w:sz w:val="24"/>
          <w:szCs w:val="24"/>
          <w:lang w:val="es-ES_tradnl"/>
        </w:rPr>
        <w:t>N°</w:t>
      </w:r>
      <w:r w:rsidR="008B1CCD">
        <w:rPr>
          <w:rFonts w:ascii="Arial" w:hAnsi="Arial" w:cs="Arial"/>
          <w:b/>
          <w:sz w:val="24"/>
          <w:szCs w:val="24"/>
          <w:lang w:val="es-ES_tradnl"/>
        </w:rPr>
        <w:t xml:space="preserve"> </w:t>
      </w:r>
      <w:r>
        <w:rPr>
          <w:rFonts w:ascii="Arial" w:hAnsi="Arial" w:cs="Arial"/>
          <w:b/>
          <w:sz w:val="24"/>
          <w:szCs w:val="24"/>
          <w:lang w:val="es-ES_tradnl"/>
        </w:rPr>
        <w:t>1152/16)</w:t>
      </w:r>
    </w:p>
    <w:p w:rsidR="00AC3019" w:rsidRDefault="000C7278" w:rsidP="00AC3019">
      <w:pPr>
        <w:spacing w:after="0" w:line="360" w:lineRule="auto"/>
        <w:ind w:firstLine="851"/>
        <w:jc w:val="both"/>
        <w:rPr>
          <w:rFonts w:ascii="Arial" w:hAnsi="Arial" w:cs="Arial"/>
          <w:sz w:val="24"/>
          <w:szCs w:val="24"/>
        </w:rPr>
      </w:pPr>
      <w:r w:rsidRPr="00AC3019">
        <w:rPr>
          <w:rFonts w:ascii="Arial" w:hAnsi="Arial" w:cs="Arial"/>
          <w:b/>
          <w:sz w:val="24"/>
          <w:szCs w:val="24"/>
        </w:rPr>
        <w:t xml:space="preserve">VISTO: </w:t>
      </w:r>
      <w:r w:rsidRPr="00AC3019">
        <w:rPr>
          <w:rFonts w:ascii="Arial" w:hAnsi="Arial" w:cs="Arial"/>
          <w:sz w:val="24"/>
          <w:szCs w:val="24"/>
        </w:rPr>
        <w:t>las actuaciones remitidas por la Agencia Nacional de Vivienda relacionadas con la Licitación Abrevia</w:t>
      </w:r>
      <w:r w:rsidR="00AC3019">
        <w:rPr>
          <w:rFonts w:ascii="Arial" w:hAnsi="Arial" w:cs="Arial"/>
          <w:sz w:val="24"/>
          <w:szCs w:val="24"/>
        </w:rPr>
        <w:t>da Ampliada N° 02/2015 para la c</w:t>
      </w:r>
      <w:r w:rsidRPr="00AC3019">
        <w:rPr>
          <w:rFonts w:ascii="Arial" w:hAnsi="Arial" w:cs="Arial"/>
          <w:sz w:val="24"/>
          <w:szCs w:val="24"/>
        </w:rPr>
        <w:t>ontratación de una empresa proveedora de servicios contables, fideicomisos y carteras administradas;</w:t>
      </w:r>
    </w:p>
    <w:p w:rsidR="00863F6C" w:rsidRPr="00AC3019" w:rsidRDefault="00AC3019" w:rsidP="00AC3019">
      <w:pPr>
        <w:spacing w:after="0" w:line="360" w:lineRule="auto"/>
        <w:ind w:firstLine="851"/>
        <w:jc w:val="both"/>
        <w:rPr>
          <w:rFonts w:ascii="Arial" w:hAnsi="Arial" w:cs="Arial"/>
          <w:sz w:val="24"/>
          <w:szCs w:val="24"/>
        </w:rPr>
      </w:pPr>
      <w:r>
        <w:rPr>
          <w:rFonts w:ascii="Arial" w:hAnsi="Arial" w:cs="Arial"/>
          <w:b/>
          <w:sz w:val="24"/>
          <w:szCs w:val="24"/>
        </w:rPr>
        <w:t xml:space="preserve">RESULTANDO: </w:t>
      </w:r>
      <w:r w:rsidR="00AB24EA" w:rsidRPr="00AC3019">
        <w:rPr>
          <w:rFonts w:ascii="Arial" w:hAnsi="Arial" w:cs="Arial"/>
          <w:b/>
          <w:sz w:val="24"/>
          <w:szCs w:val="24"/>
        </w:rPr>
        <w:t>1)</w:t>
      </w:r>
      <w:r w:rsidR="00863F6C" w:rsidRPr="00AC3019">
        <w:rPr>
          <w:rFonts w:ascii="Arial" w:hAnsi="Arial" w:cs="Arial"/>
          <w:sz w:val="24"/>
          <w:szCs w:val="24"/>
        </w:rPr>
        <w:t xml:space="preserve"> </w:t>
      </w:r>
      <w:r w:rsidR="00AB24EA" w:rsidRPr="00AC3019">
        <w:rPr>
          <w:rFonts w:ascii="Arial" w:hAnsi="Arial" w:cs="Arial"/>
          <w:sz w:val="24"/>
          <w:szCs w:val="24"/>
        </w:rPr>
        <w:t xml:space="preserve">que </w:t>
      </w:r>
      <w:r w:rsidR="00863F6C" w:rsidRPr="00AC3019">
        <w:rPr>
          <w:rFonts w:ascii="Arial" w:hAnsi="Arial" w:cs="Arial"/>
          <w:sz w:val="24"/>
          <w:szCs w:val="24"/>
        </w:rPr>
        <w:t>habiéndose realizado las publicaciones de estilo, con fecha 06</w:t>
      </w:r>
      <w:r>
        <w:rPr>
          <w:rFonts w:ascii="Arial" w:hAnsi="Arial" w:cs="Arial"/>
          <w:sz w:val="24"/>
          <w:szCs w:val="24"/>
        </w:rPr>
        <w:t>/</w:t>
      </w:r>
      <w:r w:rsidR="00863F6C" w:rsidRPr="00AC3019">
        <w:rPr>
          <w:rFonts w:ascii="Arial" w:hAnsi="Arial" w:cs="Arial"/>
          <w:sz w:val="24"/>
          <w:szCs w:val="24"/>
        </w:rPr>
        <w:t>05</w:t>
      </w:r>
      <w:r>
        <w:rPr>
          <w:rFonts w:ascii="Arial" w:hAnsi="Arial" w:cs="Arial"/>
          <w:sz w:val="24"/>
          <w:szCs w:val="24"/>
        </w:rPr>
        <w:t>/</w:t>
      </w:r>
      <w:r w:rsidR="00863F6C" w:rsidRPr="00AC3019">
        <w:rPr>
          <w:rFonts w:ascii="Arial" w:hAnsi="Arial" w:cs="Arial"/>
          <w:sz w:val="24"/>
          <w:szCs w:val="24"/>
        </w:rPr>
        <w:t xml:space="preserve">15 se procedió al acto de apertura de ofertas al que se presentaron ocho </w:t>
      </w:r>
      <w:r w:rsidR="008E6AB1" w:rsidRPr="00AC3019">
        <w:rPr>
          <w:rFonts w:ascii="Arial" w:hAnsi="Arial" w:cs="Arial"/>
          <w:sz w:val="24"/>
          <w:szCs w:val="24"/>
        </w:rPr>
        <w:t>proponentes</w:t>
      </w:r>
      <w:r w:rsidR="00863F6C" w:rsidRPr="00AC3019">
        <w:rPr>
          <w:rFonts w:ascii="Arial" w:hAnsi="Arial" w:cs="Arial"/>
          <w:sz w:val="24"/>
          <w:szCs w:val="24"/>
        </w:rPr>
        <w:t xml:space="preserve">: Price </w:t>
      </w:r>
      <w:proofErr w:type="spellStart"/>
      <w:r w:rsidR="00863F6C" w:rsidRPr="00AC3019">
        <w:rPr>
          <w:rFonts w:ascii="Arial" w:hAnsi="Arial" w:cs="Arial"/>
          <w:sz w:val="24"/>
          <w:szCs w:val="24"/>
        </w:rPr>
        <w:t>Waterhouse</w:t>
      </w:r>
      <w:proofErr w:type="spellEnd"/>
      <w:r w:rsidR="00863F6C" w:rsidRPr="00AC3019">
        <w:rPr>
          <w:rFonts w:ascii="Arial" w:hAnsi="Arial" w:cs="Arial"/>
          <w:sz w:val="24"/>
          <w:szCs w:val="24"/>
        </w:rPr>
        <w:t xml:space="preserve"> </w:t>
      </w:r>
      <w:proofErr w:type="spellStart"/>
      <w:r w:rsidR="00863F6C" w:rsidRPr="00AC3019">
        <w:rPr>
          <w:rFonts w:ascii="Arial" w:hAnsi="Arial" w:cs="Arial"/>
          <w:sz w:val="24"/>
          <w:szCs w:val="24"/>
        </w:rPr>
        <w:t>Coopers</w:t>
      </w:r>
      <w:proofErr w:type="spellEnd"/>
      <w:r w:rsidR="00863F6C" w:rsidRPr="00AC3019">
        <w:rPr>
          <w:rFonts w:ascii="Arial" w:hAnsi="Arial" w:cs="Arial"/>
          <w:sz w:val="24"/>
          <w:szCs w:val="24"/>
        </w:rPr>
        <w:t xml:space="preserve"> S.A</w:t>
      </w:r>
      <w:r w:rsidR="001E38E4">
        <w:rPr>
          <w:rFonts w:ascii="Arial" w:hAnsi="Arial" w:cs="Arial"/>
          <w:sz w:val="24"/>
          <w:szCs w:val="24"/>
        </w:rPr>
        <w:t>.</w:t>
      </w:r>
      <w:r w:rsidR="00863F6C" w:rsidRPr="00AC3019">
        <w:rPr>
          <w:rFonts w:ascii="Arial" w:hAnsi="Arial" w:cs="Arial"/>
          <w:sz w:val="24"/>
          <w:szCs w:val="24"/>
        </w:rPr>
        <w:t xml:space="preserve">; </w:t>
      </w:r>
      <w:proofErr w:type="spellStart"/>
      <w:r w:rsidR="00863F6C" w:rsidRPr="00AC3019">
        <w:rPr>
          <w:rFonts w:ascii="Arial" w:hAnsi="Arial" w:cs="Arial"/>
          <w:sz w:val="24"/>
          <w:szCs w:val="24"/>
        </w:rPr>
        <w:t>Kisbur</w:t>
      </w:r>
      <w:proofErr w:type="spellEnd"/>
      <w:r w:rsidR="00863F6C" w:rsidRPr="00AC3019">
        <w:rPr>
          <w:rFonts w:ascii="Arial" w:hAnsi="Arial" w:cs="Arial"/>
          <w:sz w:val="24"/>
          <w:szCs w:val="24"/>
        </w:rPr>
        <w:t xml:space="preserve"> S.A</w:t>
      </w:r>
      <w:r w:rsidR="001E38E4">
        <w:rPr>
          <w:rFonts w:ascii="Arial" w:hAnsi="Arial" w:cs="Arial"/>
          <w:sz w:val="24"/>
          <w:szCs w:val="24"/>
        </w:rPr>
        <w:t>.</w:t>
      </w:r>
      <w:r w:rsidR="00863F6C" w:rsidRPr="00AC3019">
        <w:rPr>
          <w:rFonts w:ascii="Arial" w:hAnsi="Arial" w:cs="Arial"/>
          <w:sz w:val="24"/>
          <w:szCs w:val="24"/>
        </w:rPr>
        <w:t xml:space="preserve">; </w:t>
      </w:r>
      <w:proofErr w:type="spellStart"/>
      <w:r w:rsidR="00863F6C" w:rsidRPr="00AC3019">
        <w:rPr>
          <w:rFonts w:ascii="Arial" w:hAnsi="Arial" w:cs="Arial"/>
          <w:sz w:val="24"/>
          <w:szCs w:val="24"/>
        </w:rPr>
        <w:t>Ed</w:t>
      </w:r>
      <w:r>
        <w:rPr>
          <w:rFonts w:ascii="Arial" w:hAnsi="Arial" w:cs="Arial"/>
          <w:sz w:val="24"/>
          <w:szCs w:val="24"/>
        </w:rPr>
        <w:t>imur</w:t>
      </w:r>
      <w:proofErr w:type="spellEnd"/>
      <w:r>
        <w:rPr>
          <w:rFonts w:ascii="Arial" w:hAnsi="Arial" w:cs="Arial"/>
          <w:sz w:val="24"/>
          <w:szCs w:val="24"/>
        </w:rPr>
        <w:t xml:space="preserve"> S.A</w:t>
      </w:r>
      <w:r w:rsidR="001E38E4">
        <w:rPr>
          <w:rFonts w:ascii="Arial" w:hAnsi="Arial" w:cs="Arial"/>
          <w:sz w:val="24"/>
          <w:szCs w:val="24"/>
        </w:rPr>
        <w:t>.</w:t>
      </w:r>
      <w:r>
        <w:rPr>
          <w:rFonts w:ascii="Arial" w:hAnsi="Arial" w:cs="Arial"/>
          <w:sz w:val="24"/>
          <w:szCs w:val="24"/>
        </w:rPr>
        <w:t xml:space="preserve">; GP </w:t>
      </w:r>
      <w:proofErr w:type="spellStart"/>
      <w:r>
        <w:rPr>
          <w:rFonts w:ascii="Arial" w:hAnsi="Arial" w:cs="Arial"/>
          <w:sz w:val="24"/>
          <w:szCs w:val="24"/>
        </w:rPr>
        <w:t>Consulting</w:t>
      </w:r>
      <w:proofErr w:type="spellEnd"/>
      <w:r>
        <w:rPr>
          <w:rFonts w:ascii="Arial" w:hAnsi="Arial" w:cs="Arial"/>
          <w:sz w:val="24"/>
          <w:szCs w:val="24"/>
        </w:rPr>
        <w:t xml:space="preserve"> S.R.L</w:t>
      </w:r>
      <w:r w:rsidR="001E38E4">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D</w:t>
      </w:r>
      <w:r w:rsidR="00863F6C" w:rsidRPr="00AC3019">
        <w:rPr>
          <w:rFonts w:ascii="Arial" w:hAnsi="Arial" w:cs="Arial"/>
          <w:sz w:val="24"/>
          <w:szCs w:val="24"/>
        </w:rPr>
        <w:t>eloitte</w:t>
      </w:r>
      <w:proofErr w:type="spellEnd"/>
      <w:r w:rsidR="00863F6C" w:rsidRPr="00AC3019">
        <w:rPr>
          <w:rFonts w:ascii="Arial" w:hAnsi="Arial" w:cs="Arial"/>
          <w:sz w:val="24"/>
          <w:szCs w:val="24"/>
        </w:rPr>
        <w:t xml:space="preserve"> S.C</w:t>
      </w:r>
      <w:r w:rsidR="001E38E4">
        <w:rPr>
          <w:rFonts w:ascii="Arial" w:hAnsi="Arial" w:cs="Arial"/>
          <w:sz w:val="24"/>
          <w:szCs w:val="24"/>
        </w:rPr>
        <w:t>.</w:t>
      </w:r>
      <w:r w:rsidR="00863F6C" w:rsidRPr="00AC3019">
        <w:rPr>
          <w:rFonts w:ascii="Arial" w:hAnsi="Arial" w:cs="Arial"/>
          <w:sz w:val="24"/>
          <w:szCs w:val="24"/>
        </w:rPr>
        <w:t xml:space="preserve">; </w:t>
      </w:r>
      <w:proofErr w:type="spellStart"/>
      <w:r w:rsidR="00863F6C" w:rsidRPr="00AC3019">
        <w:rPr>
          <w:rFonts w:ascii="Arial" w:hAnsi="Arial" w:cs="Arial"/>
          <w:sz w:val="24"/>
          <w:szCs w:val="24"/>
        </w:rPr>
        <w:t>Auren</w:t>
      </w:r>
      <w:proofErr w:type="spellEnd"/>
      <w:r w:rsidR="00863F6C" w:rsidRPr="00AC3019">
        <w:rPr>
          <w:rFonts w:ascii="Arial" w:hAnsi="Arial" w:cs="Arial"/>
          <w:sz w:val="24"/>
          <w:szCs w:val="24"/>
        </w:rPr>
        <w:t xml:space="preserve"> Sociedad Civil; </w:t>
      </w:r>
      <w:proofErr w:type="spellStart"/>
      <w:r w:rsidR="00863F6C" w:rsidRPr="00AC3019">
        <w:rPr>
          <w:rFonts w:ascii="Arial" w:hAnsi="Arial" w:cs="Arial"/>
          <w:sz w:val="24"/>
          <w:szCs w:val="24"/>
        </w:rPr>
        <w:t>Stavros</w:t>
      </w:r>
      <w:proofErr w:type="spellEnd"/>
      <w:r w:rsidR="00863F6C" w:rsidRPr="00AC3019">
        <w:rPr>
          <w:rFonts w:ascii="Arial" w:hAnsi="Arial" w:cs="Arial"/>
          <w:sz w:val="24"/>
          <w:szCs w:val="24"/>
        </w:rPr>
        <w:t xml:space="preserve"> </w:t>
      </w:r>
      <w:proofErr w:type="spellStart"/>
      <w:r w:rsidR="00863F6C" w:rsidRPr="00AC3019">
        <w:rPr>
          <w:rFonts w:ascii="Arial" w:hAnsi="Arial" w:cs="Arial"/>
          <w:sz w:val="24"/>
          <w:szCs w:val="24"/>
        </w:rPr>
        <w:t>Moya</w:t>
      </w:r>
      <w:r w:rsidR="008E6AB1" w:rsidRPr="00AC3019">
        <w:rPr>
          <w:rFonts w:ascii="Arial" w:hAnsi="Arial" w:cs="Arial"/>
          <w:sz w:val="24"/>
          <w:szCs w:val="24"/>
        </w:rPr>
        <w:t>l</w:t>
      </w:r>
      <w:proofErr w:type="spellEnd"/>
      <w:r w:rsidR="008E6AB1" w:rsidRPr="00AC3019">
        <w:rPr>
          <w:rFonts w:ascii="Arial" w:hAnsi="Arial" w:cs="Arial"/>
          <w:sz w:val="24"/>
          <w:szCs w:val="24"/>
        </w:rPr>
        <w:t xml:space="preserve"> y Asociados S.R.L</w:t>
      </w:r>
      <w:r w:rsidR="001E38E4">
        <w:rPr>
          <w:rFonts w:ascii="Arial" w:hAnsi="Arial" w:cs="Arial"/>
          <w:sz w:val="24"/>
          <w:szCs w:val="24"/>
        </w:rPr>
        <w:t>.</w:t>
      </w:r>
      <w:r w:rsidR="008E6AB1" w:rsidRPr="00AC3019">
        <w:rPr>
          <w:rFonts w:ascii="Arial" w:hAnsi="Arial" w:cs="Arial"/>
          <w:sz w:val="24"/>
          <w:szCs w:val="24"/>
        </w:rPr>
        <w:t>;</w:t>
      </w:r>
      <w:r w:rsidR="00863F6C" w:rsidRPr="00AC3019">
        <w:rPr>
          <w:rFonts w:ascii="Arial" w:hAnsi="Arial" w:cs="Arial"/>
          <w:sz w:val="24"/>
          <w:szCs w:val="24"/>
        </w:rPr>
        <w:t xml:space="preserve"> </w:t>
      </w:r>
      <w:r w:rsidR="00AB24EA" w:rsidRPr="00AC3019">
        <w:rPr>
          <w:rFonts w:ascii="Arial" w:hAnsi="Arial" w:cs="Arial"/>
          <w:sz w:val="24"/>
          <w:szCs w:val="24"/>
        </w:rPr>
        <w:t xml:space="preserve">AMP </w:t>
      </w:r>
      <w:r w:rsidR="008E6AB1" w:rsidRPr="00AC3019">
        <w:rPr>
          <w:rFonts w:ascii="Arial" w:hAnsi="Arial" w:cs="Arial"/>
          <w:sz w:val="24"/>
          <w:szCs w:val="24"/>
        </w:rPr>
        <w:t>y</w:t>
      </w:r>
      <w:r w:rsidR="00AB24EA" w:rsidRPr="00AC3019">
        <w:rPr>
          <w:rFonts w:ascii="Arial" w:hAnsi="Arial" w:cs="Arial"/>
          <w:sz w:val="24"/>
          <w:szCs w:val="24"/>
        </w:rPr>
        <w:t xml:space="preserve"> Asociados S.R.L</w:t>
      </w:r>
      <w:r w:rsidR="001E38E4">
        <w:rPr>
          <w:rFonts w:ascii="Arial" w:hAnsi="Arial" w:cs="Arial"/>
          <w:sz w:val="24"/>
          <w:szCs w:val="24"/>
        </w:rPr>
        <w:t>.</w:t>
      </w:r>
      <w:r w:rsidR="00AB24EA" w:rsidRPr="00AC3019">
        <w:rPr>
          <w:rFonts w:ascii="Arial" w:hAnsi="Arial" w:cs="Arial"/>
          <w:sz w:val="24"/>
          <w:szCs w:val="24"/>
        </w:rPr>
        <w:t xml:space="preserve">; y CPA </w:t>
      </w:r>
      <w:proofErr w:type="spellStart"/>
      <w:r w:rsidR="00AB24EA" w:rsidRPr="00AC3019">
        <w:rPr>
          <w:rFonts w:ascii="Arial" w:hAnsi="Arial" w:cs="Arial"/>
          <w:sz w:val="24"/>
          <w:szCs w:val="24"/>
        </w:rPr>
        <w:t>Ferrere</w:t>
      </w:r>
      <w:proofErr w:type="spellEnd"/>
      <w:r w:rsidR="00AB24EA" w:rsidRPr="00AC3019">
        <w:rPr>
          <w:rFonts w:ascii="Arial" w:hAnsi="Arial" w:cs="Arial"/>
          <w:sz w:val="24"/>
          <w:szCs w:val="24"/>
        </w:rPr>
        <w:t>, dejándose constancia de que</w:t>
      </w:r>
      <w:r w:rsidR="006E032F" w:rsidRPr="00AC3019">
        <w:rPr>
          <w:rFonts w:ascii="Arial" w:hAnsi="Arial" w:cs="Arial"/>
          <w:sz w:val="24"/>
          <w:szCs w:val="24"/>
        </w:rPr>
        <w:t xml:space="preserve"> la oferta de </w:t>
      </w:r>
      <w:r w:rsidR="00AB24EA" w:rsidRPr="00AC3019">
        <w:rPr>
          <w:rFonts w:ascii="Arial" w:hAnsi="Arial" w:cs="Arial"/>
          <w:sz w:val="24"/>
          <w:szCs w:val="24"/>
        </w:rPr>
        <w:t>ésta última fue presentada fuera de la hora establecida;</w:t>
      </w:r>
    </w:p>
    <w:p w:rsidR="00AB24EA" w:rsidRPr="00AC3019" w:rsidRDefault="00AB24EA" w:rsidP="00AC3019">
      <w:pPr>
        <w:spacing w:after="0" w:line="360" w:lineRule="auto"/>
        <w:ind w:firstLine="2694"/>
        <w:jc w:val="both"/>
        <w:rPr>
          <w:rFonts w:ascii="Arial" w:hAnsi="Arial" w:cs="Arial"/>
          <w:sz w:val="24"/>
          <w:szCs w:val="24"/>
        </w:rPr>
      </w:pPr>
      <w:r w:rsidRPr="00AC3019">
        <w:rPr>
          <w:rFonts w:ascii="Arial" w:hAnsi="Arial" w:cs="Arial"/>
          <w:b/>
          <w:sz w:val="24"/>
          <w:szCs w:val="24"/>
        </w:rPr>
        <w:t xml:space="preserve">2) </w:t>
      </w:r>
      <w:r w:rsidRPr="00AC3019">
        <w:rPr>
          <w:rFonts w:ascii="Arial" w:hAnsi="Arial" w:cs="Arial"/>
          <w:sz w:val="24"/>
          <w:szCs w:val="24"/>
        </w:rPr>
        <w:t xml:space="preserve">que </w:t>
      </w:r>
      <w:r w:rsidR="006E032F" w:rsidRPr="00AC3019">
        <w:rPr>
          <w:rFonts w:ascii="Arial" w:hAnsi="Arial" w:cs="Arial"/>
          <w:sz w:val="24"/>
          <w:szCs w:val="24"/>
        </w:rPr>
        <w:t>según</w:t>
      </w:r>
      <w:r w:rsidR="008E6AB1" w:rsidRPr="00AC3019">
        <w:rPr>
          <w:rFonts w:ascii="Arial" w:hAnsi="Arial" w:cs="Arial"/>
          <w:sz w:val="24"/>
          <w:szCs w:val="24"/>
        </w:rPr>
        <w:t xml:space="preserve"> </w:t>
      </w:r>
      <w:r w:rsidR="006E032F" w:rsidRPr="00AC3019">
        <w:rPr>
          <w:rFonts w:ascii="Arial" w:hAnsi="Arial" w:cs="Arial"/>
          <w:sz w:val="24"/>
          <w:szCs w:val="24"/>
        </w:rPr>
        <w:t>surge del</w:t>
      </w:r>
      <w:r w:rsidR="008E6AB1" w:rsidRPr="00AC3019">
        <w:rPr>
          <w:rFonts w:ascii="Arial" w:hAnsi="Arial" w:cs="Arial"/>
          <w:sz w:val="24"/>
          <w:szCs w:val="24"/>
        </w:rPr>
        <w:t xml:space="preserve"> informe </w:t>
      </w:r>
      <w:r w:rsidR="006E032F" w:rsidRPr="00AC3019">
        <w:rPr>
          <w:rFonts w:ascii="Arial" w:hAnsi="Arial" w:cs="Arial"/>
          <w:sz w:val="24"/>
          <w:szCs w:val="24"/>
        </w:rPr>
        <w:t xml:space="preserve">de la Comisión Asesora de Adjudicaciones </w:t>
      </w:r>
      <w:r w:rsidR="008E6AB1" w:rsidRPr="00AC3019">
        <w:rPr>
          <w:rFonts w:ascii="Arial" w:hAnsi="Arial" w:cs="Arial"/>
          <w:sz w:val="24"/>
          <w:szCs w:val="24"/>
        </w:rPr>
        <w:t xml:space="preserve">de </w:t>
      </w:r>
      <w:r w:rsidRPr="00AC3019">
        <w:rPr>
          <w:rFonts w:ascii="Arial" w:hAnsi="Arial" w:cs="Arial"/>
          <w:sz w:val="24"/>
          <w:szCs w:val="24"/>
        </w:rPr>
        <w:t>fecha 25</w:t>
      </w:r>
      <w:r w:rsidR="00AC3019">
        <w:rPr>
          <w:rFonts w:ascii="Arial" w:hAnsi="Arial" w:cs="Arial"/>
          <w:sz w:val="24"/>
          <w:szCs w:val="24"/>
        </w:rPr>
        <w:t>/</w:t>
      </w:r>
      <w:r w:rsidRPr="00AC3019">
        <w:rPr>
          <w:rFonts w:ascii="Arial" w:hAnsi="Arial" w:cs="Arial"/>
          <w:sz w:val="24"/>
          <w:szCs w:val="24"/>
        </w:rPr>
        <w:t>06</w:t>
      </w:r>
      <w:r w:rsidR="00AC3019">
        <w:rPr>
          <w:rFonts w:ascii="Arial" w:hAnsi="Arial" w:cs="Arial"/>
          <w:sz w:val="24"/>
          <w:szCs w:val="24"/>
        </w:rPr>
        <w:t>/</w:t>
      </w:r>
      <w:r w:rsidRPr="00AC3019">
        <w:rPr>
          <w:rFonts w:ascii="Arial" w:hAnsi="Arial" w:cs="Arial"/>
          <w:sz w:val="24"/>
          <w:szCs w:val="24"/>
        </w:rPr>
        <w:t>15</w:t>
      </w:r>
      <w:r w:rsidR="00814787" w:rsidRPr="00AC3019">
        <w:rPr>
          <w:rFonts w:ascii="Arial" w:hAnsi="Arial" w:cs="Arial"/>
          <w:sz w:val="24"/>
          <w:szCs w:val="24"/>
        </w:rPr>
        <w:t xml:space="preserve">, </w:t>
      </w:r>
      <w:r w:rsidR="008E6AB1" w:rsidRPr="00AC3019">
        <w:rPr>
          <w:rFonts w:ascii="Arial" w:hAnsi="Arial" w:cs="Arial"/>
          <w:sz w:val="24"/>
          <w:szCs w:val="24"/>
        </w:rPr>
        <w:t xml:space="preserve">se procedió </w:t>
      </w:r>
      <w:r w:rsidRPr="00AC3019">
        <w:rPr>
          <w:rFonts w:ascii="Arial" w:hAnsi="Arial" w:cs="Arial"/>
          <w:sz w:val="24"/>
          <w:szCs w:val="24"/>
        </w:rPr>
        <w:t xml:space="preserve">a la verificación de las </w:t>
      </w:r>
      <w:r w:rsidR="008E6AB1" w:rsidRPr="00AC3019">
        <w:rPr>
          <w:rFonts w:ascii="Arial" w:hAnsi="Arial" w:cs="Arial"/>
          <w:sz w:val="24"/>
          <w:szCs w:val="24"/>
        </w:rPr>
        <w:t>cámaras de seguridad, constatándose</w:t>
      </w:r>
      <w:r w:rsidRPr="00AC3019">
        <w:rPr>
          <w:rFonts w:ascii="Arial" w:hAnsi="Arial" w:cs="Arial"/>
          <w:sz w:val="24"/>
          <w:szCs w:val="24"/>
        </w:rPr>
        <w:t xml:space="preserve"> que la firma CPA </w:t>
      </w:r>
      <w:proofErr w:type="spellStart"/>
      <w:r w:rsidRPr="00AC3019">
        <w:rPr>
          <w:rFonts w:ascii="Arial" w:hAnsi="Arial" w:cs="Arial"/>
          <w:sz w:val="24"/>
          <w:szCs w:val="24"/>
        </w:rPr>
        <w:t>Ferrere</w:t>
      </w:r>
      <w:proofErr w:type="spellEnd"/>
      <w:r w:rsidRPr="00AC3019">
        <w:rPr>
          <w:rFonts w:ascii="Arial" w:hAnsi="Arial" w:cs="Arial"/>
          <w:sz w:val="24"/>
          <w:szCs w:val="24"/>
        </w:rPr>
        <w:t xml:space="preserve"> ingresó al predio </w:t>
      </w:r>
      <w:r w:rsidR="00814787" w:rsidRPr="00AC3019">
        <w:rPr>
          <w:rFonts w:ascii="Arial" w:hAnsi="Arial" w:cs="Arial"/>
          <w:sz w:val="24"/>
          <w:szCs w:val="24"/>
        </w:rPr>
        <w:t xml:space="preserve">con posterioridad a </w:t>
      </w:r>
      <w:r w:rsidRPr="00AC3019">
        <w:rPr>
          <w:rFonts w:ascii="Arial" w:hAnsi="Arial" w:cs="Arial"/>
          <w:sz w:val="24"/>
          <w:szCs w:val="24"/>
        </w:rPr>
        <w:t>la hora límite fi</w:t>
      </w:r>
      <w:r w:rsidR="00814787" w:rsidRPr="00AC3019">
        <w:rPr>
          <w:rFonts w:ascii="Arial" w:hAnsi="Arial" w:cs="Arial"/>
          <w:sz w:val="24"/>
          <w:szCs w:val="24"/>
        </w:rPr>
        <w:t>jada en las bases del llamado</w:t>
      </w:r>
      <w:r w:rsidRPr="00AC3019">
        <w:rPr>
          <w:rFonts w:ascii="Arial" w:hAnsi="Arial" w:cs="Arial"/>
          <w:sz w:val="24"/>
          <w:szCs w:val="24"/>
        </w:rPr>
        <w:t>, por lo que decidió no proceder al análisis de su oferta;</w:t>
      </w:r>
      <w:r w:rsidRPr="00AC3019">
        <w:rPr>
          <w:rFonts w:ascii="Arial" w:hAnsi="Arial" w:cs="Arial"/>
          <w:sz w:val="24"/>
          <w:szCs w:val="24"/>
        </w:rPr>
        <w:tab/>
      </w:r>
    </w:p>
    <w:p w:rsidR="000C0098" w:rsidRDefault="00814787" w:rsidP="000C0098">
      <w:pPr>
        <w:spacing w:after="0" w:line="360" w:lineRule="auto"/>
        <w:ind w:firstLine="2694"/>
        <w:jc w:val="both"/>
        <w:rPr>
          <w:rFonts w:ascii="Arial" w:hAnsi="Arial" w:cs="Arial"/>
          <w:sz w:val="24"/>
          <w:szCs w:val="24"/>
        </w:rPr>
      </w:pPr>
      <w:r w:rsidRPr="00AC3019">
        <w:rPr>
          <w:rFonts w:ascii="Arial" w:hAnsi="Arial" w:cs="Arial"/>
          <w:b/>
          <w:sz w:val="24"/>
          <w:szCs w:val="24"/>
        </w:rPr>
        <w:t xml:space="preserve">3) </w:t>
      </w:r>
      <w:r w:rsidRPr="00AC3019">
        <w:rPr>
          <w:rFonts w:ascii="Arial" w:hAnsi="Arial" w:cs="Arial"/>
          <w:sz w:val="24"/>
          <w:szCs w:val="24"/>
        </w:rPr>
        <w:t xml:space="preserve">que siguiendo los criterios de evaluación técnica </w:t>
      </w:r>
      <w:r w:rsidR="000C0098">
        <w:rPr>
          <w:rFonts w:ascii="Arial" w:hAnsi="Arial" w:cs="Arial"/>
          <w:sz w:val="24"/>
          <w:szCs w:val="24"/>
        </w:rPr>
        <w:t xml:space="preserve">   y económica establecidos en el N</w:t>
      </w:r>
      <w:r w:rsidRPr="00AC3019">
        <w:rPr>
          <w:rFonts w:ascii="Arial" w:hAnsi="Arial" w:cs="Arial"/>
          <w:sz w:val="24"/>
          <w:szCs w:val="24"/>
        </w:rPr>
        <w:t xml:space="preserve">umeral 14 del Pliego de Condiciones Particulares, </w:t>
      </w:r>
      <w:r w:rsidR="002860E9" w:rsidRPr="00AC3019">
        <w:rPr>
          <w:rFonts w:ascii="Arial" w:hAnsi="Arial" w:cs="Arial"/>
          <w:sz w:val="24"/>
          <w:szCs w:val="24"/>
        </w:rPr>
        <w:t xml:space="preserve">la oferta que recibió mayor puntaje fue </w:t>
      </w:r>
      <w:proofErr w:type="spellStart"/>
      <w:r w:rsidR="002860E9" w:rsidRPr="00AC3019">
        <w:rPr>
          <w:rFonts w:ascii="Arial" w:hAnsi="Arial" w:cs="Arial"/>
          <w:sz w:val="24"/>
          <w:szCs w:val="24"/>
        </w:rPr>
        <w:t>Stavros</w:t>
      </w:r>
      <w:proofErr w:type="spellEnd"/>
      <w:r w:rsidR="002860E9" w:rsidRPr="00AC3019">
        <w:rPr>
          <w:rFonts w:ascii="Arial" w:hAnsi="Arial" w:cs="Arial"/>
          <w:sz w:val="24"/>
          <w:szCs w:val="24"/>
        </w:rPr>
        <w:t xml:space="preserve"> </w:t>
      </w:r>
      <w:proofErr w:type="spellStart"/>
      <w:r w:rsidR="002860E9" w:rsidRPr="00AC3019">
        <w:rPr>
          <w:rFonts w:ascii="Arial" w:hAnsi="Arial" w:cs="Arial"/>
          <w:sz w:val="24"/>
          <w:szCs w:val="24"/>
        </w:rPr>
        <w:t>Moyal</w:t>
      </w:r>
      <w:proofErr w:type="spellEnd"/>
      <w:r w:rsidR="002860E9" w:rsidRPr="00AC3019">
        <w:rPr>
          <w:rFonts w:ascii="Arial" w:hAnsi="Arial" w:cs="Arial"/>
          <w:sz w:val="24"/>
          <w:szCs w:val="24"/>
        </w:rPr>
        <w:t xml:space="preserve"> y </w:t>
      </w:r>
      <w:r w:rsidR="000C0098">
        <w:rPr>
          <w:rFonts w:ascii="Arial" w:hAnsi="Arial" w:cs="Arial"/>
          <w:sz w:val="24"/>
          <w:szCs w:val="24"/>
        </w:rPr>
        <w:t xml:space="preserve">  </w:t>
      </w:r>
      <w:r w:rsidR="002860E9" w:rsidRPr="00AC3019">
        <w:rPr>
          <w:rFonts w:ascii="Arial" w:hAnsi="Arial" w:cs="Arial"/>
          <w:sz w:val="24"/>
          <w:szCs w:val="24"/>
        </w:rPr>
        <w:lastRenderedPageBreak/>
        <w:t>Asociados S.R.L</w:t>
      </w:r>
      <w:r w:rsidR="001E38E4">
        <w:rPr>
          <w:rFonts w:ascii="Arial" w:hAnsi="Arial" w:cs="Arial"/>
          <w:sz w:val="24"/>
          <w:szCs w:val="24"/>
        </w:rPr>
        <w:t>.</w:t>
      </w:r>
      <w:r w:rsidR="00DB5BE6">
        <w:rPr>
          <w:rFonts w:ascii="Arial" w:hAnsi="Arial" w:cs="Arial"/>
          <w:sz w:val="24"/>
          <w:szCs w:val="24"/>
        </w:rPr>
        <w:t xml:space="preserve">, </w:t>
      </w:r>
      <w:r w:rsidR="006E032F" w:rsidRPr="00AC3019">
        <w:rPr>
          <w:rFonts w:ascii="Arial" w:hAnsi="Arial" w:cs="Arial"/>
          <w:sz w:val="24"/>
          <w:szCs w:val="24"/>
        </w:rPr>
        <w:t>y la Comisión Asesora de Adjudicaciones aconsejó</w:t>
      </w:r>
      <w:r w:rsidR="002860E9" w:rsidRPr="00AC3019">
        <w:rPr>
          <w:rFonts w:ascii="Arial" w:hAnsi="Arial" w:cs="Arial"/>
          <w:sz w:val="24"/>
          <w:szCs w:val="24"/>
        </w:rPr>
        <w:t xml:space="preserve"> la adjudicación en su favor</w:t>
      </w:r>
      <w:r w:rsidR="008E6AB1" w:rsidRPr="00AC3019">
        <w:rPr>
          <w:rFonts w:ascii="Arial" w:hAnsi="Arial" w:cs="Arial"/>
          <w:sz w:val="24"/>
          <w:szCs w:val="24"/>
        </w:rPr>
        <w:t>,</w:t>
      </w:r>
      <w:r w:rsidR="002860E9" w:rsidRPr="00AC3019">
        <w:rPr>
          <w:rFonts w:ascii="Arial" w:hAnsi="Arial" w:cs="Arial"/>
          <w:sz w:val="24"/>
          <w:szCs w:val="24"/>
        </w:rPr>
        <w:t xml:space="preserve"> por un monto mensual de $1:854.000</w:t>
      </w:r>
      <w:r w:rsidR="000C0098">
        <w:rPr>
          <w:rFonts w:ascii="Arial" w:hAnsi="Arial" w:cs="Arial"/>
          <w:sz w:val="24"/>
          <w:szCs w:val="24"/>
        </w:rPr>
        <w:t xml:space="preserve"> </w:t>
      </w:r>
      <w:r w:rsidR="002860E9" w:rsidRPr="00AC3019">
        <w:rPr>
          <w:rFonts w:ascii="Arial" w:hAnsi="Arial" w:cs="Arial"/>
          <w:sz w:val="24"/>
          <w:szCs w:val="24"/>
        </w:rPr>
        <w:t xml:space="preserve"> IVA incluido, lo </w:t>
      </w:r>
      <w:r w:rsidR="008E6AB1" w:rsidRPr="00AC3019">
        <w:rPr>
          <w:rFonts w:ascii="Arial" w:hAnsi="Arial" w:cs="Arial"/>
          <w:sz w:val="24"/>
          <w:szCs w:val="24"/>
        </w:rPr>
        <w:t xml:space="preserve">que </w:t>
      </w:r>
      <w:r w:rsidR="006E032F" w:rsidRPr="00AC3019">
        <w:rPr>
          <w:rFonts w:ascii="Arial" w:hAnsi="Arial" w:cs="Arial"/>
          <w:sz w:val="24"/>
          <w:szCs w:val="24"/>
        </w:rPr>
        <w:t>equivale</w:t>
      </w:r>
      <w:r w:rsidR="008E6AB1" w:rsidRPr="00AC3019">
        <w:rPr>
          <w:rFonts w:ascii="Arial" w:hAnsi="Arial" w:cs="Arial"/>
          <w:sz w:val="24"/>
          <w:szCs w:val="24"/>
        </w:rPr>
        <w:t xml:space="preserve"> a una suma</w:t>
      </w:r>
      <w:r w:rsidR="002860E9" w:rsidRPr="00AC3019">
        <w:rPr>
          <w:rFonts w:ascii="Arial" w:hAnsi="Arial" w:cs="Arial"/>
          <w:sz w:val="24"/>
          <w:szCs w:val="24"/>
        </w:rPr>
        <w:t xml:space="preserve"> anualizad</w:t>
      </w:r>
      <w:r w:rsidR="008E6AB1" w:rsidRPr="00AC3019">
        <w:rPr>
          <w:rFonts w:ascii="Arial" w:hAnsi="Arial" w:cs="Arial"/>
          <w:sz w:val="24"/>
          <w:szCs w:val="24"/>
        </w:rPr>
        <w:t>a</w:t>
      </w:r>
      <w:r w:rsidR="002860E9" w:rsidRPr="00AC3019">
        <w:rPr>
          <w:rFonts w:ascii="Arial" w:hAnsi="Arial" w:cs="Arial"/>
          <w:sz w:val="24"/>
          <w:szCs w:val="24"/>
        </w:rPr>
        <w:t xml:space="preserve"> de $22:252.800;</w:t>
      </w:r>
    </w:p>
    <w:p w:rsidR="002860E9" w:rsidRPr="00AC3019" w:rsidRDefault="002860E9" w:rsidP="000C0098">
      <w:pPr>
        <w:spacing w:after="0" w:line="360" w:lineRule="auto"/>
        <w:ind w:firstLine="2694"/>
        <w:jc w:val="both"/>
        <w:rPr>
          <w:rFonts w:ascii="Arial" w:hAnsi="Arial" w:cs="Arial"/>
          <w:sz w:val="24"/>
          <w:szCs w:val="24"/>
        </w:rPr>
      </w:pPr>
      <w:r w:rsidRPr="00AC3019">
        <w:rPr>
          <w:rFonts w:ascii="Arial" w:hAnsi="Arial" w:cs="Arial"/>
          <w:b/>
          <w:sz w:val="24"/>
          <w:szCs w:val="24"/>
        </w:rPr>
        <w:t>4)</w:t>
      </w:r>
      <w:r w:rsidR="00BE07CA" w:rsidRPr="00AC3019">
        <w:rPr>
          <w:rFonts w:ascii="Arial" w:hAnsi="Arial" w:cs="Arial"/>
          <w:b/>
          <w:sz w:val="24"/>
          <w:szCs w:val="24"/>
        </w:rPr>
        <w:t xml:space="preserve"> </w:t>
      </w:r>
      <w:r w:rsidR="00BE07CA" w:rsidRPr="00AC3019">
        <w:rPr>
          <w:rFonts w:ascii="Arial" w:hAnsi="Arial" w:cs="Arial"/>
          <w:sz w:val="24"/>
          <w:szCs w:val="24"/>
        </w:rPr>
        <w:t xml:space="preserve">que por Resolución </w:t>
      </w:r>
      <w:r w:rsidR="005425A5" w:rsidRPr="00AC3019">
        <w:rPr>
          <w:rFonts w:ascii="Arial" w:hAnsi="Arial" w:cs="Arial"/>
          <w:sz w:val="24"/>
          <w:szCs w:val="24"/>
        </w:rPr>
        <w:t>s/n</w:t>
      </w:r>
      <w:r w:rsidR="000C0098">
        <w:rPr>
          <w:rFonts w:ascii="Arial" w:hAnsi="Arial" w:cs="Arial"/>
          <w:sz w:val="24"/>
          <w:szCs w:val="24"/>
        </w:rPr>
        <w:t>°</w:t>
      </w:r>
      <w:r w:rsidR="005425A5" w:rsidRPr="00AC3019">
        <w:rPr>
          <w:rFonts w:ascii="Arial" w:hAnsi="Arial" w:cs="Arial"/>
          <w:sz w:val="24"/>
          <w:szCs w:val="24"/>
        </w:rPr>
        <w:t xml:space="preserve"> </w:t>
      </w:r>
      <w:r w:rsidR="00BE07CA" w:rsidRPr="00AC3019">
        <w:rPr>
          <w:rFonts w:ascii="Arial" w:hAnsi="Arial" w:cs="Arial"/>
          <w:sz w:val="24"/>
          <w:szCs w:val="24"/>
        </w:rPr>
        <w:t>de Gerencia General en uso de atr</w:t>
      </w:r>
      <w:r w:rsidR="000C0098">
        <w:rPr>
          <w:rFonts w:ascii="Arial" w:hAnsi="Arial" w:cs="Arial"/>
          <w:sz w:val="24"/>
          <w:szCs w:val="24"/>
        </w:rPr>
        <w:t>ibuciones delegadas de fecha 29/</w:t>
      </w:r>
      <w:r w:rsidR="00BE07CA" w:rsidRPr="00AC3019">
        <w:rPr>
          <w:rFonts w:ascii="Arial" w:hAnsi="Arial" w:cs="Arial"/>
          <w:sz w:val="24"/>
          <w:szCs w:val="24"/>
        </w:rPr>
        <w:t>06</w:t>
      </w:r>
      <w:r w:rsidR="000C0098">
        <w:rPr>
          <w:rFonts w:ascii="Arial" w:hAnsi="Arial" w:cs="Arial"/>
          <w:sz w:val="24"/>
          <w:szCs w:val="24"/>
        </w:rPr>
        <w:t>/</w:t>
      </w:r>
      <w:r w:rsidR="00BE07CA" w:rsidRPr="00AC3019">
        <w:rPr>
          <w:rFonts w:ascii="Arial" w:hAnsi="Arial" w:cs="Arial"/>
          <w:sz w:val="24"/>
          <w:szCs w:val="24"/>
        </w:rPr>
        <w:t xml:space="preserve">15, se </w:t>
      </w:r>
      <w:r w:rsidR="005425A5" w:rsidRPr="00AC3019">
        <w:rPr>
          <w:rFonts w:ascii="Arial" w:hAnsi="Arial" w:cs="Arial"/>
          <w:sz w:val="24"/>
          <w:szCs w:val="24"/>
        </w:rPr>
        <w:t>adjudicó</w:t>
      </w:r>
      <w:r w:rsidR="00BE07CA" w:rsidRPr="00AC3019">
        <w:rPr>
          <w:rFonts w:ascii="Arial" w:hAnsi="Arial" w:cs="Arial"/>
          <w:sz w:val="24"/>
          <w:szCs w:val="24"/>
        </w:rPr>
        <w:t xml:space="preserve"> la licitación de referencia </w:t>
      </w:r>
      <w:r w:rsidR="005425A5" w:rsidRPr="00AC3019">
        <w:rPr>
          <w:rFonts w:ascii="Arial" w:hAnsi="Arial" w:cs="Arial"/>
          <w:sz w:val="24"/>
          <w:szCs w:val="24"/>
        </w:rPr>
        <w:t xml:space="preserve">a </w:t>
      </w:r>
      <w:proofErr w:type="spellStart"/>
      <w:r w:rsidR="005425A5" w:rsidRPr="00AC3019">
        <w:rPr>
          <w:rFonts w:ascii="Arial" w:hAnsi="Arial" w:cs="Arial"/>
          <w:sz w:val="24"/>
          <w:szCs w:val="24"/>
        </w:rPr>
        <w:t>Stravros</w:t>
      </w:r>
      <w:proofErr w:type="spellEnd"/>
      <w:r w:rsidR="005425A5" w:rsidRPr="00AC3019">
        <w:rPr>
          <w:rFonts w:ascii="Arial" w:hAnsi="Arial" w:cs="Arial"/>
          <w:sz w:val="24"/>
          <w:szCs w:val="24"/>
        </w:rPr>
        <w:t xml:space="preserve"> </w:t>
      </w:r>
      <w:proofErr w:type="spellStart"/>
      <w:r w:rsidR="005425A5" w:rsidRPr="00AC3019">
        <w:rPr>
          <w:rFonts w:ascii="Arial" w:hAnsi="Arial" w:cs="Arial"/>
          <w:sz w:val="24"/>
          <w:szCs w:val="24"/>
        </w:rPr>
        <w:t>Moyal</w:t>
      </w:r>
      <w:proofErr w:type="spellEnd"/>
      <w:r w:rsidR="005425A5" w:rsidRPr="00AC3019">
        <w:rPr>
          <w:rFonts w:ascii="Arial" w:hAnsi="Arial" w:cs="Arial"/>
          <w:sz w:val="24"/>
          <w:szCs w:val="24"/>
        </w:rPr>
        <w:t xml:space="preserve"> y Aso</w:t>
      </w:r>
      <w:r w:rsidRPr="00AC3019">
        <w:rPr>
          <w:rFonts w:ascii="Arial" w:hAnsi="Arial" w:cs="Arial"/>
          <w:sz w:val="24"/>
          <w:szCs w:val="24"/>
        </w:rPr>
        <w:t>ciados S</w:t>
      </w:r>
      <w:r w:rsidR="001E38E4">
        <w:rPr>
          <w:rFonts w:ascii="Arial" w:hAnsi="Arial" w:cs="Arial"/>
          <w:sz w:val="24"/>
          <w:szCs w:val="24"/>
        </w:rPr>
        <w:t>.</w:t>
      </w:r>
      <w:r w:rsidRPr="00AC3019">
        <w:rPr>
          <w:rFonts w:ascii="Arial" w:hAnsi="Arial" w:cs="Arial"/>
          <w:sz w:val="24"/>
          <w:szCs w:val="24"/>
        </w:rPr>
        <w:t>R</w:t>
      </w:r>
      <w:r w:rsidR="001E38E4">
        <w:rPr>
          <w:rFonts w:ascii="Arial" w:hAnsi="Arial" w:cs="Arial"/>
          <w:sz w:val="24"/>
          <w:szCs w:val="24"/>
        </w:rPr>
        <w:t>.</w:t>
      </w:r>
      <w:r w:rsidRPr="00AC3019">
        <w:rPr>
          <w:rFonts w:ascii="Arial" w:hAnsi="Arial" w:cs="Arial"/>
          <w:sz w:val="24"/>
          <w:szCs w:val="24"/>
        </w:rPr>
        <w:t>L</w:t>
      </w:r>
      <w:r w:rsidR="001E38E4">
        <w:rPr>
          <w:rFonts w:ascii="Arial" w:hAnsi="Arial" w:cs="Arial"/>
          <w:sz w:val="24"/>
          <w:szCs w:val="24"/>
        </w:rPr>
        <w:t>.</w:t>
      </w:r>
      <w:r w:rsidRPr="00AC3019">
        <w:rPr>
          <w:rFonts w:ascii="Arial" w:hAnsi="Arial" w:cs="Arial"/>
          <w:sz w:val="24"/>
          <w:szCs w:val="24"/>
        </w:rPr>
        <w:t xml:space="preserve"> en la forma propuesta;</w:t>
      </w:r>
    </w:p>
    <w:p w:rsidR="005425A5" w:rsidRPr="00AC3019" w:rsidRDefault="002860E9" w:rsidP="000C0098">
      <w:pPr>
        <w:spacing w:after="0" w:line="360" w:lineRule="auto"/>
        <w:ind w:firstLine="2694"/>
        <w:jc w:val="both"/>
        <w:rPr>
          <w:rFonts w:ascii="Arial" w:hAnsi="Arial" w:cs="Arial"/>
          <w:sz w:val="24"/>
          <w:szCs w:val="24"/>
        </w:rPr>
      </w:pPr>
      <w:r w:rsidRPr="00AC3019">
        <w:rPr>
          <w:rFonts w:ascii="Arial" w:hAnsi="Arial" w:cs="Arial"/>
          <w:b/>
          <w:sz w:val="24"/>
          <w:szCs w:val="24"/>
        </w:rPr>
        <w:t>5</w:t>
      </w:r>
      <w:r w:rsidR="005425A5" w:rsidRPr="00AC3019">
        <w:rPr>
          <w:rFonts w:ascii="Arial" w:hAnsi="Arial" w:cs="Arial"/>
          <w:b/>
          <w:sz w:val="24"/>
          <w:szCs w:val="24"/>
        </w:rPr>
        <w:t xml:space="preserve">) </w:t>
      </w:r>
      <w:r w:rsidR="005425A5" w:rsidRPr="00AC3019">
        <w:rPr>
          <w:rFonts w:ascii="Arial" w:hAnsi="Arial" w:cs="Arial"/>
          <w:sz w:val="24"/>
          <w:szCs w:val="24"/>
        </w:rPr>
        <w:t xml:space="preserve">que </w:t>
      </w:r>
      <w:r w:rsidR="008E6AB1" w:rsidRPr="00AC3019">
        <w:rPr>
          <w:rFonts w:ascii="Arial" w:hAnsi="Arial" w:cs="Arial"/>
          <w:sz w:val="24"/>
          <w:szCs w:val="24"/>
        </w:rPr>
        <w:t>luego de que el Departamento Presupuesto informara que se efectuó la reserva de $11:126.400 (impuestos inclui</w:t>
      </w:r>
      <w:r w:rsidR="006E032F" w:rsidRPr="00AC3019">
        <w:rPr>
          <w:rFonts w:ascii="Arial" w:hAnsi="Arial" w:cs="Arial"/>
          <w:sz w:val="24"/>
          <w:szCs w:val="24"/>
        </w:rPr>
        <w:t>dos) correspondiente al período</w:t>
      </w:r>
      <w:r w:rsidR="008E6AB1" w:rsidRPr="00AC3019">
        <w:rPr>
          <w:rFonts w:ascii="Arial" w:hAnsi="Arial" w:cs="Arial"/>
          <w:sz w:val="24"/>
          <w:szCs w:val="24"/>
        </w:rPr>
        <w:t xml:space="preserve"> julio</w:t>
      </w:r>
      <w:r w:rsidR="000C0098">
        <w:rPr>
          <w:rFonts w:ascii="Arial" w:hAnsi="Arial" w:cs="Arial"/>
          <w:sz w:val="24"/>
          <w:szCs w:val="24"/>
        </w:rPr>
        <w:t>-</w:t>
      </w:r>
      <w:r w:rsidR="008E6AB1" w:rsidRPr="00AC3019">
        <w:rPr>
          <w:rFonts w:ascii="Arial" w:hAnsi="Arial" w:cs="Arial"/>
          <w:sz w:val="24"/>
          <w:szCs w:val="24"/>
        </w:rPr>
        <w:t xml:space="preserve">diciembre de 2015, </w:t>
      </w:r>
      <w:r w:rsidR="005425A5" w:rsidRPr="00AC3019">
        <w:rPr>
          <w:rFonts w:ascii="Arial" w:hAnsi="Arial" w:cs="Arial"/>
          <w:sz w:val="24"/>
          <w:szCs w:val="24"/>
        </w:rPr>
        <w:t>con fecha</w:t>
      </w:r>
      <w:r w:rsidR="000C0098">
        <w:rPr>
          <w:rFonts w:ascii="Arial" w:hAnsi="Arial" w:cs="Arial"/>
          <w:sz w:val="24"/>
          <w:szCs w:val="24"/>
        </w:rPr>
        <w:t xml:space="preserve"> 06/</w:t>
      </w:r>
      <w:r w:rsidR="00014461" w:rsidRPr="00AC3019">
        <w:rPr>
          <w:rFonts w:ascii="Arial" w:hAnsi="Arial" w:cs="Arial"/>
          <w:sz w:val="24"/>
          <w:szCs w:val="24"/>
        </w:rPr>
        <w:t>07</w:t>
      </w:r>
      <w:r w:rsidR="000C0098">
        <w:rPr>
          <w:rFonts w:ascii="Arial" w:hAnsi="Arial" w:cs="Arial"/>
          <w:sz w:val="24"/>
          <w:szCs w:val="24"/>
        </w:rPr>
        <w:t>/</w:t>
      </w:r>
      <w:r w:rsidR="00014461" w:rsidRPr="00AC3019">
        <w:rPr>
          <w:rFonts w:ascii="Arial" w:hAnsi="Arial" w:cs="Arial"/>
          <w:sz w:val="24"/>
          <w:szCs w:val="24"/>
        </w:rPr>
        <w:t xml:space="preserve">15 la Contadora Delegada </w:t>
      </w:r>
      <w:r w:rsidR="005425A5" w:rsidRPr="00AC3019">
        <w:rPr>
          <w:rFonts w:ascii="Arial" w:hAnsi="Arial" w:cs="Arial"/>
          <w:sz w:val="24"/>
          <w:szCs w:val="24"/>
        </w:rPr>
        <w:t xml:space="preserve">intervino preventivamente el gasto, </w:t>
      </w:r>
      <w:r w:rsidR="008E6AB1" w:rsidRPr="00AC3019">
        <w:rPr>
          <w:rFonts w:ascii="Arial" w:hAnsi="Arial" w:cs="Arial"/>
          <w:sz w:val="24"/>
          <w:szCs w:val="24"/>
        </w:rPr>
        <w:t xml:space="preserve">el </w:t>
      </w:r>
      <w:r w:rsidR="005425A5" w:rsidRPr="00AC3019">
        <w:rPr>
          <w:rFonts w:ascii="Arial" w:hAnsi="Arial" w:cs="Arial"/>
          <w:sz w:val="24"/>
          <w:szCs w:val="24"/>
        </w:rPr>
        <w:t>que cuent</w:t>
      </w:r>
      <w:r w:rsidR="008E6AB1" w:rsidRPr="00AC3019">
        <w:rPr>
          <w:rFonts w:ascii="Arial" w:hAnsi="Arial" w:cs="Arial"/>
          <w:sz w:val="24"/>
          <w:szCs w:val="24"/>
        </w:rPr>
        <w:t>a con disponibilidad suficiente</w:t>
      </w:r>
      <w:r w:rsidR="005425A5" w:rsidRPr="00AC3019">
        <w:rPr>
          <w:rFonts w:ascii="Arial" w:hAnsi="Arial" w:cs="Arial"/>
          <w:sz w:val="24"/>
          <w:szCs w:val="24"/>
        </w:rPr>
        <w:t>;</w:t>
      </w:r>
    </w:p>
    <w:p w:rsidR="00FE7919" w:rsidRPr="00AC3019" w:rsidRDefault="008E6AB1" w:rsidP="000C0098">
      <w:pPr>
        <w:spacing w:after="0" w:line="360" w:lineRule="auto"/>
        <w:ind w:firstLine="2694"/>
        <w:jc w:val="both"/>
        <w:rPr>
          <w:rFonts w:ascii="Arial" w:hAnsi="Arial" w:cs="Arial"/>
          <w:sz w:val="24"/>
          <w:szCs w:val="24"/>
        </w:rPr>
      </w:pPr>
      <w:r w:rsidRPr="00AC3019">
        <w:rPr>
          <w:rFonts w:ascii="Arial" w:hAnsi="Arial" w:cs="Arial"/>
          <w:b/>
          <w:sz w:val="24"/>
          <w:szCs w:val="24"/>
        </w:rPr>
        <w:t>6</w:t>
      </w:r>
      <w:r w:rsidR="005425A5" w:rsidRPr="00AC3019">
        <w:rPr>
          <w:rFonts w:ascii="Arial" w:hAnsi="Arial" w:cs="Arial"/>
          <w:b/>
          <w:sz w:val="24"/>
          <w:szCs w:val="24"/>
        </w:rPr>
        <w:t xml:space="preserve">) </w:t>
      </w:r>
      <w:r w:rsidR="005425A5" w:rsidRPr="00AC3019">
        <w:rPr>
          <w:rFonts w:ascii="Arial" w:hAnsi="Arial" w:cs="Arial"/>
          <w:sz w:val="24"/>
          <w:szCs w:val="24"/>
        </w:rPr>
        <w:t xml:space="preserve">que </w:t>
      </w:r>
      <w:r w:rsidR="000C0098">
        <w:rPr>
          <w:rFonts w:ascii="Arial" w:hAnsi="Arial" w:cs="Arial"/>
          <w:sz w:val="24"/>
          <w:szCs w:val="24"/>
        </w:rPr>
        <w:t>el 16/</w:t>
      </w:r>
      <w:r w:rsidR="004529B9" w:rsidRPr="00AC3019">
        <w:rPr>
          <w:rFonts w:ascii="Arial" w:hAnsi="Arial" w:cs="Arial"/>
          <w:sz w:val="24"/>
          <w:szCs w:val="24"/>
        </w:rPr>
        <w:t>07</w:t>
      </w:r>
      <w:r w:rsidR="000C0098">
        <w:rPr>
          <w:rFonts w:ascii="Arial" w:hAnsi="Arial" w:cs="Arial"/>
          <w:sz w:val="24"/>
          <w:szCs w:val="24"/>
        </w:rPr>
        <w:t>/</w:t>
      </w:r>
      <w:r w:rsidR="004529B9" w:rsidRPr="00AC3019">
        <w:rPr>
          <w:rFonts w:ascii="Arial" w:hAnsi="Arial" w:cs="Arial"/>
          <w:sz w:val="24"/>
          <w:szCs w:val="24"/>
        </w:rPr>
        <w:t xml:space="preserve">15 </w:t>
      </w:r>
      <w:proofErr w:type="spellStart"/>
      <w:r w:rsidR="004529B9" w:rsidRPr="00AC3019">
        <w:rPr>
          <w:rFonts w:ascii="Arial" w:hAnsi="Arial" w:cs="Arial"/>
          <w:sz w:val="24"/>
          <w:szCs w:val="24"/>
        </w:rPr>
        <w:t>Edimur</w:t>
      </w:r>
      <w:proofErr w:type="spellEnd"/>
      <w:r w:rsidR="004529B9" w:rsidRPr="00AC3019">
        <w:rPr>
          <w:rFonts w:ascii="Arial" w:hAnsi="Arial" w:cs="Arial"/>
          <w:sz w:val="24"/>
          <w:szCs w:val="24"/>
        </w:rPr>
        <w:t xml:space="preserve"> S.A</w:t>
      </w:r>
      <w:r w:rsidR="001E38E4">
        <w:rPr>
          <w:rFonts w:ascii="Arial" w:hAnsi="Arial" w:cs="Arial"/>
          <w:sz w:val="24"/>
          <w:szCs w:val="24"/>
        </w:rPr>
        <w:t>.</w:t>
      </w:r>
      <w:r w:rsidR="004529B9" w:rsidRPr="00AC3019">
        <w:rPr>
          <w:rFonts w:ascii="Arial" w:hAnsi="Arial" w:cs="Arial"/>
          <w:sz w:val="24"/>
          <w:szCs w:val="24"/>
        </w:rPr>
        <w:t xml:space="preserve"> interpuso los recursos administrativos de revocación y anulación contra la mencionada</w:t>
      </w:r>
      <w:r w:rsidRPr="00AC3019">
        <w:rPr>
          <w:rFonts w:ascii="Arial" w:hAnsi="Arial" w:cs="Arial"/>
          <w:sz w:val="24"/>
          <w:szCs w:val="24"/>
        </w:rPr>
        <w:t xml:space="preserve"> Resolución cumpliendo con el plaz</w:t>
      </w:r>
      <w:r w:rsidR="00263D5C" w:rsidRPr="00AC3019">
        <w:rPr>
          <w:rFonts w:ascii="Arial" w:hAnsi="Arial" w:cs="Arial"/>
          <w:sz w:val="24"/>
          <w:szCs w:val="24"/>
        </w:rPr>
        <w:t xml:space="preserve">o legal establecido, argumentando en síntesis que: </w:t>
      </w:r>
    </w:p>
    <w:p w:rsidR="00FE7919" w:rsidRPr="00AC3019" w:rsidRDefault="00FE7919" w:rsidP="000C0098">
      <w:pPr>
        <w:spacing w:after="0" w:line="360" w:lineRule="auto"/>
        <w:ind w:left="567" w:hanging="567"/>
        <w:jc w:val="both"/>
        <w:rPr>
          <w:rFonts w:ascii="Arial" w:hAnsi="Arial" w:cs="Arial"/>
          <w:sz w:val="24"/>
          <w:szCs w:val="24"/>
        </w:rPr>
      </w:pPr>
      <w:r w:rsidRPr="00AC3019">
        <w:rPr>
          <w:rFonts w:ascii="Arial" w:hAnsi="Arial" w:cs="Arial"/>
          <w:b/>
          <w:sz w:val="24"/>
          <w:szCs w:val="24"/>
        </w:rPr>
        <w:t>6.1)</w:t>
      </w:r>
      <w:r w:rsidR="000C0098">
        <w:rPr>
          <w:rFonts w:ascii="Arial" w:hAnsi="Arial" w:cs="Arial"/>
          <w:sz w:val="24"/>
          <w:szCs w:val="24"/>
        </w:rPr>
        <w:t xml:space="preserve"> </w:t>
      </w:r>
      <w:r w:rsidR="00263D5C" w:rsidRPr="00AC3019">
        <w:rPr>
          <w:rFonts w:ascii="Arial" w:hAnsi="Arial" w:cs="Arial"/>
          <w:sz w:val="24"/>
          <w:szCs w:val="24"/>
        </w:rPr>
        <w:t xml:space="preserve">desde abril de 2011, </w:t>
      </w:r>
      <w:proofErr w:type="spellStart"/>
      <w:r w:rsidR="007A1ED2" w:rsidRPr="00AC3019">
        <w:rPr>
          <w:rFonts w:ascii="Arial" w:hAnsi="Arial" w:cs="Arial"/>
          <w:sz w:val="24"/>
          <w:szCs w:val="24"/>
        </w:rPr>
        <w:t>Edimur</w:t>
      </w:r>
      <w:proofErr w:type="spellEnd"/>
      <w:r w:rsidR="007A1ED2" w:rsidRPr="00AC3019">
        <w:rPr>
          <w:rFonts w:ascii="Arial" w:hAnsi="Arial" w:cs="Arial"/>
          <w:sz w:val="24"/>
          <w:szCs w:val="24"/>
        </w:rPr>
        <w:t xml:space="preserve"> S.A</w:t>
      </w:r>
      <w:r w:rsidR="00263D5C" w:rsidRPr="00AC3019">
        <w:rPr>
          <w:rFonts w:ascii="Arial" w:hAnsi="Arial" w:cs="Arial"/>
          <w:sz w:val="24"/>
          <w:szCs w:val="24"/>
        </w:rPr>
        <w:t xml:space="preserve"> presta tareas en la A</w:t>
      </w:r>
      <w:r w:rsidR="001E38E4">
        <w:rPr>
          <w:rFonts w:ascii="Arial" w:hAnsi="Arial" w:cs="Arial"/>
          <w:sz w:val="24"/>
          <w:szCs w:val="24"/>
        </w:rPr>
        <w:t>.</w:t>
      </w:r>
      <w:r w:rsidR="00263D5C" w:rsidRPr="00AC3019">
        <w:rPr>
          <w:rFonts w:ascii="Arial" w:hAnsi="Arial" w:cs="Arial"/>
          <w:sz w:val="24"/>
          <w:szCs w:val="24"/>
        </w:rPr>
        <w:t>N</w:t>
      </w:r>
      <w:r w:rsidR="001E38E4">
        <w:rPr>
          <w:rFonts w:ascii="Arial" w:hAnsi="Arial" w:cs="Arial"/>
          <w:sz w:val="24"/>
          <w:szCs w:val="24"/>
        </w:rPr>
        <w:t>.</w:t>
      </w:r>
      <w:r w:rsidR="00263D5C" w:rsidRPr="00AC3019">
        <w:rPr>
          <w:rFonts w:ascii="Arial" w:hAnsi="Arial" w:cs="Arial"/>
          <w:sz w:val="24"/>
          <w:szCs w:val="24"/>
        </w:rPr>
        <w:t>V</w:t>
      </w:r>
      <w:r w:rsidR="001E38E4">
        <w:rPr>
          <w:rFonts w:ascii="Arial" w:hAnsi="Arial" w:cs="Arial"/>
          <w:sz w:val="24"/>
          <w:szCs w:val="24"/>
        </w:rPr>
        <w:t>.</w:t>
      </w:r>
      <w:r w:rsidR="00263D5C" w:rsidRPr="00AC3019">
        <w:rPr>
          <w:rFonts w:ascii="Arial" w:hAnsi="Arial" w:cs="Arial"/>
          <w:sz w:val="24"/>
          <w:szCs w:val="24"/>
        </w:rPr>
        <w:t xml:space="preserve"> ofreciendo trabajos contables</w:t>
      </w:r>
      <w:r w:rsidR="003251EF" w:rsidRPr="00AC3019">
        <w:rPr>
          <w:rFonts w:ascii="Arial" w:hAnsi="Arial" w:cs="Arial"/>
          <w:sz w:val="24"/>
          <w:szCs w:val="24"/>
        </w:rPr>
        <w:t xml:space="preserve"> al</w:t>
      </w:r>
      <w:r w:rsidR="00263D5C" w:rsidRPr="00AC3019">
        <w:rPr>
          <w:rFonts w:ascii="Arial" w:hAnsi="Arial" w:cs="Arial"/>
          <w:sz w:val="24"/>
          <w:szCs w:val="24"/>
        </w:rPr>
        <w:t xml:space="preserve"> sector de fideicomisos, en virtud de contratos que</w:t>
      </w:r>
      <w:r w:rsidR="007A1ED2" w:rsidRPr="00AC3019">
        <w:rPr>
          <w:rFonts w:ascii="Arial" w:hAnsi="Arial" w:cs="Arial"/>
          <w:sz w:val="24"/>
          <w:szCs w:val="24"/>
        </w:rPr>
        <w:t xml:space="preserve">, como consecuencia de la adjudicación de la licitación de referencia en favor de </w:t>
      </w:r>
      <w:proofErr w:type="spellStart"/>
      <w:r w:rsidR="007A1ED2" w:rsidRPr="00AC3019">
        <w:rPr>
          <w:rFonts w:ascii="Arial" w:hAnsi="Arial" w:cs="Arial"/>
          <w:sz w:val="24"/>
          <w:szCs w:val="24"/>
        </w:rPr>
        <w:t>Stavros</w:t>
      </w:r>
      <w:proofErr w:type="spellEnd"/>
      <w:r w:rsidR="007A1ED2" w:rsidRPr="00AC3019">
        <w:rPr>
          <w:rFonts w:ascii="Arial" w:hAnsi="Arial" w:cs="Arial"/>
          <w:sz w:val="24"/>
          <w:szCs w:val="24"/>
        </w:rPr>
        <w:t xml:space="preserve"> </w:t>
      </w:r>
      <w:proofErr w:type="spellStart"/>
      <w:r w:rsidR="007A1ED2" w:rsidRPr="00AC3019">
        <w:rPr>
          <w:rFonts w:ascii="Arial" w:hAnsi="Arial" w:cs="Arial"/>
          <w:sz w:val="24"/>
          <w:szCs w:val="24"/>
        </w:rPr>
        <w:t>Moyal</w:t>
      </w:r>
      <w:proofErr w:type="spellEnd"/>
      <w:r w:rsidR="007A1ED2" w:rsidRPr="00AC3019">
        <w:rPr>
          <w:rFonts w:ascii="Arial" w:hAnsi="Arial" w:cs="Arial"/>
          <w:sz w:val="24"/>
          <w:szCs w:val="24"/>
        </w:rPr>
        <w:t xml:space="preserve"> y Asociados S.R.L</w:t>
      </w:r>
      <w:r w:rsidR="001E38E4">
        <w:rPr>
          <w:rFonts w:ascii="Arial" w:hAnsi="Arial" w:cs="Arial"/>
          <w:sz w:val="24"/>
          <w:szCs w:val="24"/>
        </w:rPr>
        <w:t>.</w:t>
      </w:r>
      <w:r w:rsidR="007A1ED2" w:rsidRPr="00AC3019">
        <w:rPr>
          <w:rFonts w:ascii="Arial" w:hAnsi="Arial" w:cs="Arial"/>
          <w:sz w:val="24"/>
          <w:szCs w:val="24"/>
        </w:rPr>
        <w:t xml:space="preserve">, se verían rescindidos unilateralmente por la </w:t>
      </w:r>
      <w:r w:rsidR="00263D5C" w:rsidRPr="00AC3019">
        <w:rPr>
          <w:rFonts w:ascii="Arial" w:hAnsi="Arial" w:cs="Arial"/>
          <w:sz w:val="24"/>
          <w:szCs w:val="24"/>
        </w:rPr>
        <w:t xml:space="preserve">Administración </w:t>
      </w:r>
      <w:r w:rsidR="007A1ED2" w:rsidRPr="00AC3019">
        <w:rPr>
          <w:rFonts w:ascii="Arial" w:hAnsi="Arial" w:cs="Arial"/>
          <w:sz w:val="24"/>
          <w:szCs w:val="24"/>
        </w:rPr>
        <w:t>antes de los plazos estipulados;</w:t>
      </w:r>
    </w:p>
    <w:p w:rsidR="00307D2B" w:rsidRPr="00AC3019" w:rsidRDefault="00307D2B" w:rsidP="000C0098">
      <w:pPr>
        <w:spacing w:after="0" w:line="360" w:lineRule="auto"/>
        <w:ind w:left="567" w:hanging="567"/>
        <w:jc w:val="both"/>
        <w:rPr>
          <w:rFonts w:ascii="Arial" w:hAnsi="Arial" w:cs="Arial"/>
          <w:sz w:val="24"/>
          <w:szCs w:val="24"/>
        </w:rPr>
      </w:pPr>
      <w:r w:rsidRPr="00AC3019">
        <w:rPr>
          <w:rFonts w:ascii="Arial" w:hAnsi="Arial" w:cs="Arial"/>
          <w:b/>
          <w:sz w:val="24"/>
          <w:szCs w:val="24"/>
        </w:rPr>
        <w:t>6.2)</w:t>
      </w:r>
      <w:r w:rsidRPr="00AC3019">
        <w:rPr>
          <w:rFonts w:ascii="Arial" w:hAnsi="Arial" w:cs="Arial"/>
          <w:sz w:val="24"/>
          <w:szCs w:val="24"/>
        </w:rPr>
        <w:t xml:space="preserve"> no tuvo conocimiento previo de la integración de la Comisión Asesora de Adjudicaciones</w:t>
      </w:r>
      <w:r w:rsidR="003251EF" w:rsidRPr="00AC3019">
        <w:rPr>
          <w:rFonts w:ascii="Arial" w:hAnsi="Arial" w:cs="Arial"/>
          <w:sz w:val="24"/>
          <w:szCs w:val="24"/>
        </w:rPr>
        <w:t xml:space="preserve"> de este procedimiento</w:t>
      </w:r>
      <w:r w:rsidR="007A1ED2" w:rsidRPr="00AC3019">
        <w:rPr>
          <w:rFonts w:ascii="Arial" w:hAnsi="Arial" w:cs="Arial"/>
          <w:sz w:val="24"/>
          <w:szCs w:val="24"/>
        </w:rPr>
        <w:t xml:space="preserve"> y, a su juicio, </w:t>
      </w:r>
      <w:r w:rsidRPr="00AC3019">
        <w:rPr>
          <w:rFonts w:ascii="Arial" w:hAnsi="Arial" w:cs="Arial"/>
          <w:sz w:val="24"/>
          <w:szCs w:val="24"/>
        </w:rPr>
        <w:t>sus integrantes no son</w:t>
      </w:r>
      <w:r w:rsidR="007A1ED2" w:rsidRPr="00AC3019">
        <w:rPr>
          <w:rFonts w:ascii="Arial" w:hAnsi="Arial" w:cs="Arial"/>
          <w:sz w:val="24"/>
          <w:szCs w:val="24"/>
        </w:rPr>
        <w:t xml:space="preserve"> los más idóneos</w:t>
      </w:r>
      <w:r w:rsidRPr="00AC3019">
        <w:rPr>
          <w:rFonts w:ascii="Arial" w:hAnsi="Arial" w:cs="Arial"/>
          <w:sz w:val="24"/>
          <w:szCs w:val="24"/>
        </w:rPr>
        <w:t>;</w:t>
      </w:r>
    </w:p>
    <w:p w:rsidR="00263D5C" w:rsidRPr="00AC3019" w:rsidRDefault="00FE7919" w:rsidP="000C0098">
      <w:pPr>
        <w:spacing w:after="0" w:line="360" w:lineRule="auto"/>
        <w:ind w:left="567" w:hanging="567"/>
        <w:jc w:val="both"/>
        <w:rPr>
          <w:rFonts w:ascii="Arial" w:hAnsi="Arial" w:cs="Arial"/>
          <w:sz w:val="24"/>
          <w:szCs w:val="24"/>
        </w:rPr>
      </w:pPr>
      <w:r w:rsidRPr="00AC3019">
        <w:rPr>
          <w:rFonts w:ascii="Arial" w:hAnsi="Arial" w:cs="Arial"/>
          <w:b/>
          <w:sz w:val="24"/>
          <w:szCs w:val="24"/>
        </w:rPr>
        <w:t>6.</w:t>
      </w:r>
      <w:r w:rsidR="00307D2B" w:rsidRPr="00AC3019">
        <w:rPr>
          <w:rFonts w:ascii="Arial" w:hAnsi="Arial" w:cs="Arial"/>
          <w:b/>
          <w:sz w:val="24"/>
          <w:szCs w:val="24"/>
        </w:rPr>
        <w:t>3</w:t>
      </w:r>
      <w:r w:rsidRPr="00AC3019">
        <w:rPr>
          <w:rFonts w:ascii="Arial" w:hAnsi="Arial" w:cs="Arial"/>
          <w:b/>
          <w:sz w:val="24"/>
          <w:szCs w:val="24"/>
        </w:rPr>
        <w:t>)</w:t>
      </w:r>
      <w:r w:rsidRPr="00AC3019">
        <w:rPr>
          <w:rFonts w:ascii="Arial" w:hAnsi="Arial" w:cs="Arial"/>
          <w:sz w:val="24"/>
          <w:szCs w:val="24"/>
        </w:rPr>
        <w:t xml:space="preserve"> </w:t>
      </w:r>
      <w:r w:rsidR="00263D5C" w:rsidRPr="00AC3019">
        <w:rPr>
          <w:rFonts w:ascii="Arial" w:hAnsi="Arial" w:cs="Arial"/>
          <w:sz w:val="24"/>
          <w:szCs w:val="24"/>
        </w:rPr>
        <w:t>compara</w:t>
      </w:r>
      <w:r w:rsidRPr="00AC3019">
        <w:rPr>
          <w:rFonts w:ascii="Arial" w:hAnsi="Arial" w:cs="Arial"/>
          <w:sz w:val="24"/>
          <w:szCs w:val="24"/>
        </w:rPr>
        <w:t>ndo</w:t>
      </w:r>
      <w:r w:rsidR="00263D5C" w:rsidRPr="00AC3019">
        <w:rPr>
          <w:rFonts w:ascii="Arial" w:hAnsi="Arial" w:cs="Arial"/>
          <w:sz w:val="24"/>
          <w:szCs w:val="24"/>
        </w:rPr>
        <w:t xml:space="preserve"> este procedimiento con la </w:t>
      </w:r>
      <w:r w:rsidR="00AB6E31" w:rsidRPr="00AC3019">
        <w:rPr>
          <w:rFonts w:ascii="Arial" w:hAnsi="Arial" w:cs="Arial"/>
          <w:sz w:val="24"/>
          <w:szCs w:val="24"/>
        </w:rPr>
        <w:t>Licitación Abreviada N° 02/2014:</w:t>
      </w:r>
      <w:r w:rsidR="00E76D35" w:rsidRPr="00AC3019">
        <w:rPr>
          <w:rFonts w:ascii="Arial" w:hAnsi="Arial" w:cs="Arial"/>
          <w:sz w:val="24"/>
          <w:szCs w:val="24"/>
        </w:rPr>
        <w:t xml:space="preserve"> </w:t>
      </w:r>
      <w:r w:rsidR="007A1ED2" w:rsidRPr="00AC3019">
        <w:rPr>
          <w:rFonts w:ascii="Arial" w:hAnsi="Arial" w:cs="Arial"/>
          <w:sz w:val="24"/>
          <w:szCs w:val="24"/>
        </w:rPr>
        <w:t>aquella</w:t>
      </w:r>
      <w:r w:rsidR="00E76D35" w:rsidRPr="00AC3019">
        <w:rPr>
          <w:rFonts w:ascii="Arial" w:hAnsi="Arial" w:cs="Arial"/>
          <w:sz w:val="24"/>
          <w:szCs w:val="24"/>
        </w:rPr>
        <w:t xml:space="preserve"> tiene </w:t>
      </w:r>
      <w:r w:rsidR="00263D5C" w:rsidRPr="00AC3019">
        <w:rPr>
          <w:rFonts w:ascii="Arial" w:hAnsi="Arial" w:cs="Arial"/>
          <w:sz w:val="24"/>
          <w:szCs w:val="24"/>
        </w:rPr>
        <w:t>un objeto similar</w:t>
      </w:r>
      <w:r w:rsidRPr="00AC3019">
        <w:rPr>
          <w:rFonts w:ascii="Arial" w:hAnsi="Arial" w:cs="Arial"/>
          <w:sz w:val="24"/>
          <w:szCs w:val="24"/>
        </w:rPr>
        <w:t xml:space="preserve"> al de la presente licitación</w:t>
      </w:r>
      <w:r w:rsidR="00263D5C" w:rsidRPr="00AC3019">
        <w:rPr>
          <w:rFonts w:ascii="Arial" w:hAnsi="Arial" w:cs="Arial"/>
          <w:sz w:val="24"/>
          <w:szCs w:val="24"/>
        </w:rPr>
        <w:t xml:space="preserve"> aunque más acotado</w:t>
      </w:r>
      <w:r w:rsidR="00E76D35" w:rsidRPr="00AC3019">
        <w:rPr>
          <w:rFonts w:ascii="Arial" w:hAnsi="Arial" w:cs="Arial"/>
          <w:sz w:val="24"/>
          <w:szCs w:val="24"/>
        </w:rPr>
        <w:t xml:space="preserve">; los criterios de evaluación son diferentes; </w:t>
      </w:r>
      <w:proofErr w:type="spellStart"/>
      <w:r w:rsidR="00263D5C" w:rsidRPr="00AC3019">
        <w:rPr>
          <w:rFonts w:ascii="Arial" w:hAnsi="Arial" w:cs="Arial"/>
          <w:sz w:val="24"/>
          <w:szCs w:val="24"/>
        </w:rPr>
        <w:t>Stavros</w:t>
      </w:r>
      <w:proofErr w:type="spellEnd"/>
      <w:r w:rsidR="00263D5C" w:rsidRPr="00AC3019">
        <w:rPr>
          <w:rFonts w:ascii="Arial" w:hAnsi="Arial" w:cs="Arial"/>
          <w:sz w:val="24"/>
          <w:szCs w:val="24"/>
        </w:rPr>
        <w:t xml:space="preserve"> </w:t>
      </w:r>
      <w:proofErr w:type="spellStart"/>
      <w:r w:rsidR="00263D5C" w:rsidRPr="00AC3019">
        <w:rPr>
          <w:rFonts w:ascii="Arial" w:hAnsi="Arial" w:cs="Arial"/>
          <w:sz w:val="24"/>
          <w:szCs w:val="24"/>
        </w:rPr>
        <w:t>Moyal</w:t>
      </w:r>
      <w:proofErr w:type="spellEnd"/>
      <w:r w:rsidR="00263D5C" w:rsidRPr="00AC3019">
        <w:rPr>
          <w:rFonts w:ascii="Arial" w:hAnsi="Arial" w:cs="Arial"/>
          <w:sz w:val="24"/>
          <w:szCs w:val="24"/>
        </w:rPr>
        <w:t xml:space="preserve"> y Asociados S.R.L</w:t>
      </w:r>
      <w:r w:rsidR="001E38E4">
        <w:rPr>
          <w:rFonts w:ascii="Arial" w:hAnsi="Arial" w:cs="Arial"/>
          <w:sz w:val="24"/>
          <w:szCs w:val="24"/>
        </w:rPr>
        <w:t>.</w:t>
      </w:r>
      <w:r w:rsidR="007A1ED2" w:rsidRPr="00AC3019">
        <w:rPr>
          <w:rFonts w:ascii="Arial" w:hAnsi="Arial" w:cs="Arial"/>
          <w:sz w:val="24"/>
          <w:szCs w:val="24"/>
        </w:rPr>
        <w:t xml:space="preserve"> no se presentó a ese llamado</w:t>
      </w:r>
      <w:r w:rsidR="00263D5C" w:rsidRPr="00AC3019">
        <w:rPr>
          <w:rFonts w:ascii="Arial" w:hAnsi="Arial" w:cs="Arial"/>
          <w:sz w:val="24"/>
          <w:szCs w:val="24"/>
        </w:rPr>
        <w:t xml:space="preserve"> y luego de cinco meses de </w:t>
      </w:r>
      <w:r w:rsidR="007A1ED2" w:rsidRPr="00AC3019">
        <w:rPr>
          <w:rFonts w:ascii="Arial" w:hAnsi="Arial" w:cs="Arial"/>
          <w:sz w:val="24"/>
          <w:szCs w:val="24"/>
        </w:rPr>
        <w:t xml:space="preserve">la apertura de </w:t>
      </w:r>
      <w:r w:rsidR="00263D5C" w:rsidRPr="00AC3019">
        <w:rPr>
          <w:rFonts w:ascii="Arial" w:hAnsi="Arial" w:cs="Arial"/>
          <w:sz w:val="24"/>
          <w:szCs w:val="24"/>
        </w:rPr>
        <w:t>ofertas, el procedimiento fue dejado sin efecto.</w:t>
      </w:r>
      <w:r w:rsidRPr="00AC3019">
        <w:rPr>
          <w:rFonts w:ascii="Arial" w:hAnsi="Arial" w:cs="Arial"/>
          <w:sz w:val="24"/>
          <w:szCs w:val="24"/>
        </w:rPr>
        <w:t xml:space="preserve"> </w:t>
      </w:r>
      <w:proofErr w:type="spellStart"/>
      <w:r w:rsidRPr="00AC3019">
        <w:rPr>
          <w:rFonts w:ascii="Arial" w:hAnsi="Arial" w:cs="Arial"/>
          <w:sz w:val="24"/>
          <w:szCs w:val="24"/>
        </w:rPr>
        <w:t>Edimur</w:t>
      </w:r>
      <w:proofErr w:type="spellEnd"/>
      <w:r w:rsidRPr="00AC3019">
        <w:rPr>
          <w:rFonts w:ascii="Arial" w:hAnsi="Arial" w:cs="Arial"/>
          <w:sz w:val="24"/>
          <w:szCs w:val="24"/>
        </w:rPr>
        <w:t xml:space="preserve"> S.A</w:t>
      </w:r>
      <w:r w:rsidR="001E38E4">
        <w:rPr>
          <w:rFonts w:ascii="Arial" w:hAnsi="Arial" w:cs="Arial"/>
          <w:sz w:val="24"/>
          <w:szCs w:val="24"/>
        </w:rPr>
        <w:t>.</w:t>
      </w:r>
      <w:r w:rsidRPr="00AC3019">
        <w:rPr>
          <w:rFonts w:ascii="Arial" w:hAnsi="Arial" w:cs="Arial"/>
          <w:sz w:val="24"/>
          <w:szCs w:val="24"/>
        </w:rPr>
        <w:t xml:space="preserve"> fue quien cotizó en menor monto en aquél procedimiento y entiende </w:t>
      </w:r>
      <w:r w:rsidR="00E634F7" w:rsidRPr="00AC3019">
        <w:rPr>
          <w:rFonts w:ascii="Arial" w:hAnsi="Arial" w:cs="Arial"/>
          <w:sz w:val="24"/>
          <w:szCs w:val="24"/>
        </w:rPr>
        <w:t>que debió ser la adjudicataria;</w:t>
      </w:r>
    </w:p>
    <w:p w:rsidR="003251EF" w:rsidRPr="00AC3019" w:rsidRDefault="00307D2B" w:rsidP="000C0098">
      <w:pPr>
        <w:spacing w:after="0" w:line="360" w:lineRule="auto"/>
        <w:ind w:left="567" w:hanging="567"/>
        <w:jc w:val="both"/>
        <w:rPr>
          <w:rFonts w:ascii="Arial" w:hAnsi="Arial" w:cs="Arial"/>
          <w:sz w:val="24"/>
          <w:szCs w:val="24"/>
        </w:rPr>
      </w:pPr>
      <w:r w:rsidRPr="00AC3019">
        <w:rPr>
          <w:rFonts w:ascii="Arial" w:hAnsi="Arial" w:cs="Arial"/>
          <w:b/>
          <w:sz w:val="24"/>
          <w:szCs w:val="24"/>
        </w:rPr>
        <w:t xml:space="preserve">6.4) </w:t>
      </w:r>
      <w:r w:rsidR="003251EF" w:rsidRPr="00AC3019">
        <w:rPr>
          <w:rFonts w:ascii="Arial" w:hAnsi="Arial" w:cs="Arial"/>
          <w:sz w:val="24"/>
          <w:szCs w:val="24"/>
        </w:rPr>
        <w:t xml:space="preserve">en el presente procedimiento, en lo relativo al estudio de las propuestas, para la evaluación de los antecedentes, metodología y plan de trabajo, la Comisión </w:t>
      </w:r>
      <w:r w:rsidR="00AB6E31" w:rsidRPr="00AC3019">
        <w:rPr>
          <w:rFonts w:ascii="Arial" w:hAnsi="Arial" w:cs="Arial"/>
          <w:sz w:val="24"/>
          <w:szCs w:val="24"/>
        </w:rPr>
        <w:t xml:space="preserve">Asesora </w:t>
      </w:r>
      <w:r w:rsidR="003251EF" w:rsidRPr="00AC3019">
        <w:rPr>
          <w:rFonts w:ascii="Arial" w:hAnsi="Arial" w:cs="Arial"/>
          <w:sz w:val="24"/>
          <w:szCs w:val="24"/>
        </w:rPr>
        <w:t>utilizó un criterio numérico y de proporcionalidad que el pliego prevé únicamente para la evaluación del precio, pero no para la de estos factores;</w:t>
      </w:r>
    </w:p>
    <w:p w:rsidR="003251EF" w:rsidRPr="00AC3019" w:rsidRDefault="003251EF" w:rsidP="000C0098">
      <w:pPr>
        <w:spacing w:after="0" w:line="360" w:lineRule="auto"/>
        <w:ind w:left="567" w:hanging="567"/>
        <w:jc w:val="both"/>
        <w:rPr>
          <w:rFonts w:ascii="Arial" w:hAnsi="Arial" w:cs="Arial"/>
          <w:b/>
          <w:sz w:val="24"/>
          <w:szCs w:val="24"/>
        </w:rPr>
      </w:pPr>
      <w:r w:rsidRPr="00AC3019">
        <w:rPr>
          <w:rFonts w:ascii="Arial" w:hAnsi="Arial" w:cs="Arial"/>
          <w:b/>
          <w:sz w:val="24"/>
          <w:szCs w:val="24"/>
        </w:rPr>
        <w:t>6.5)</w:t>
      </w:r>
      <w:r w:rsidRPr="00AC3019">
        <w:rPr>
          <w:rFonts w:ascii="Arial" w:hAnsi="Arial" w:cs="Arial"/>
          <w:sz w:val="24"/>
          <w:szCs w:val="24"/>
        </w:rPr>
        <w:t xml:space="preserve"> </w:t>
      </w:r>
      <w:r w:rsidR="00307D2B" w:rsidRPr="00AC3019">
        <w:rPr>
          <w:rFonts w:ascii="Arial" w:hAnsi="Arial" w:cs="Arial"/>
          <w:sz w:val="24"/>
          <w:szCs w:val="24"/>
        </w:rPr>
        <w:t>se perjudica</w:t>
      </w:r>
      <w:r w:rsidRPr="00AC3019">
        <w:rPr>
          <w:rFonts w:ascii="Arial" w:hAnsi="Arial" w:cs="Arial"/>
          <w:sz w:val="24"/>
          <w:szCs w:val="24"/>
        </w:rPr>
        <w:t xml:space="preserve"> también, </w:t>
      </w:r>
      <w:r w:rsidR="00307D2B" w:rsidRPr="00AC3019">
        <w:rPr>
          <w:rFonts w:ascii="Arial" w:hAnsi="Arial" w:cs="Arial"/>
          <w:sz w:val="24"/>
          <w:szCs w:val="24"/>
        </w:rPr>
        <w:t>al haberse otorgado igual valor a los antecedentes de contabilidad que a los de auditoría y no por haberse tomado en consideración los antecedentes de sus consultores, su experiencia en fideicomisos de cartera social y de créditos hipotecarios para vivienda y el mérito de su propuesta en términos de medidas para el aseguramiento de la calidad de tareas no rutinarias;</w:t>
      </w:r>
      <w:r w:rsidRPr="00AC3019">
        <w:rPr>
          <w:rFonts w:ascii="Arial" w:hAnsi="Arial" w:cs="Arial"/>
          <w:b/>
          <w:sz w:val="24"/>
          <w:szCs w:val="24"/>
        </w:rPr>
        <w:t xml:space="preserve"> </w:t>
      </w:r>
    </w:p>
    <w:p w:rsidR="003251EF" w:rsidRPr="00AC3019" w:rsidRDefault="003251EF" w:rsidP="000C0098">
      <w:pPr>
        <w:spacing w:after="0" w:line="360" w:lineRule="auto"/>
        <w:ind w:left="567" w:hanging="567"/>
        <w:jc w:val="both"/>
        <w:rPr>
          <w:rFonts w:ascii="Arial" w:hAnsi="Arial" w:cs="Arial"/>
          <w:sz w:val="24"/>
          <w:szCs w:val="24"/>
        </w:rPr>
      </w:pPr>
      <w:r w:rsidRPr="00AC3019">
        <w:rPr>
          <w:rFonts w:ascii="Arial" w:hAnsi="Arial" w:cs="Arial"/>
          <w:b/>
          <w:sz w:val="24"/>
          <w:szCs w:val="24"/>
        </w:rPr>
        <w:t xml:space="preserve">6.6) </w:t>
      </w:r>
      <w:r w:rsidRPr="00AC3019">
        <w:rPr>
          <w:rFonts w:ascii="Arial" w:hAnsi="Arial" w:cs="Arial"/>
          <w:sz w:val="24"/>
          <w:szCs w:val="24"/>
        </w:rPr>
        <w:t xml:space="preserve">discrepa con la puntuación otorgada a </w:t>
      </w:r>
      <w:proofErr w:type="spellStart"/>
      <w:r w:rsidRPr="00AC3019">
        <w:rPr>
          <w:rFonts w:ascii="Arial" w:hAnsi="Arial" w:cs="Arial"/>
          <w:sz w:val="24"/>
          <w:szCs w:val="24"/>
        </w:rPr>
        <w:t>Edimur</w:t>
      </w:r>
      <w:proofErr w:type="spellEnd"/>
      <w:r w:rsidRPr="00AC3019">
        <w:rPr>
          <w:rFonts w:ascii="Arial" w:hAnsi="Arial" w:cs="Arial"/>
          <w:sz w:val="24"/>
          <w:szCs w:val="24"/>
        </w:rPr>
        <w:t xml:space="preserve"> S.A</w:t>
      </w:r>
      <w:r w:rsidR="001E38E4">
        <w:rPr>
          <w:rFonts w:ascii="Arial" w:hAnsi="Arial" w:cs="Arial"/>
          <w:sz w:val="24"/>
          <w:szCs w:val="24"/>
        </w:rPr>
        <w:t>.</w:t>
      </w:r>
      <w:r w:rsidRPr="00AC3019">
        <w:rPr>
          <w:rFonts w:ascii="Arial" w:hAnsi="Arial" w:cs="Arial"/>
          <w:sz w:val="24"/>
          <w:szCs w:val="24"/>
        </w:rPr>
        <w:t>, manifestando un error de cálculo matemático en la aplicación del criterio de proporcionalidad inversa;</w:t>
      </w:r>
    </w:p>
    <w:p w:rsidR="00FE7919" w:rsidRPr="00AC3019" w:rsidRDefault="003251EF" w:rsidP="000C0098">
      <w:pPr>
        <w:spacing w:after="0" w:line="360" w:lineRule="auto"/>
        <w:ind w:left="567" w:hanging="567"/>
        <w:jc w:val="both"/>
        <w:rPr>
          <w:rFonts w:ascii="Arial" w:hAnsi="Arial" w:cs="Arial"/>
          <w:sz w:val="24"/>
          <w:szCs w:val="24"/>
        </w:rPr>
      </w:pPr>
      <w:r w:rsidRPr="00AC3019">
        <w:rPr>
          <w:rFonts w:ascii="Arial" w:hAnsi="Arial" w:cs="Arial"/>
          <w:b/>
          <w:sz w:val="24"/>
          <w:szCs w:val="24"/>
        </w:rPr>
        <w:t>6.7</w:t>
      </w:r>
      <w:r w:rsidR="00FE7919" w:rsidRPr="00AC3019">
        <w:rPr>
          <w:rFonts w:ascii="Arial" w:hAnsi="Arial" w:cs="Arial"/>
          <w:b/>
          <w:sz w:val="24"/>
          <w:szCs w:val="24"/>
        </w:rPr>
        <w:t xml:space="preserve">) </w:t>
      </w:r>
      <w:proofErr w:type="spellStart"/>
      <w:r w:rsidR="00E634F7" w:rsidRPr="00AC3019">
        <w:rPr>
          <w:rFonts w:ascii="Arial" w:hAnsi="Arial" w:cs="Arial"/>
          <w:sz w:val="24"/>
          <w:szCs w:val="24"/>
        </w:rPr>
        <w:t>Stavros</w:t>
      </w:r>
      <w:proofErr w:type="spellEnd"/>
      <w:r w:rsidR="00E634F7" w:rsidRPr="00AC3019">
        <w:rPr>
          <w:rFonts w:ascii="Arial" w:hAnsi="Arial" w:cs="Arial"/>
          <w:sz w:val="24"/>
          <w:szCs w:val="24"/>
        </w:rPr>
        <w:t xml:space="preserve"> </w:t>
      </w:r>
      <w:proofErr w:type="spellStart"/>
      <w:r w:rsidR="00E634F7" w:rsidRPr="00AC3019">
        <w:rPr>
          <w:rFonts w:ascii="Arial" w:hAnsi="Arial" w:cs="Arial"/>
          <w:sz w:val="24"/>
          <w:szCs w:val="24"/>
        </w:rPr>
        <w:t>Moyal</w:t>
      </w:r>
      <w:proofErr w:type="spellEnd"/>
      <w:r w:rsidR="00E634F7" w:rsidRPr="00AC3019">
        <w:rPr>
          <w:rFonts w:ascii="Arial" w:hAnsi="Arial" w:cs="Arial"/>
          <w:sz w:val="24"/>
          <w:szCs w:val="24"/>
        </w:rPr>
        <w:t xml:space="preserve"> y Asociados S.R.L</w:t>
      </w:r>
      <w:r w:rsidR="00B77C34">
        <w:rPr>
          <w:rFonts w:ascii="Arial" w:hAnsi="Arial" w:cs="Arial"/>
          <w:sz w:val="24"/>
          <w:szCs w:val="24"/>
        </w:rPr>
        <w:t>.</w:t>
      </w:r>
      <w:r w:rsidR="00E634F7" w:rsidRPr="00AC3019">
        <w:rPr>
          <w:rFonts w:ascii="Arial" w:hAnsi="Arial" w:cs="Arial"/>
          <w:sz w:val="24"/>
          <w:szCs w:val="24"/>
        </w:rPr>
        <w:t xml:space="preserve"> </w:t>
      </w:r>
      <w:r w:rsidR="00363903">
        <w:rPr>
          <w:rFonts w:ascii="Arial" w:hAnsi="Arial" w:cs="Arial"/>
          <w:sz w:val="24"/>
          <w:szCs w:val="24"/>
        </w:rPr>
        <w:t>fu</w:t>
      </w:r>
      <w:r w:rsidR="001E38E4">
        <w:rPr>
          <w:rFonts w:ascii="Arial" w:hAnsi="Arial" w:cs="Arial"/>
          <w:sz w:val="24"/>
          <w:szCs w:val="24"/>
        </w:rPr>
        <w:t>e e</w:t>
      </w:r>
      <w:r w:rsidR="00E634F7" w:rsidRPr="00AC3019">
        <w:rPr>
          <w:rFonts w:ascii="Arial" w:hAnsi="Arial" w:cs="Arial"/>
          <w:sz w:val="24"/>
          <w:szCs w:val="24"/>
        </w:rPr>
        <w:t>l auditor externo de los fideicomisos administrados por la A</w:t>
      </w:r>
      <w:r w:rsidR="00363903">
        <w:rPr>
          <w:rFonts w:ascii="Arial" w:hAnsi="Arial" w:cs="Arial"/>
          <w:sz w:val="24"/>
          <w:szCs w:val="24"/>
        </w:rPr>
        <w:t>.</w:t>
      </w:r>
      <w:r w:rsidR="00E634F7" w:rsidRPr="00AC3019">
        <w:rPr>
          <w:rFonts w:ascii="Arial" w:hAnsi="Arial" w:cs="Arial"/>
          <w:sz w:val="24"/>
          <w:szCs w:val="24"/>
        </w:rPr>
        <w:t>N</w:t>
      </w:r>
      <w:r w:rsidR="00363903">
        <w:rPr>
          <w:rFonts w:ascii="Arial" w:hAnsi="Arial" w:cs="Arial"/>
          <w:sz w:val="24"/>
          <w:szCs w:val="24"/>
        </w:rPr>
        <w:t>.</w:t>
      </w:r>
      <w:r w:rsidR="00E634F7" w:rsidRPr="00AC3019">
        <w:rPr>
          <w:rFonts w:ascii="Arial" w:hAnsi="Arial" w:cs="Arial"/>
          <w:sz w:val="24"/>
          <w:szCs w:val="24"/>
        </w:rPr>
        <w:t>V</w:t>
      </w:r>
      <w:r w:rsidR="00363903">
        <w:rPr>
          <w:rFonts w:ascii="Arial" w:hAnsi="Arial" w:cs="Arial"/>
          <w:sz w:val="24"/>
          <w:szCs w:val="24"/>
        </w:rPr>
        <w:t xml:space="preserve">. </w:t>
      </w:r>
      <w:r w:rsidR="00E634F7" w:rsidRPr="00AC3019">
        <w:rPr>
          <w:rFonts w:ascii="Arial" w:hAnsi="Arial" w:cs="Arial"/>
          <w:sz w:val="24"/>
          <w:szCs w:val="24"/>
        </w:rPr>
        <w:t xml:space="preserve">hasta el año 2014, por lo que existe incompatibilidad </w:t>
      </w:r>
      <w:r w:rsidR="007A1ED2" w:rsidRPr="00AC3019">
        <w:rPr>
          <w:rFonts w:ascii="Arial" w:hAnsi="Arial" w:cs="Arial"/>
          <w:sz w:val="24"/>
          <w:szCs w:val="24"/>
        </w:rPr>
        <w:t>en</w:t>
      </w:r>
      <w:r w:rsidR="00E634F7" w:rsidRPr="00AC3019">
        <w:rPr>
          <w:rFonts w:ascii="Arial" w:hAnsi="Arial" w:cs="Arial"/>
          <w:sz w:val="24"/>
          <w:szCs w:val="24"/>
        </w:rPr>
        <w:t xml:space="preserve"> la participación </w:t>
      </w:r>
      <w:r w:rsidR="007A1ED2" w:rsidRPr="00AC3019">
        <w:rPr>
          <w:rFonts w:ascii="Arial" w:hAnsi="Arial" w:cs="Arial"/>
          <w:sz w:val="24"/>
          <w:szCs w:val="24"/>
        </w:rPr>
        <w:t xml:space="preserve">de dicha firma </w:t>
      </w:r>
      <w:r w:rsidR="00E634F7" w:rsidRPr="00AC3019">
        <w:rPr>
          <w:rFonts w:ascii="Arial" w:hAnsi="Arial" w:cs="Arial"/>
          <w:sz w:val="24"/>
          <w:szCs w:val="24"/>
        </w:rPr>
        <w:t>en la Licitación Abreviada Ampliada N° 02/2015,</w:t>
      </w:r>
      <w:r w:rsidR="00E76D35" w:rsidRPr="00AC3019">
        <w:rPr>
          <w:rFonts w:ascii="Arial" w:hAnsi="Arial" w:cs="Arial"/>
          <w:sz w:val="24"/>
          <w:szCs w:val="24"/>
        </w:rPr>
        <w:t xml:space="preserve"> según la Circular N° 1999 del Banco Central del Uruguay, </w:t>
      </w:r>
      <w:r w:rsidR="00E634F7" w:rsidRPr="00AC3019">
        <w:rPr>
          <w:rFonts w:ascii="Arial" w:hAnsi="Arial" w:cs="Arial"/>
          <w:sz w:val="24"/>
          <w:szCs w:val="24"/>
        </w:rPr>
        <w:t>puesto que, indirectamente, al momento de presentarse en el procedimiento</w:t>
      </w:r>
      <w:r w:rsidR="002B7479" w:rsidRPr="00AC3019">
        <w:rPr>
          <w:rFonts w:ascii="Arial" w:hAnsi="Arial" w:cs="Arial"/>
          <w:sz w:val="24"/>
          <w:szCs w:val="24"/>
        </w:rPr>
        <w:t xml:space="preserve"> se encuentra prestando tareas</w:t>
      </w:r>
      <w:r w:rsidR="00E634F7" w:rsidRPr="00AC3019">
        <w:rPr>
          <w:rFonts w:ascii="Arial" w:hAnsi="Arial" w:cs="Arial"/>
          <w:sz w:val="24"/>
          <w:szCs w:val="24"/>
        </w:rPr>
        <w:t>;</w:t>
      </w:r>
    </w:p>
    <w:p w:rsidR="00E634F7" w:rsidRPr="00AC3019" w:rsidRDefault="003251EF" w:rsidP="000C0098">
      <w:pPr>
        <w:spacing w:after="0" w:line="360" w:lineRule="auto"/>
        <w:ind w:left="567" w:hanging="567"/>
        <w:jc w:val="both"/>
        <w:rPr>
          <w:rFonts w:ascii="Arial" w:hAnsi="Arial" w:cs="Arial"/>
          <w:sz w:val="24"/>
          <w:szCs w:val="24"/>
        </w:rPr>
      </w:pPr>
      <w:r w:rsidRPr="00AC3019">
        <w:rPr>
          <w:rFonts w:ascii="Arial" w:hAnsi="Arial" w:cs="Arial"/>
          <w:b/>
          <w:sz w:val="24"/>
          <w:szCs w:val="24"/>
        </w:rPr>
        <w:t>6.8</w:t>
      </w:r>
      <w:r w:rsidR="00E634F7" w:rsidRPr="00AC3019">
        <w:rPr>
          <w:rFonts w:ascii="Arial" w:hAnsi="Arial" w:cs="Arial"/>
          <w:b/>
          <w:sz w:val="24"/>
          <w:szCs w:val="24"/>
        </w:rPr>
        <w:t xml:space="preserve">) </w:t>
      </w:r>
      <w:r w:rsidR="000C0098">
        <w:rPr>
          <w:rFonts w:ascii="Arial" w:hAnsi="Arial" w:cs="Arial"/>
          <w:sz w:val="24"/>
          <w:szCs w:val="24"/>
        </w:rPr>
        <w:t>v</w:t>
      </w:r>
      <w:r w:rsidR="00E634F7" w:rsidRPr="00AC3019">
        <w:rPr>
          <w:rFonts w:ascii="Arial" w:hAnsi="Arial" w:cs="Arial"/>
          <w:sz w:val="24"/>
          <w:szCs w:val="24"/>
        </w:rPr>
        <w:t>isto que todos los presupuestos de las ofertas superaban el millón de pesos mensuales, el valor por el cual se licita supera lo establecido en el límite establecido en artículo 67 del TOCAF y la Administración debió dar vista de las actuaciones;</w:t>
      </w:r>
    </w:p>
    <w:p w:rsidR="009C3D37" w:rsidRDefault="003251EF" w:rsidP="009C3D37">
      <w:pPr>
        <w:spacing w:after="0" w:line="360" w:lineRule="auto"/>
        <w:ind w:firstLine="2694"/>
        <w:jc w:val="both"/>
        <w:rPr>
          <w:rFonts w:ascii="Arial" w:hAnsi="Arial" w:cs="Arial"/>
          <w:sz w:val="24"/>
          <w:szCs w:val="24"/>
        </w:rPr>
      </w:pPr>
      <w:r w:rsidRPr="00AC3019">
        <w:rPr>
          <w:rFonts w:ascii="Arial" w:hAnsi="Arial" w:cs="Arial"/>
          <w:b/>
          <w:sz w:val="24"/>
          <w:szCs w:val="24"/>
        </w:rPr>
        <w:t xml:space="preserve">7) </w:t>
      </w:r>
      <w:r w:rsidRPr="00AC3019">
        <w:rPr>
          <w:rFonts w:ascii="Arial" w:hAnsi="Arial" w:cs="Arial"/>
          <w:sz w:val="24"/>
          <w:szCs w:val="24"/>
        </w:rPr>
        <w:t xml:space="preserve">que con posterioridad, </w:t>
      </w:r>
      <w:proofErr w:type="spellStart"/>
      <w:r w:rsidRPr="00AC3019">
        <w:rPr>
          <w:rFonts w:ascii="Arial" w:hAnsi="Arial" w:cs="Arial"/>
          <w:sz w:val="24"/>
          <w:szCs w:val="24"/>
        </w:rPr>
        <w:t>Edimur</w:t>
      </w:r>
      <w:proofErr w:type="spellEnd"/>
      <w:r w:rsidRPr="00AC3019">
        <w:rPr>
          <w:rFonts w:ascii="Arial" w:hAnsi="Arial" w:cs="Arial"/>
          <w:sz w:val="24"/>
          <w:szCs w:val="24"/>
        </w:rPr>
        <w:t xml:space="preserve"> S.A</w:t>
      </w:r>
      <w:r w:rsidR="009C3D37">
        <w:rPr>
          <w:rFonts w:ascii="Arial" w:hAnsi="Arial" w:cs="Arial"/>
          <w:sz w:val="24"/>
          <w:szCs w:val="24"/>
        </w:rPr>
        <w:t xml:space="preserve">. </w:t>
      </w:r>
      <w:r w:rsidRPr="00AC3019">
        <w:rPr>
          <w:rFonts w:ascii="Arial" w:hAnsi="Arial" w:cs="Arial"/>
          <w:sz w:val="24"/>
          <w:szCs w:val="24"/>
        </w:rPr>
        <w:t>amplió su fundamentación</w:t>
      </w:r>
      <w:r w:rsidR="00B91746" w:rsidRPr="00AC3019">
        <w:rPr>
          <w:rFonts w:ascii="Arial" w:hAnsi="Arial" w:cs="Arial"/>
          <w:sz w:val="24"/>
          <w:szCs w:val="24"/>
        </w:rPr>
        <w:t xml:space="preserve"> reiterando los argumentos expresados y agregando que, a su entender, los dictámenes de auditoría externa sobre los estados contables de los fideicomisos al 31</w:t>
      </w:r>
      <w:r w:rsidR="009C3D37">
        <w:rPr>
          <w:rFonts w:ascii="Arial" w:hAnsi="Arial" w:cs="Arial"/>
          <w:sz w:val="24"/>
          <w:szCs w:val="24"/>
        </w:rPr>
        <w:t>/</w:t>
      </w:r>
      <w:r w:rsidR="00B91746" w:rsidRPr="00AC3019">
        <w:rPr>
          <w:rFonts w:ascii="Arial" w:hAnsi="Arial" w:cs="Arial"/>
          <w:sz w:val="24"/>
          <w:szCs w:val="24"/>
        </w:rPr>
        <w:t>12</w:t>
      </w:r>
      <w:r w:rsidR="009C3D37">
        <w:rPr>
          <w:rFonts w:ascii="Arial" w:hAnsi="Arial" w:cs="Arial"/>
          <w:sz w:val="24"/>
          <w:szCs w:val="24"/>
        </w:rPr>
        <w:t>/</w:t>
      </w:r>
      <w:r w:rsidR="00B91746" w:rsidRPr="00AC3019">
        <w:rPr>
          <w:rFonts w:ascii="Arial" w:hAnsi="Arial" w:cs="Arial"/>
          <w:sz w:val="24"/>
          <w:szCs w:val="24"/>
        </w:rPr>
        <w:t xml:space="preserve">14 y la suscripción de tales estados, fueron antedatados para eludir la incompatibilidad que de otra forma impediría a </w:t>
      </w:r>
      <w:proofErr w:type="spellStart"/>
      <w:r w:rsidR="00B91746" w:rsidRPr="00AC3019">
        <w:rPr>
          <w:rFonts w:ascii="Arial" w:hAnsi="Arial" w:cs="Arial"/>
          <w:sz w:val="24"/>
          <w:szCs w:val="24"/>
        </w:rPr>
        <w:t>Stavros</w:t>
      </w:r>
      <w:proofErr w:type="spellEnd"/>
      <w:r w:rsidR="00B91746" w:rsidRPr="00AC3019">
        <w:rPr>
          <w:rFonts w:ascii="Arial" w:hAnsi="Arial" w:cs="Arial"/>
          <w:sz w:val="24"/>
          <w:szCs w:val="24"/>
        </w:rPr>
        <w:t xml:space="preserve"> </w:t>
      </w:r>
      <w:proofErr w:type="spellStart"/>
      <w:r w:rsidR="00B91746" w:rsidRPr="00AC3019">
        <w:rPr>
          <w:rFonts w:ascii="Arial" w:hAnsi="Arial" w:cs="Arial"/>
          <w:sz w:val="24"/>
          <w:szCs w:val="24"/>
        </w:rPr>
        <w:t>Moyal</w:t>
      </w:r>
      <w:proofErr w:type="spellEnd"/>
      <w:r w:rsidR="00B91746" w:rsidRPr="00AC3019">
        <w:rPr>
          <w:rFonts w:ascii="Arial" w:hAnsi="Arial" w:cs="Arial"/>
          <w:sz w:val="24"/>
          <w:szCs w:val="24"/>
        </w:rPr>
        <w:t xml:space="preserve"> y Asociados S.R.L</w:t>
      </w:r>
      <w:r w:rsidR="009C3D37">
        <w:rPr>
          <w:rFonts w:ascii="Arial" w:hAnsi="Arial" w:cs="Arial"/>
          <w:sz w:val="24"/>
          <w:szCs w:val="24"/>
        </w:rPr>
        <w:t>.</w:t>
      </w:r>
      <w:r w:rsidR="00B91746" w:rsidRPr="00AC3019">
        <w:rPr>
          <w:rFonts w:ascii="Arial" w:hAnsi="Arial" w:cs="Arial"/>
          <w:sz w:val="24"/>
          <w:szCs w:val="24"/>
        </w:rPr>
        <w:t xml:space="preserve"> postularse en la licitación</w:t>
      </w:r>
      <w:r w:rsidR="002B7479" w:rsidRPr="00AC3019">
        <w:rPr>
          <w:rFonts w:ascii="Arial" w:hAnsi="Arial" w:cs="Arial"/>
          <w:sz w:val="24"/>
          <w:szCs w:val="24"/>
        </w:rPr>
        <w:t>, sugiriendo una connivencia entre la Administración y la firma adjudicataria</w:t>
      </w:r>
      <w:r w:rsidR="00B91746" w:rsidRPr="00AC3019">
        <w:rPr>
          <w:rFonts w:ascii="Arial" w:hAnsi="Arial" w:cs="Arial"/>
          <w:sz w:val="24"/>
          <w:szCs w:val="24"/>
        </w:rPr>
        <w:t>;</w:t>
      </w:r>
    </w:p>
    <w:p w:rsidR="001A6D28" w:rsidRPr="00AC3019" w:rsidRDefault="009C3D37" w:rsidP="009C3D37">
      <w:pPr>
        <w:spacing w:after="0" w:line="360" w:lineRule="auto"/>
        <w:ind w:firstLine="2694"/>
        <w:jc w:val="both"/>
        <w:rPr>
          <w:rFonts w:ascii="Arial" w:hAnsi="Arial" w:cs="Arial"/>
          <w:sz w:val="24"/>
          <w:szCs w:val="24"/>
        </w:rPr>
      </w:pPr>
      <w:r>
        <w:rPr>
          <w:rFonts w:ascii="Arial" w:hAnsi="Arial" w:cs="Arial"/>
          <w:b/>
          <w:sz w:val="24"/>
          <w:szCs w:val="24"/>
        </w:rPr>
        <w:t>8</w:t>
      </w:r>
      <w:r w:rsidR="00FE7772" w:rsidRPr="00AC3019">
        <w:rPr>
          <w:rFonts w:ascii="Arial" w:hAnsi="Arial" w:cs="Arial"/>
          <w:b/>
          <w:sz w:val="24"/>
          <w:szCs w:val="24"/>
        </w:rPr>
        <w:t>)</w:t>
      </w:r>
      <w:r w:rsidR="00FE7772" w:rsidRPr="00AC3019">
        <w:rPr>
          <w:rFonts w:ascii="Arial" w:hAnsi="Arial" w:cs="Arial"/>
          <w:sz w:val="24"/>
          <w:szCs w:val="24"/>
        </w:rPr>
        <w:t xml:space="preserve"> que </w:t>
      </w:r>
      <w:r>
        <w:rPr>
          <w:rFonts w:ascii="Arial" w:hAnsi="Arial" w:cs="Arial"/>
          <w:sz w:val="24"/>
          <w:szCs w:val="24"/>
        </w:rPr>
        <w:t>el 03/</w:t>
      </w:r>
      <w:r w:rsidR="001A6D28" w:rsidRPr="00AC3019">
        <w:rPr>
          <w:rFonts w:ascii="Arial" w:hAnsi="Arial" w:cs="Arial"/>
          <w:sz w:val="24"/>
          <w:szCs w:val="24"/>
        </w:rPr>
        <w:t>09</w:t>
      </w:r>
      <w:r>
        <w:rPr>
          <w:rFonts w:ascii="Arial" w:hAnsi="Arial" w:cs="Arial"/>
          <w:sz w:val="24"/>
          <w:szCs w:val="24"/>
        </w:rPr>
        <w:t>/</w:t>
      </w:r>
      <w:r w:rsidR="001A6D28" w:rsidRPr="00AC3019">
        <w:rPr>
          <w:rFonts w:ascii="Arial" w:hAnsi="Arial" w:cs="Arial"/>
          <w:sz w:val="24"/>
          <w:szCs w:val="24"/>
        </w:rPr>
        <w:t xml:space="preserve">15 </w:t>
      </w:r>
      <w:proofErr w:type="spellStart"/>
      <w:r w:rsidR="001A6D28" w:rsidRPr="00AC3019">
        <w:rPr>
          <w:rFonts w:ascii="Arial" w:hAnsi="Arial" w:cs="Arial"/>
          <w:sz w:val="24"/>
          <w:szCs w:val="24"/>
        </w:rPr>
        <w:t>Stavros</w:t>
      </w:r>
      <w:proofErr w:type="spellEnd"/>
      <w:r w:rsidR="001A6D28" w:rsidRPr="00AC3019">
        <w:rPr>
          <w:rFonts w:ascii="Arial" w:hAnsi="Arial" w:cs="Arial"/>
          <w:sz w:val="24"/>
          <w:szCs w:val="24"/>
        </w:rPr>
        <w:t xml:space="preserve"> </w:t>
      </w:r>
      <w:proofErr w:type="spellStart"/>
      <w:r w:rsidR="001A6D28" w:rsidRPr="00AC3019">
        <w:rPr>
          <w:rFonts w:ascii="Arial" w:hAnsi="Arial" w:cs="Arial"/>
          <w:sz w:val="24"/>
          <w:szCs w:val="24"/>
        </w:rPr>
        <w:t>Moyal</w:t>
      </w:r>
      <w:proofErr w:type="spellEnd"/>
      <w:r w:rsidR="001A6D28" w:rsidRPr="00AC3019">
        <w:rPr>
          <w:rFonts w:ascii="Arial" w:hAnsi="Arial" w:cs="Arial"/>
          <w:sz w:val="24"/>
          <w:szCs w:val="24"/>
        </w:rPr>
        <w:t xml:space="preserve"> y Asociados S.R.L</w:t>
      </w:r>
      <w:r>
        <w:rPr>
          <w:rFonts w:ascii="Arial" w:hAnsi="Arial" w:cs="Arial"/>
          <w:sz w:val="24"/>
          <w:szCs w:val="24"/>
        </w:rPr>
        <w:t>.</w:t>
      </w:r>
      <w:r w:rsidR="001A6D28" w:rsidRPr="00AC3019">
        <w:rPr>
          <w:rFonts w:ascii="Arial" w:hAnsi="Arial" w:cs="Arial"/>
          <w:sz w:val="24"/>
          <w:szCs w:val="24"/>
        </w:rPr>
        <w:t xml:space="preserve"> evacuó la vista que le fuera conferida, relativa a los recursos interpuestos por la recurrente, refutando los argumentos esgrimidos;</w:t>
      </w:r>
    </w:p>
    <w:p w:rsidR="001A6D28" w:rsidRPr="00AC3019" w:rsidRDefault="00B91746" w:rsidP="009C3D37">
      <w:pPr>
        <w:spacing w:after="0" w:line="360" w:lineRule="auto"/>
        <w:ind w:firstLine="2694"/>
        <w:jc w:val="both"/>
        <w:rPr>
          <w:rFonts w:ascii="Arial" w:hAnsi="Arial" w:cs="Arial"/>
          <w:sz w:val="24"/>
          <w:szCs w:val="24"/>
        </w:rPr>
      </w:pPr>
      <w:r w:rsidRPr="00AC3019">
        <w:rPr>
          <w:rFonts w:ascii="Arial" w:hAnsi="Arial" w:cs="Arial"/>
          <w:b/>
          <w:sz w:val="24"/>
          <w:szCs w:val="24"/>
        </w:rPr>
        <w:t>9</w:t>
      </w:r>
      <w:r w:rsidR="001A6D28" w:rsidRPr="00AC3019">
        <w:rPr>
          <w:rFonts w:ascii="Arial" w:hAnsi="Arial" w:cs="Arial"/>
          <w:b/>
          <w:sz w:val="24"/>
          <w:szCs w:val="24"/>
        </w:rPr>
        <w:t>)</w:t>
      </w:r>
      <w:r w:rsidR="001A6D28" w:rsidRPr="00AC3019">
        <w:rPr>
          <w:rFonts w:ascii="Arial" w:hAnsi="Arial" w:cs="Arial"/>
          <w:sz w:val="24"/>
          <w:szCs w:val="24"/>
        </w:rPr>
        <w:t xml:space="preserve"> que c</w:t>
      </w:r>
      <w:r w:rsidR="00FE7772" w:rsidRPr="00AC3019">
        <w:rPr>
          <w:rFonts w:ascii="Arial" w:hAnsi="Arial" w:cs="Arial"/>
          <w:sz w:val="24"/>
          <w:szCs w:val="24"/>
        </w:rPr>
        <w:t>on fecha 15</w:t>
      </w:r>
      <w:r w:rsidR="009C3D37">
        <w:rPr>
          <w:rFonts w:ascii="Arial" w:hAnsi="Arial" w:cs="Arial"/>
          <w:sz w:val="24"/>
          <w:szCs w:val="24"/>
        </w:rPr>
        <w:t>/</w:t>
      </w:r>
      <w:r w:rsidR="00FE7772" w:rsidRPr="00AC3019">
        <w:rPr>
          <w:rFonts w:ascii="Arial" w:hAnsi="Arial" w:cs="Arial"/>
          <w:sz w:val="24"/>
          <w:szCs w:val="24"/>
        </w:rPr>
        <w:t>10</w:t>
      </w:r>
      <w:r w:rsidR="009C3D37">
        <w:rPr>
          <w:rFonts w:ascii="Arial" w:hAnsi="Arial" w:cs="Arial"/>
          <w:sz w:val="24"/>
          <w:szCs w:val="24"/>
        </w:rPr>
        <w:t>/</w:t>
      </w:r>
      <w:r w:rsidR="00FE7772" w:rsidRPr="00AC3019">
        <w:rPr>
          <w:rFonts w:ascii="Arial" w:hAnsi="Arial" w:cs="Arial"/>
          <w:sz w:val="24"/>
          <w:szCs w:val="24"/>
        </w:rPr>
        <w:t xml:space="preserve">15, la División Abogacía </w:t>
      </w:r>
      <w:r w:rsidR="001A6D28" w:rsidRPr="00AC3019">
        <w:rPr>
          <w:rFonts w:ascii="Arial" w:hAnsi="Arial" w:cs="Arial"/>
          <w:sz w:val="24"/>
          <w:szCs w:val="24"/>
        </w:rPr>
        <w:t>analizó los fundamentos de los recursos administrativos interpuestos, concluyendo en síntesis que:</w:t>
      </w:r>
    </w:p>
    <w:p w:rsidR="001A6D28" w:rsidRPr="00AC3019" w:rsidRDefault="00B91746" w:rsidP="009C3D37">
      <w:pPr>
        <w:spacing w:after="0" w:line="360" w:lineRule="auto"/>
        <w:ind w:left="567" w:hanging="567"/>
        <w:jc w:val="both"/>
        <w:rPr>
          <w:rFonts w:ascii="Arial" w:hAnsi="Arial" w:cs="Arial"/>
          <w:sz w:val="24"/>
          <w:szCs w:val="24"/>
        </w:rPr>
      </w:pPr>
      <w:r w:rsidRPr="00AC3019">
        <w:rPr>
          <w:rFonts w:ascii="Arial" w:hAnsi="Arial" w:cs="Arial"/>
          <w:b/>
          <w:sz w:val="24"/>
          <w:szCs w:val="24"/>
        </w:rPr>
        <w:t>9</w:t>
      </w:r>
      <w:r w:rsidR="001A6D28" w:rsidRPr="00AC3019">
        <w:rPr>
          <w:rFonts w:ascii="Arial" w:hAnsi="Arial" w:cs="Arial"/>
          <w:b/>
          <w:sz w:val="24"/>
          <w:szCs w:val="24"/>
        </w:rPr>
        <w:t>.1)</w:t>
      </w:r>
      <w:r w:rsidR="001A6D28" w:rsidRPr="00AC3019">
        <w:rPr>
          <w:rFonts w:ascii="Arial" w:hAnsi="Arial" w:cs="Arial"/>
          <w:sz w:val="24"/>
          <w:szCs w:val="24"/>
        </w:rPr>
        <w:t xml:space="preserve"> desde el punto de vista formal, los mismos fueron interpuestos en tiempo y </w:t>
      </w:r>
      <w:r w:rsidR="009C3D37">
        <w:rPr>
          <w:rFonts w:ascii="Arial" w:hAnsi="Arial" w:cs="Arial"/>
          <w:sz w:val="24"/>
          <w:szCs w:val="24"/>
        </w:rPr>
        <w:t>forma:</w:t>
      </w:r>
    </w:p>
    <w:p w:rsidR="001A6D28" w:rsidRPr="00AC3019" w:rsidRDefault="00B91746" w:rsidP="009C3D37">
      <w:pPr>
        <w:spacing w:after="0" w:line="360" w:lineRule="auto"/>
        <w:ind w:left="567" w:hanging="567"/>
        <w:jc w:val="both"/>
        <w:rPr>
          <w:rFonts w:ascii="Arial" w:hAnsi="Arial" w:cs="Arial"/>
          <w:sz w:val="24"/>
          <w:szCs w:val="24"/>
        </w:rPr>
      </w:pPr>
      <w:r w:rsidRPr="00AC3019">
        <w:rPr>
          <w:rFonts w:ascii="Arial" w:hAnsi="Arial" w:cs="Arial"/>
          <w:b/>
          <w:sz w:val="24"/>
          <w:szCs w:val="24"/>
        </w:rPr>
        <w:t>9</w:t>
      </w:r>
      <w:r w:rsidR="001A6D28" w:rsidRPr="00AC3019">
        <w:rPr>
          <w:rFonts w:ascii="Arial" w:hAnsi="Arial" w:cs="Arial"/>
          <w:b/>
          <w:sz w:val="24"/>
          <w:szCs w:val="24"/>
        </w:rPr>
        <w:t>.2)</w:t>
      </w:r>
      <w:r w:rsidR="001A6D28" w:rsidRPr="00AC3019">
        <w:rPr>
          <w:rFonts w:ascii="Arial" w:hAnsi="Arial" w:cs="Arial"/>
          <w:sz w:val="24"/>
          <w:szCs w:val="24"/>
        </w:rPr>
        <w:t xml:space="preserve"> atento al monto de la contratación, no corresponde la puesta de manifiesto de las actuaciones en virtud del límite establecido en el </w:t>
      </w:r>
      <w:r w:rsidR="00B77C34">
        <w:rPr>
          <w:rFonts w:ascii="Arial" w:hAnsi="Arial" w:cs="Arial"/>
          <w:sz w:val="24"/>
          <w:szCs w:val="24"/>
        </w:rPr>
        <w:t>A</w:t>
      </w:r>
      <w:r w:rsidR="001A6D28" w:rsidRPr="00AC3019">
        <w:rPr>
          <w:rFonts w:ascii="Arial" w:hAnsi="Arial" w:cs="Arial"/>
          <w:sz w:val="24"/>
          <w:szCs w:val="24"/>
        </w:rPr>
        <w:t>rtículo 67 del TOCAF, ya que el cuádruple de la licitación abreviada ampliada es de $166:296.000 y el monto de la contratación según la oferta de la firma adjudicada es de $1:854.400 mensuales ($ 22:252.800 anual);</w:t>
      </w:r>
    </w:p>
    <w:p w:rsidR="001A6D28" w:rsidRPr="00AC3019" w:rsidRDefault="00B91746" w:rsidP="009C3D37">
      <w:pPr>
        <w:spacing w:after="0" w:line="360" w:lineRule="auto"/>
        <w:ind w:left="567" w:hanging="567"/>
        <w:jc w:val="both"/>
        <w:rPr>
          <w:rFonts w:ascii="Arial" w:hAnsi="Arial" w:cs="Arial"/>
          <w:sz w:val="24"/>
          <w:szCs w:val="24"/>
        </w:rPr>
      </w:pPr>
      <w:r w:rsidRPr="00AC3019">
        <w:rPr>
          <w:rFonts w:ascii="Arial" w:hAnsi="Arial" w:cs="Arial"/>
          <w:b/>
          <w:sz w:val="24"/>
          <w:szCs w:val="24"/>
        </w:rPr>
        <w:t>9</w:t>
      </w:r>
      <w:r w:rsidR="001A6D28" w:rsidRPr="00AC3019">
        <w:rPr>
          <w:rFonts w:ascii="Arial" w:hAnsi="Arial" w:cs="Arial"/>
          <w:b/>
          <w:sz w:val="24"/>
          <w:szCs w:val="24"/>
        </w:rPr>
        <w:t>.3)</w:t>
      </w:r>
      <w:r w:rsidR="001A6D28" w:rsidRPr="00AC3019">
        <w:rPr>
          <w:rFonts w:ascii="Arial" w:hAnsi="Arial" w:cs="Arial"/>
          <w:sz w:val="24"/>
          <w:szCs w:val="24"/>
        </w:rPr>
        <w:t xml:space="preserve"> las diferencias entre los procesos licitatorios N°02/2014 y 02/2015 no causaron perjuicio alguno a </w:t>
      </w:r>
      <w:proofErr w:type="spellStart"/>
      <w:r w:rsidR="001A6D28" w:rsidRPr="00AC3019">
        <w:rPr>
          <w:rFonts w:ascii="Arial" w:hAnsi="Arial" w:cs="Arial"/>
          <w:sz w:val="24"/>
          <w:szCs w:val="24"/>
        </w:rPr>
        <w:t>Edimur</w:t>
      </w:r>
      <w:proofErr w:type="spellEnd"/>
      <w:r w:rsidR="001A6D28" w:rsidRPr="00AC3019">
        <w:rPr>
          <w:rFonts w:ascii="Arial" w:hAnsi="Arial" w:cs="Arial"/>
          <w:sz w:val="24"/>
          <w:szCs w:val="24"/>
        </w:rPr>
        <w:t xml:space="preserve"> S.A. La divergencia de los criterios de evaluación entre uno y otro procedimiento de contratación</w:t>
      </w:r>
      <w:r w:rsidR="009C3D37">
        <w:rPr>
          <w:rFonts w:ascii="Arial" w:hAnsi="Arial" w:cs="Arial"/>
          <w:sz w:val="24"/>
          <w:szCs w:val="24"/>
        </w:rPr>
        <w:t>,</w:t>
      </w:r>
      <w:r w:rsidR="001A6D28" w:rsidRPr="00AC3019">
        <w:rPr>
          <w:rFonts w:ascii="Arial" w:hAnsi="Arial" w:cs="Arial"/>
          <w:sz w:val="24"/>
          <w:szCs w:val="24"/>
        </w:rPr>
        <w:t xml:space="preserve"> se justifican en las diferencias existentes entre el objeto de una y otra licitación. La firma recurrente consintió el Pliego de Condiciones Particulares al no recurrir el mismo y al presentarse en el procedimiento;</w:t>
      </w:r>
    </w:p>
    <w:p w:rsidR="001A6D28" w:rsidRPr="00AC3019" w:rsidRDefault="00B91746" w:rsidP="009C3D37">
      <w:pPr>
        <w:spacing w:after="0" w:line="360" w:lineRule="auto"/>
        <w:ind w:left="567" w:hanging="567"/>
        <w:jc w:val="both"/>
        <w:rPr>
          <w:rFonts w:ascii="Arial" w:hAnsi="Arial" w:cs="Arial"/>
          <w:sz w:val="24"/>
          <w:szCs w:val="24"/>
        </w:rPr>
      </w:pPr>
      <w:r w:rsidRPr="00AC3019">
        <w:rPr>
          <w:rFonts w:ascii="Arial" w:hAnsi="Arial" w:cs="Arial"/>
          <w:b/>
          <w:sz w:val="24"/>
          <w:szCs w:val="24"/>
        </w:rPr>
        <w:t>9</w:t>
      </w:r>
      <w:r w:rsidR="001A6D28" w:rsidRPr="00AC3019">
        <w:rPr>
          <w:rFonts w:ascii="Arial" w:hAnsi="Arial" w:cs="Arial"/>
          <w:b/>
          <w:sz w:val="24"/>
          <w:szCs w:val="24"/>
        </w:rPr>
        <w:t xml:space="preserve">.4) </w:t>
      </w:r>
      <w:r w:rsidR="002332AE" w:rsidRPr="00AC3019">
        <w:rPr>
          <w:rFonts w:ascii="Arial" w:hAnsi="Arial" w:cs="Arial"/>
          <w:sz w:val="24"/>
          <w:szCs w:val="24"/>
        </w:rPr>
        <w:t xml:space="preserve">los agravios manifestados respecto del </w:t>
      </w:r>
      <w:r w:rsidR="001A6D28" w:rsidRPr="00AC3019">
        <w:rPr>
          <w:rFonts w:ascii="Arial" w:hAnsi="Arial" w:cs="Arial"/>
          <w:sz w:val="24"/>
          <w:szCs w:val="24"/>
        </w:rPr>
        <w:t xml:space="preserve">procedimiento licitatorio N° 02/2014 y la comparación con el de referencia resultan ser intrascendentes </w:t>
      </w:r>
      <w:r w:rsidR="00E35BD5" w:rsidRPr="00AC3019">
        <w:rPr>
          <w:rFonts w:ascii="Arial" w:hAnsi="Arial" w:cs="Arial"/>
          <w:sz w:val="24"/>
          <w:szCs w:val="24"/>
        </w:rPr>
        <w:t>e irrelevantes;</w:t>
      </w:r>
    </w:p>
    <w:p w:rsidR="001A6D28" w:rsidRPr="00AC3019" w:rsidRDefault="00B91746" w:rsidP="009C3D37">
      <w:pPr>
        <w:spacing w:after="0" w:line="360" w:lineRule="auto"/>
        <w:ind w:left="567" w:hanging="567"/>
        <w:jc w:val="both"/>
        <w:rPr>
          <w:rFonts w:ascii="Arial" w:hAnsi="Arial" w:cs="Arial"/>
          <w:sz w:val="24"/>
          <w:szCs w:val="24"/>
        </w:rPr>
      </w:pPr>
      <w:r w:rsidRPr="00AC3019">
        <w:rPr>
          <w:rFonts w:ascii="Arial" w:hAnsi="Arial" w:cs="Arial"/>
          <w:b/>
          <w:sz w:val="24"/>
          <w:szCs w:val="24"/>
        </w:rPr>
        <w:t>9</w:t>
      </w:r>
      <w:r w:rsidR="001A6D28" w:rsidRPr="00AC3019">
        <w:rPr>
          <w:rFonts w:ascii="Arial" w:hAnsi="Arial" w:cs="Arial"/>
          <w:b/>
          <w:sz w:val="24"/>
          <w:szCs w:val="24"/>
        </w:rPr>
        <w:t>.5)</w:t>
      </w:r>
      <w:r w:rsidR="001A6D28" w:rsidRPr="00AC3019">
        <w:rPr>
          <w:rFonts w:ascii="Arial" w:hAnsi="Arial" w:cs="Arial"/>
          <w:sz w:val="24"/>
          <w:szCs w:val="24"/>
        </w:rPr>
        <w:t xml:space="preserve"> en materia de evaluación técnica de las propuestas, la Comisión Asesora de Adjudicaciones siguió los criterios previstos en el Pliego de Condiciones Particulares, asignando una puntuación con un criterio de proporcionalidad que aseguró el derecho de tratamiento igualitario de todos los participantes;</w:t>
      </w:r>
    </w:p>
    <w:p w:rsidR="001A6D28" w:rsidRPr="00AC3019" w:rsidRDefault="00B91746" w:rsidP="000A520B">
      <w:pPr>
        <w:spacing w:after="0" w:line="360" w:lineRule="auto"/>
        <w:ind w:left="567" w:hanging="567"/>
        <w:jc w:val="both"/>
        <w:rPr>
          <w:rFonts w:ascii="Arial" w:hAnsi="Arial" w:cs="Arial"/>
          <w:sz w:val="24"/>
          <w:szCs w:val="24"/>
        </w:rPr>
      </w:pPr>
      <w:r w:rsidRPr="00AC3019">
        <w:rPr>
          <w:rFonts w:ascii="Arial" w:hAnsi="Arial" w:cs="Arial"/>
          <w:b/>
          <w:sz w:val="24"/>
          <w:szCs w:val="24"/>
        </w:rPr>
        <w:t>9</w:t>
      </w:r>
      <w:r w:rsidR="001A6D28" w:rsidRPr="00AC3019">
        <w:rPr>
          <w:rFonts w:ascii="Arial" w:hAnsi="Arial" w:cs="Arial"/>
          <w:b/>
          <w:sz w:val="24"/>
          <w:szCs w:val="24"/>
        </w:rPr>
        <w:t>.6)</w:t>
      </w:r>
      <w:r w:rsidR="001A6D28" w:rsidRPr="00AC3019">
        <w:rPr>
          <w:rFonts w:ascii="Arial" w:hAnsi="Arial" w:cs="Arial"/>
          <w:sz w:val="24"/>
          <w:szCs w:val="24"/>
        </w:rPr>
        <w:t xml:space="preserve"> la evaluación económica se efectuó aplicando el criterio de la proporcionalidad inversa previsto en el Pliego de Condiciones Particulares, no asistiéndole razón a la recurrente cuando invoca el supuesto error de cálculo;</w:t>
      </w:r>
      <w:r w:rsidR="001A6D28" w:rsidRPr="00AC3019">
        <w:rPr>
          <w:rFonts w:ascii="Arial" w:hAnsi="Arial" w:cs="Arial"/>
          <w:sz w:val="24"/>
          <w:szCs w:val="24"/>
        </w:rPr>
        <w:tab/>
      </w:r>
    </w:p>
    <w:p w:rsidR="00E35BD5" w:rsidRPr="00AC3019" w:rsidRDefault="00B91746" w:rsidP="000A520B">
      <w:pPr>
        <w:spacing w:after="0" w:line="360" w:lineRule="auto"/>
        <w:ind w:left="567" w:hanging="567"/>
        <w:jc w:val="both"/>
        <w:rPr>
          <w:rFonts w:ascii="Arial" w:hAnsi="Arial" w:cs="Arial"/>
          <w:sz w:val="24"/>
          <w:szCs w:val="24"/>
        </w:rPr>
      </w:pPr>
      <w:r w:rsidRPr="00AC3019">
        <w:rPr>
          <w:rFonts w:ascii="Arial" w:hAnsi="Arial" w:cs="Arial"/>
          <w:b/>
          <w:sz w:val="24"/>
          <w:szCs w:val="24"/>
        </w:rPr>
        <w:t>9</w:t>
      </w:r>
      <w:r w:rsidR="001A6D28" w:rsidRPr="00AC3019">
        <w:rPr>
          <w:rFonts w:ascii="Arial" w:hAnsi="Arial" w:cs="Arial"/>
          <w:b/>
          <w:sz w:val="24"/>
          <w:szCs w:val="24"/>
        </w:rPr>
        <w:t>.7)</w:t>
      </w:r>
      <w:r w:rsidR="001A6D28" w:rsidRPr="00AC3019">
        <w:rPr>
          <w:rFonts w:ascii="Arial" w:hAnsi="Arial" w:cs="Arial"/>
          <w:sz w:val="24"/>
          <w:szCs w:val="24"/>
        </w:rPr>
        <w:t xml:space="preserve"> en cuanto a la incompatibilidad de las normas regulatorias, la empresa adjudicataria no ha prestado ni está prestando ninguno de los servicios contables licitados;</w:t>
      </w:r>
    </w:p>
    <w:p w:rsidR="001A6D28" w:rsidRPr="00AC3019" w:rsidRDefault="00B91746" w:rsidP="000A520B">
      <w:pPr>
        <w:spacing w:after="0" w:line="360" w:lineRule="auto"/>
        <w:ind w:left="567" w:hanging="567"/>
        <w:jc w:val="both"/>
        <w:rPr>
          <w:rFonts w:ascii="Arial" w:hAnsi="Arial" w:cs="Arial"/>
          <w:sz w:val="24"/>
          <w:szCs w:val="24"/>
        </w:rPr>
      </w:pPr>
      <w:r w:rsidRPr="00AC3019">
        <w:rPr>
          <w:rFonts w:ascii="Arial" w:hAnsi="Arial" w:cs="Arial"/>
          <w:b/>
          <w:sz w:val="24"/>
          <w:szCs w:val="24"/>
        </w:rPr>
        <w:t>9</w:t>
      </w:r>
      <w:r w:rsidR="00E35BD5" w:rsidRPr="00AC3019">
        <w:rPr>
          <w:rFonts w:ascii="Arial" w:hAnsi="Arial" w:cs="Arial"/>
          <w:b/>
          <w:sz w:val="24"/>
          <w:szCs w:val="24"/>
        </w:rPr>
        <w:t>.8)</w:t>
      </w:r>
      <w:r w:rsidR="00E35BD5" w:rsidRPr="00AC3019">
        <w:rPr>
          <w:rFonts w:ascii="Arial" w:hAnsi="Arial" w:cs="Arial"/>
          <w:sz w:val="24"/>
          <w:szCs w:val="24"/>
        </w:rPr>
        <w:t xml:space="preserve"> a juicio del Ár</w:t>
      </w:r>
      <w:r w:rsidR="001A6D28" w:rsidRPr="00AC3019">
        <w:rPr>
          <w:rFonts w:ascii="Arial" w:hAnsi="Arial" w:cs="Arial"/>
          <w:sz w:val="24"/>
          <w:szCs w:val="24"/>
        </w:rPr>
        <w:t>ea Abogacía, debe mantenerse el acto impugnado y disponerse el levantamiento del efecto suspensivo por afectar inapla</w:t>
      </w:r>
      <w:r w:rsidR="00E35BD5" w:rsidRPr="00AC3019">
        <w:rPr>
          <w:rFonts w:ascii="Arial" w:hAnsi="Arial" w:cs="Arial"/>
          <w:sz w:val="24"/>
          <w:szCs w:val="24"/>
        </w:rPr>
        <w:t>zables necesidades del servicio;</w:t>
      </w:r>
    </w:p>
    <w:p w:rsidR="00E35BD5" w:rsidRPr="00AC3019" w:rsidRDefault="00B91746" w:rsidP="000A520B">
      <w:pPr>
        <w:spacing w:after="0" w:line="360" w:lineRule="auto"/>
        <w:ind w:firstLine="2552"/>
        <w:jc w:val="both"/>
        <w:rPr>
          <w:rFonts w:ascii="Arial" w:hAnsi="Arial" w:cs="Arial"/>
          <w:sz w:val="24"/>
          <w:szCs w:val="24"/>
        </w:rPr>
      </w:pPr>
      <w:r w:rsidRPr="00AC3019">
        <w:rPr>
          <w:rFonts w:ascii="Arial" w:hAnsi="Arial" w:cs="Arial"/>
          <w:b/>
          <w:sz w:val="24"/>
          <w:szCs w:val="24"/>
        </w:rPr>
        <w:t>10</w:t>
      </w:r>
      <w:r w:rsidR="00E35BD5" w:rsidRPr="00AC3019">
        <w:rPr>
          <w:rFonts w:ascii="Arial" w:hAnsi="Arial" w:cs="Arial"/>
          <w:b/>
          <w:sz w:val="24"/>
          <w:szCs w:val="24"/>
        </w:rPr>
        <w:t xml:space="preserve">) </w:t>
      </w:r>
      <w:r w:rsidR="00E35BD5" w:rsidRPr="00AC3019">
        <w:rPr>
          <w:rFonts w:ascii="Arial" w:hAnsi="Arial" w:cs="Arial"/>
          <w:sz w:val="24"/>
          <w:szCs w:val="24"/>
        </w:rPr>
        <w:t xml:space="preserve">que </w:t>
      </w:r>
      <w:r w:rsidRPr="00AC3019">
        <w:rPr>
          <w:rFonts w:ascii="Arial" w:hAnsi="Arial" w:cs="Arial"/>
          <w:sz w:val="24"/>
          <w:szCs w:val="24"/>
        </w:rPr>
        <w:t xml:space="preserve">habiéndose otorgado vista de las actuaciones a </w:t>
      </w:r>
      <w:proofErr w:type="spellStart"/>
      <w:r w:rsidRPr="00AC3019">
        <w:rPr>
          <w:rFonts w:ascii="Arial" w:hAnsi="Arial" w:cs="Arial"/>
          <w:sz w:val="24"/>
          <w:szCs w:val="24"/>
        </w:rPr>
        <w:t>Edimur</w:t>
      </w:r>
      <w:proofErr w:type="spellEnd"/>
      <w:r w:rsidRPr="00AC3019">
        <w:rPr>
          <w:rFonts w:ascii="Arial" w:hAnsi="Arial" w:cs="Arial"/>
          <w:sz w:val="24"/>
          <w:szCs w:val="24"/>
        </w:rPr>
        <w:t xml:space="preserve"> S.A</w:t>
      </w:r>
      <w:r w:rsidR="000A520B">
        <w:rPr>
          <w:rFonts w:ascii="Arial" w:hAnsi="Arial" w:cs="Arial"/>
          <w:sz w:val="24"/>
          <w:szCs w:val="24"/>
        </w:rPr>
        <w:t>.</w:t>
      </w:r>
      <w:r w:rsidRPr="00AC3019">
        <w:rPr>
          <w:rFonts w:ascii="Arial" w:hAnsi="Arial" w:cs="Arial"/>
          <w:sz w:val="24"/>
          <w:szCs w:val="24"/>
        </w:rPr>
        <w:t xml:space="preserve">, ésta invocó no poder controvertir parte de las apreciaciones formuladas </w:t>
      </w:r>
      <w:r w:rsidR="00EE0532" w:rsidRPr="00AC3019">
        <w:rPr>
          <w:rFonts w:ascii="Arial" w:hAnsi="Arial" w:cs="Arial"/>
          <w:sz w:val="24"/>
          <w:szCs w:val="24"/>
        </w:rPr>
        <w:t>por</w:t>
      </w:r>
      <w:r w:rsidRPr="00AC3019">
        <w:rPr>
          <w:rFonts w:ascii="Arial" w:hAnsi="Arial" w:cs="Arial"/>
          <w:sz w:val="24"/>
          <w:szCs w:val="24"/>
        </w:rPr>
        <w:t xml:space="preserve"> no tener acceso a las propuestas de todos los oferentes, formulando petición de acceso a dicha información</w:t>
      </w:r>
      <w:r w:rsidR="006A6BE8" w:rsidRPr="00AC3019">
        <w:rPr>
          <w:rFonts w:ascii="Arial" w:hAnsi="Arial" w:cs="Arial"/>
          <w:sz w:val="24"/>
          <w:szCs w:val="24"/>
        </w:rPr>
        <w:t xml:space="preserve">, cuyas actuaciones se tramitaron en </w:t>
      </w:r>
      <w:r w:rsidR="002B7479" w:rsidRPr="00AC3019">
        <w:rPr>
          <w:rFonts w:ascii="Arial" w:hAnsi="Arial" w:cs="Arial"/>
          <w:sz w:val="24"/>
          <w:szCs w:val="24"/>
        </w:rPr>
        <w:t>expediente aparte</w:t>
      </w:r>
      <w:r w:rsidR="006A6BE8" w:rsidRPr="00AC3019">
        <w:rPr>
          <w:rFonts w:ascii="Arial" w:hAnsi="Arial" w:cs="Arial"/>
          <w:sz w:val="24"/>
          <w:szCs w:val="24"/>
        </w:rPr>
        <w:t xml:space="preserve">. Asimismo, manifestó que </w:t>
      </w:r>
      <w:proofErr w:type="spellStart"/>
      <w:r w:rsidR="006A6BE8" w:rsidRPr="00AC3019">
        <w:rPr>
          <w:rFonts w:ascii="Arial" w:hAnsi="Arial" w:cs="Arial"/>
          <w:sz w:val="24"/>
          <w:szCs w:val="24"/>
        </w:rPr>
        <w:t>Stavros</w:t>
      </w:r>
      <w:proofErr w:type="spellEnd"/>
      <w:r w:rsidR="006A6BE8" w:rsidRPr="00AC3019">
        <w:rPr>
          <w:rFonts w:ascii="Arial" w:hAnsi="Arial" w:cs="Arial"/>
          <w:sz w:val="24"/>
          <w:szCs w:val="24"/>
        </w:rPr>
        <w:t xml:space="preserve"> </w:t>
      </w:r>
      <w:proofErr w:type="spellStart"/>
      <w:r w:rsidR="006A6BE8" w:rsidRPr="00AC3019">
        <w:rPr>
          <w:rFonts w:ascii="Arial" w:hAnsi="Arial" w:cs="Arial"/>
          <w:sz w:val="24"/>
          <w:szCs w:val="24"/>
        </w:rPr>
        <w:t>Moyal</w:t>
      </w:r>
      <w:proofErr w:type="spellEnd"/>
      <w:r w:rsidR="006A6BE8" w:rsidRPr="00AC3019">
        <w:rPr>
          <w:rFonts w:ascii="Arial" w:hAnsi="Arial" w:cs="Arial"/>
          <w:sz w:val="24"/>
          <w:szCs w:val="24"/>
        </w:rPr>
        <w:t xml:space="preserve"> y Asociados S.R.L</w:t>
      </w:r>
      <w:r w:rsidR="000A520B">
        <w:rPr>
          <w:rFonts w:ascii="Arial" w:hAnsi="Arial" w:cs="Arial"/>
          <w:sz w:val="24"/>
          <w:szCs w:val="24"/>
        </w:rPr>
        <w:t>.</w:t>
      </w:r>
      <w:r w:rsidR="006A6BE8" w:rsidRPr="00AC3019">
        <w:rPr>
          <w:rFonts w:ascii="Arial" w:hAnsi="Arial" w:cs="Arial"/>
          <w:sz w:val="24"/>
          <w:szCs w:val="24"/>
        </w:rPr>
        <w:t xml:space="preserve"> ha venido prestando servicios a la A</w:t>
      </w:r>
      <w:r w:rsidR="000A520B">
        <w:rPr>
          <w:rFonts w:ascii="Arial" w:hAnsi="Arial" w:cs="Arial"/>
          <w:sz w:val="24"/>
          <w:szCs w:val="24"/>
        </w:rPr>
        <w:t>.</w:t>
      </w:r>
      <w:r w:rsidR="006A6BE8" w:rsidRPr="00AC3019">
        <w:rPr>
          <w:rFonts w:ascii="Arial" w:hAnsi="Arial" w:cs="Arial"/>
          <w:sz w:val="24"/>
          <w:szCs w:val="24"/>
        </w:rPr>
        <w:t>N</w:t>
      </w:r>
      <w:r w:rsidR="000A520B">
        <w:rPr>
          <w:rFonts w:ascii="Arial" w:hAnsi="Arial" w:cs="Arial"/>
          <w:sz w:val="24"/>
          <w:szCs w:val="24"/>
        </w:rPr>
        <w:t>.</w:t>
      </w:r>
      <w:r w:rsidR="006A6BE8" w:rsidRPr="00AC3019">
        <w:rPr>
          <w:rFonts w:ascii="Arial" w:hAnsi="Arial" w:cs="Arial"/>
          <w:sz w:val="24"/>
          <w:szCs w:val="24"/>
        </w:rPr>
        <w:t>V</w:t>
      </w:r>
      <w:r w:rsidR="000A520B">
        <w:rPr>
          <w:rFonts w:ascii="Arial" w:hAnsi="Arial" w:cs="Arial"/>
          <w:sz w:val="24"/>
          <w:szCs w:val="24"/>
        </w:rPr>
        <w:t>.</w:t>
      </w:r>
      <w:r w:rsidR="006A6BE8" w:rsidRPr="00AC3019">
        <w:rPr>
          <w:rFonts w:ascii="Arial" w:hAnsi="Arial" w:cs="Arial"/>
          <w:sz w:val="24"/>
          <w:szCs w:val="24"/>
        </w:rPr>
        <w:t xml:space="preserve"> como auditor externo y, al mismo tiempo a través de</w:t>
      </w:r>
      <w:r w:rsidR="0089219C" w:rsidRPr="00AC3019">
        <w:rPr>
          <w:rFonts w:ascii="Arial" w:hAnsi="Arial" w:cs="Arial"/>
          <w:sz w:val="24"/>
          <w:szCs w:val="24"/>
        </w:rPr>
        <w:t xml:space="preserve"> otra sociedad, </w:t>
      </w:r>
      <w:proofErr w:type="spellStart"/>
      <w:r w:rsidR="006A6BE8" w:rsidRPr="00AC3019">
        <w:rPr>
          <w:rFonts w:ascii="Arial" w:hAnsi="Arial" w:cs="Arial"/>
          <w:sz w:val="24"/>
          <w:szCs w:val="24"/>
        </w:rPr>
        <w:t>Coneban</w:t>
      </w:r>
      <w:proofErr w:type="spellEnd"/>
      <w:r w:rsidR="006A6BE8" w:rsidRPr="00AC3019">
        <w:rPr>
          <w:rFonts w:ascii="Arial" w:hAnsi="Arial" w:cs="Arial"/>
          <w:sz w:val="24"/>
          <w:szCs w:val="24"/>
        </w:rPr>
        <w:t xml:space="preserve"> S.A</w:t>
      </w:r>
      <w:r w:rsidR="00B77C34">
        <w:rPr>
          <w:rFonts w:ascii="Arial" w:hAnsi="Arial" w:cs="Arial"/>
          <w:sz w:val="24"/>
          <w:szCs w:val="24"/>
        </w:rPr>
        <w:t>.</w:t>
      </w:r>
      <w:r w:rsidR="0089219C" w:rsidRPr="00AC3019">
        <w:rPr>
          <w:rFonts w:ascii="Arial" w:hAnsi="Arial" w:cs="Arial"/>
          <w:sz w:val="24"/>
          <w:szCs w:val="24"/>
        </w:rPr>
        <w:t>,</w:t>
      </w:r>
      <w:r w:rsidR="006A6BE8" w:rsidRPr="00AC3019">
        <w:rPr>
          <w:rFonts w:ascii="Arial" w:hAnsi="Arial" w:cs="Arial"/>
          <w:sz w:val="24"/>
          <w:szCs w:val="24"/>
        </w:rPr>
        <w:t xml:space="preserve"> quien tiene los mismos directores que la primera, insistiendo en la existencia de incompatibilidad para el ejercicio de las funciones objeto de la Licitación </w:t>
      </w:r>
      <w:r w:rsidR="000A520B">
        <w:rPr>
          <w:rFonts w:ascii="Arial" w:hAnsi="Arial" w:cs="Arial"/>
          <w:sz w:val="24"/>
          <w:szCs w:val="24"/>
        </w:rPr>
        <w:t xml:space="preserve">         </w:t>
      </w:r>
      <w:r w:rsidR="006A6BE8" w:rsidRPr="00AC3019">
        <w:rPr>
          <w:rFonts w:ascii="Arial" w:hAnsi="Arial" w:cs="Arial"/>
          <w:sz w:val="24"/>
          <w:szCs w:val="24"/>
        </w:rPr>
        <w:t>N° 02/2015;</w:t>
      </w:r>
    </w:p>
    <w:p w:rsidR="00240292" w:rsidRPr="00AC3019" w:rsidRDefault="006A6BE8" w:rsidP="000A520B">
      <w:pPr>
        <w:spacing w:after="0" w:line="360" w:lineRule="auto"/>
        <w:ind w:firstLine="2552"/>
        <w:jc w:val="both"/>
        <w:rPr>
          <w:rFonts w:ascii="Arial" w:hAnsi="Arial" w:cs="Arial"/>
          <w:sz w:val="24"/>
          <w:szCs w:val="24"/>
        </w:rPr>
      </w:pPr>
      <w:r w:rsidRPr="00AC3019">
        <w:rPr>
          <w:rFonts w:ascii="Arial" w:hAnsi="Arial" w:cs="Arial"/>
          <w:b/>
          <w:sz w:val="24"/>
          <w:szCs w:val="24"/>
        </w:rPr>
        <w:t xml:space="preserve">11) </w:t>
      </w:r>
      <w:r w:rsidRPr="00AC3019">
        <w:rPr>
          <w:rFonts w:ascii="Arial" w:hAnsi="Arial" w:cs="Arial"/>
          <w:sz w:val="24"/>
          <w:szCs w:val="24"/>
        </w:rPr>
        <w:t>que a solicitud de la División Abogacía, el Área G</w:t>
      </w:r>
      <w:r w:rsidR="001248A2" w:rsidRPr="00AC3019">
        <w:rPr>
          <w:rFonts w:ascii="Arial" w:hAnsi="Arial" w:cs="Arial"/>
          <w:sz w:val="24"/>
          <w:szCs w:val="24"/>
        </w:rPr>
        <w:t xml:space="preserve">estión de Recursos informó que </w:t>
      </w:r>
      <w:r w:rsidRPr="00AC3019">
        <w:rPr>
          <w:rFonts w:ascii="Arial" w:hAnsi="Arial" w:cs="Arial"/>
          <w:sz w:val="24"/>
          <w:szCs w:val="24"/>
        </w:rPr>
        <w:t>es de su conocimiento</w:t>
      </w:r>
      <w:r w:rsidR="0089219C" w:rsidRPr="00AC3019">
        <w:rPr>
          <w:rFonts w:ascii="Arial" w:hAnsi="Arial" w:cs="Arial"/>
          <w:sz w:val="24"/>
          <w:szCs w:val="24"/>
        </w:rPr>
        <w:t xml:space="preserve"> que</w:t>
      </w:r>
      <w:r w:rsidRPr="00AC3019">
        <w:rPr>
          <w:rFonts w:ascii="Arial" w:hAnsi="Arial" w:cs="Arial"/>
          <w:sz w:val="24"/>
          <w:szCs w:val="24"/>
        </w:rPr>
        <w:t xml:space="preserve"> </w:t>
      </w:r>
      <w:proofErr w:type="spellStart"/>
      <w:r w:rsidR="00240292" w:rsidRPr="00AC3019">
        <w:rPr>
          <w:rFonts w:ascii="Arial" w:hAnsi="Arial" w:cs="Arial"/>
          <w:sz w:val="24"/>
          <w:szCs w:val="24"/>
        </w:rPr>
        <w:t>Coneban</w:t>
      </w:r>
      <w:proofErr w:type="spellEnd"/>
      <w:r w:rsidR="00240292" w:rsidRPr="00AC3019">
        <w:rPr>
          <w:rFonts w:ascii="Arial" w:hAnsi="Arial" w:cs="Arial"/>
          <w:sz w:val="24"/>
          <w:szCs w:val="24"/>
        </w:rPr>
        <w:t xml:space="preserve"> S.A</w:t>
      </w:r>
      <w:r w:rsidR="000A520B">
        <w:rPr>
          <w:rFonts w:ascii="Arial" w:hAnsi="Arial" w:cs="Arial"/>
          <w:sz w:val="24"/>
          <w:szCs w:val="24"/>
        </w:rPr>
        <w:t>.</w:t>
      </w:r>
      <w:r w:rsidR="00240292" w:rsidRPr="00AC3019">
        <w:rPr>
          <w:rFonts w:ascii="Arial" w:hAnsi="Arial" w:cs="Arial"/>
          <w:sz w:val="24"/>
          <w:szCs w:val="24"/>
        </w:rPr>
        <w:t xml:space="preserve"> pertenece a los socios de </w:t>
      </w:r>
      <w:proofErr w:type="spellStart"/>
      <w:r w:rsidR="00240292" w:rsidRPr="00AC3019">
        <w:rPr>
          <w:rFonts w:ascii="Arial" w:hAnsi="Arial" w:cs="Arial"/>
          <w:sz w:val="24"/>
          <w:szCs w:val="24"/>
        </w:rPr>
        <w:t>Stavros</w:t>
      </w:r>
      <w:proofErr w:type="spellEnd"/>
      <w:r w:rsidR="00240292" w:rsidRPr="00AC3019">
        <w:rPr>
          <w:rFonts w:ascii="Arial" w:hAnsi="Arial" w:cs="Arial"/>
          <w:sz w:val="24"/>
          <w:szCs w:val="24"/>
        </w:rPr>
        <w:t xml:space="preserve"> </w:t>
      </w:r>
      <w:proofErr w:type="spellStart"/>
      <w:r w:rsidR="00240292" w:rsidRPr="00AC3019">
        <w:rPr>
          <w:rFonts w:ascii="Arial" w:hAnsi="Arial" w:cs="Arial"/>
          <w:sz w:val="24"/>
          <w:szCs w:val="24"/>
        </w:rPr>
        <w:t>Moyal</w:t>
      </w:r>
      <w:proofErr w:type="spellEnd"/>
      <w:r w:rsidR="00240292" w:rsidRPr="00AC3019">
        <w:rPr>
          <w:rFonts w:ascii="Arial" w:hAnsi="Arial" w:cs="Arial"/>
          <w:sz w:val="24"/>
          <w:szCs w:val="24"/>
        </w:rPr>
        <w:t xml:space="preserve"> y Asociados S.</w:t>
      </w:r>
      <w:r w:rsidR="001248A2" w:rsidRPr="00AC3019">
        <w:rPr>
          <w:rFonts w:ascii="Arial" w:hAnsi="Arial" w:cs="Arial"/>
          <w:sz w:val="24"/>
          <w:szCs w:val="24"/>
        </w:rPr>
        <w:t xml:space="preserve">R.L; y que </w:t>
      </w:r>
      <w:r w:rsidR="00240292" w:rsidRPr="00AC3019">
        <w:rPr>
          <w:rFonts w:ascii="Arial" w:hAnsi="Arial" w:cs="Arial"/>
          <w:sz w:val="24"/>
          <w:szCs w:val="24"/>
        </w:rPr>
        <w:t>presta un servicio de asesoramiento tributario, el cual no está sujeto a Auditoría;</w:t>
      </w:r>
    </w:p>
    <w:p w:rsidR="00E11987" w:rsidRPr="00AC3019" w:rsidRDefault="001248A2" w:rsidP="000A520B">
      <w:pPr>
        <w:spacing w:after="0" w:line="360" w:lineRule="auto"/>
        <w:ind w:firstLine="2552"/>
        <w:jc w:val="both"/>
        <w:rPr>
          <w:rFonts w:ascii="Arial" w:hAnsi="Arial" w:cs="Arial"/>
          <w:sz w:val="24"/>
          <w:szCs w:val="24"/>
        </w:rPr>
      </w:pPr>
      <w:r w:rsidRPr="00AC3019">
        <w:rPr>
          <w:rFonts w:ascii="Arial" w:hAnsi="Arial" w:cs="Arial"/>
          <w:b/>
          <w:sz w:val="24"/>
          <w:szCs w:val="24"/>
        </w:rPr>
        <w:t xml:space="preserve">12) </w:t>
      </w:r>
      <w:r w:rsidR="003F70DA" w:rsidRPr="00AC3019">
        <w:rPr>
          <w:rFonts w:ascii="Arial" w:hAnsi="Arial" w:cs="Arial"/>
          <w:sz w:val="24"/>
          <w:szCs w:val="24"/>
        </w:rPr>
        <w:t xml:space="preserve">que según </w:t>
      </w:r>
      <w:r w:rsidR="0089219C" w:rsidRPr="00AC3019">
        <w:rPr>
          <w:rFonts w:ascii="Arial" w:hAnsi="Arial" w:cs="Arial"/>
          <w:sz w:val="24"/>
          <w:szCs w:val="24"/>
        </w:rPr>
        <w:t xml:space="preserve">el </w:t>
      </w:r>
      <w:r w:rsidR="003F70DA" w:rsidRPr="00AC3019">
        <w:rPr>
          <w:rFonts w:ascii="Arial" w:hAnsi="Arial" w:cs="Arial"/>
          <w:sz w:val="24"/>
          <w:szCs w:val="24"/>
        </w:rPr>
        <w:t xml:space="preserve">dictamen de la Superintendencia de Servicios Financieros del Banco </w:t>
      </w:r>
      <w:r w:rsidR="000A520B">
        <w:rPr>
          <w:rFonts w:ascii="Arial" w:hAnsi="Arial" w:cs="Arial"/>
          <w:sz w:val="24"/>
          <w:szCs w:val="24"/>
        </w:rPr>
        <w:t>Central del Uruguay de fecha 05/</w:t>
      </w:r>
      <w:r w:rsidR="003F70DA" w:rsidRPr="00AC3019">
        <w:rPr>
          <w:rFonts w:ascii="Arial" w:hAnsi="Arial" w:cs="Arial"/>
          <w:sz w:val="24"/>
          <w:szCs w:val="24"/>
        </w:rPr>
        <w:t>02</w:t>
      </w:r>
      <w:r w:rsidR="000A520B">
        <w:rPr>
          <w:rFonts w:ascii="Arial" w:hAnsi="Arial" w:cs="Arial"/>
          <w:sz w:val="24"/>
          <w:szCs w:val="24"/>
        </w:rPr>
        <w:t>/</w:t>
      </w:r>
      <w:r w:rsidR="003F70DA" w:rsidRPr="00AC3019">
        <w:rPr>
          <w:rFonts w:ascii="Arial" w:hAnsi="Arial" w:cs="Arial"/>
          <w:sz w:val="24"/>
          <w:szCs w:val="24"/>
        </w:rPr>
        <w:t>16</w:t>
      </w:r>
      <w:r w:rsidR="005A3835" w:rsidRPr="00AC3019">
        <w:rPr>
          <w:rFonts w:ascii="Arial" w:hAnsi="Arial" w:cs="Arial"/>
          <w:sz w:val="24"/>
          <w:szCs w:val="24"/>
        </w:rPr>
        <w:t xml:space="preserve">, </w:t>
      </w:r>
      <w:proofErr w:type="spellStart"/>
      <w:r w:rsidR="00E11987" w:rsidRPr="00AC3019">
        <w:rPr>
          <w:rFonts w:ascii="Arial" w:hAnsi="Arial" w:cs="Arial"/>
          <w:sz w:val="24"/>
          <w:szCs w:val="24"/>
        </w:rPr>
        <w:t>Stavros</w:t>
      </w:r>
      <w:proofErr w:type="spellEnd"/>
      <w:r w:rsidR="00E11987" w:rsidRPr="00AC3019">
        <w:rPr>
          <w:rFonts w:ascii="Arial" w:hAnsi="Arial" w:cs="Arial"/>
          <w:sz w:val="24"/>
          <w:szCs w:val="24"/>
        </w:rPr>
        <w:t xml:space="preserve"> </w:t>
      </w:r>
      <w:proofErr w:type="spellStart"/>
      <w:r w:rsidR="00E11987" w:rsidRPr="00AC3019">
        <w:rPr>
          <w:rFonts w:ascii="Arial" w:hAnsi="Arial" w:cs="Arial"/>
          <w:sz w:val="24"/>
          <w:szCs w:val="24"/>
        </w:rPr>
        <w:t>Moyal</w:t>
      </w:r>
      <w:proofErr w:type="spellEnd"/>
      <w:r w:rsidR="00E11987" w:rsidRPr="00AC3019">
        <w:rPr>
          <w:rFonts w:ascii="Arial" w:hAnsi="Arial" w:cs="Arial"/>
          <w:sz w:val="24"/>
          <w:szCs w:val="24"/>
        </w:rPr>
        <w:t xml:space="preserve"> y Asociados S.R.L</w:t>
      </w:r>
      <w:r w:rsidR="000A520B">
        <w:rPr>
          <w:rFonts w:ascii="Arial" w:hAnsi="Arial" w:cs="Arial"/>
          <w:sz w:val="24"/>
          <w:szCs w:val="24"/>
        </w:rPr>
        <w:t>.</w:t>
      </w:r>
      <w:r w:rsidR="00E11987" w:rsidRPr="00AC3019">
        <w:rPr>
          <w:rFonts w:ascii="Arial" w:hAnsi="Arial" w:cs="Arial"/>
          <w:sz w:val="24"/>
          <w:szCs w:val="24"/>
        </w:rPr>
        <w:t xml:space="preserve"> no se encuentra en una situación irregular a efectos de su presentación en la Licitación Abreviada Ampliada N° 02/2015;</w:t>
      </w:r>
    </w:p>
    <w:p w:rsidR="00E11987" w:rsidRPr="00AC3019" w:rsidRDefault="00E11987" w:rsidP="000A520B">
      <w:pPr>
        <w:spacing w:after="0" w:line="360" w:lineRule="auto"/>
        <w:ind w:firstLine="2552"/>
        <w:jc w:val="both"/>
        <w:rPr>
          <w:rFonts w:ascii="Arial" w:hAnsi="Arial" w:cs="Arial"/>
          <w:sz w:val="24"/>
          <w:szCs w:val="24"/>
        </w:rPr>
      </w:pPr>
      <w:r w:rsidRPr="00AC3019">
        <w:rPr>
          <w:rFonts w:ascii="Arial" w:hAnsi="Arial" w:cs="Arial"/>
          <w:b/>
          <w:sz w:val="24"/>
          <w:szCs w:val="24"/>
        </w:rPr>
        <w:t xml:space="preserve">13) </w:t>
      </w:r>
      <w:r w:rsidRPr="00AC3019">
        <w:rPr>
          <w:rFonts w:ascii="Arial" w:hAnsi="Arial" w:cs="Arial"/>
          <w:sz w:val="24"/>
          <w:szCs w:val="24"/>
        </w:rPr>
        <w:t>que por Resolución de Directorio N° 0055/16 de fecha 17</w:t>
      </w:r>
      <w:r w:rsidR="000A520B">
        <w:rPr>
          <w:rFonts w:ascii="Arial" w:hAnsi="Arial" w:cs="Arial"/>
          <w:sz w:val="24"/>
          <w:szCs w:val="24"/>
        </w:rPr>
        <w:t>/</w:t>
      </w:r>
      <w:r w:rsidRPr="00AC3019">
        <w:rPr>
          <w:rFonts w:ascii="Arial" w:hAnsi="Arial" w:cs="Arial"/>
          <w:sz w:val="24"/>
          <w:szCs w:val="24"/>
        </w:rPr>
        <w:t>02</w:t>
      </w:r>
      <w:r w:rsidR="000A520B">
        <w:rPr>
          <w:rFonts w:ascii="Arial" w:hAnsi="Arial" w:cs="Arial"/>
          <w:sz w:val="24"/>
          <w:szCs w:val="24"/>
        </w:rPr>
        <w:t>/</w:t>
      </w:r>
      <w:r w:rsidRPr="00AC3019">
        <w:rPr>
          <w:rFonts w:ascii="Arial" w:hAnsi="Arial" w:cs="Arial"/>
          <w:sz w:val="24"/>
          <w:szCs w:val="24"/>
        </w:rPr>
        <w:t xml:space="preserve">16, se desestimó el recurso de revocación interpuesto por </w:t>
      </w:r>
      <w:proofErr w:type="spellStart"/>
      <w:r w:rsidRPr="00AC3019">
        <w:rPr>
          <w:rFonts w:ascii="Arial" w:hAnsi="Arial" w:cs="Arial"/>
          <w:sz w:val="24"/>
          <w:szCs w:val="24"/>
        </w:rPr>
        <w:t>Edimur</w:t>
      </w:r>
      <w:proofErr w:type="spellEnd"/>
      <w:r w:rsidRPr="00AC3019">
        <w:rPr>
          <w:rFonts w:ascii="Arial" w:hAnsi="Arial" w:cs="Arial"/>
          <w:sz w:val="24"/>
          <w:szCs w:val="24"/>
        </w:rPr>
        <w:t xml:space="preserve"> S.A</w:t>
      </w:r>
      <w:r w:rsidR="000A520B">
        <w:rPr>
          <w:rFonts w:ascii="Arial" w:hAnsi="Arial" w:cs="Arial"/>
          <w:sz w:val="24"/>
          <w:szCs w:val="24"/>
        </w:rPr>
        <w:t>.</w:t>
      </w:r>
      <w:r w:rsidRPr="00AC3019">
        <w:rPr>
          <w:rFonts w:ascii="Arial" w:hAnsi="Arial" w:cs="Arial"/>
          <w:sz w:val="24"/>
          <w:szCs w:val="24"/>
        </w:rPr>
        <w:t>, manteniendo en todos sus términos el acto administrativo recurrido y disponiéndose el levantamiento del efecto suspensivo de las actuaciones;</w:t>
      </w:r>
    </w:p>
    <w:p w:rsidR="00E11987" w:rsidRPr="00AC3019" w:rsidRDefault="000A520B" w:rsidP="000A520B">
      <w:pPr>
        <w:spacing w:after="0" w:line="360" w:lineRule="auto"/>
        <w:ind w:firstLine="851"/>
        <w:jc w:val="both"/>
        <w:rPr>
          <w:rFonts w:ascii="Arial" w:hAnsi="Arial" w:cs="Arial"/>
          <w:sz w:val="24"/>
          <w:szCs w:val="24"/>
        </w:rPr>
      </w:pPr>
      <w:r>
        <w:rPr>
          <w:rFonts w:ascii="Arial" w:hAnsi="Arial" w:cs="Arial"/>
          <w:b/>
          <w:sz w:val="24"/>
          <w:szCs w:val="24"/>
        </w:rPr>
        <w:t xml:space="preserve">CONSIDERANDO: </w:t>
      </w:r>
      <w:r w:rsidR="00657A2F" w:rsidRPr="00AC3019">
        <w:rPr>
          <w:rFonts w:ascii="Arial" w:hAnsi="Arial" w:cs="Arial"/>
          <w:b/>
          <w:sz w:val="24"/>
          <w:szCs w:val="24"/>
        </w:rPr>
        <w:t xml:space="preserve">1) </w:t>
      </w:r>
      <w:r w:rsidR="000357D3" w:rsidRPr="00AC3019">
        <w:rPr>
          <w:rFonts w:ascii="Arial" w:hAnsi="Arial" w:cs="Arial"/>
          <w:sz w:val="24"/>
          <w:szCs w:val="24"/>
        </w:rPr>
        <w:t xml:space="preserve">que los recursos administrativos de revocación y anulación fueron interpuestos por </w:t>
      </w:r>
      <w:proofErr w:type="spellStart"/>
      <w:r w:rsidR="000357D3" w:rsidRPr="00AC3019">
        <w:rPr>
          <w:rFonts w:ascii="Arial" w:hAnsi="Arial" w:cs="Arial"/>
          <w:sz w:val="24"/>
          <w:szCs w:val="24"/>
        </w:rPr>
        <w:t>Edimur</w:t>
      </w:r>
      <w:proofErr w:type="spellEnd"/>
      <w:r w:rsidR="000357D3" w:rsidRPr="00AC3019">
        <w:rPr>
          <w:rFonts w:ascii="Arial" w:hAnsi="Arial" w:cs="Arial"/>
          <w:sz w:val="24"/>
          <w:szCs w:val="24"/>
        </w:rPr>
        <w:t xml:space="preserve"> S.A</w:t>
      </w:r>
      <w:r>
        <w:rPr>
          <w:rFonts w:ascii="Arial" w:hAnsi="Arial" w:cs="Arial"/>
          <w:sz w:val="24"/>
          <w:szCs w:val="24"/>
        </w:rPr>
        <w:t>.</w:t>
      </w:r>
      <w:r w:rsidR="000357D3" w:rsidRPr="00AC3019">
        <w:rPr>
          <w:rFonts w:ascii="Arial" w:hAnsi="Arial" w:cs="Arial"/>
          <w:sz w:val="24"/>
          <w:szCs w:val="24"/>
        </w:rPr>
        <w:t xml:space="preserve"> en tiempo y forma;</w:t>
      </w:r>
    </w:p>
    <w:p w:rsidR="00657A2F" w:rsidRPr="00AC3019" w:rsidRDefault="00657A2F" w:rsidP="000A520B">
      <w:pPr>
        <w:spacing w:after="0" w:line="360" w:lineRule="auto"/>
        <w:ind w:firstLine="2977"/>
        <w:jc w:val="both"/>
        <w:rPr>
          <w:rFonts w:ascii="Arial" w:hAnsi="Arial" w:cs="Arial"/>
          <w:sz w:val="24"/>
          <w:szCs w:val="24"/>
        </w:rPr>
      </w:pPr>
      <w:r w:rsidRPr="00AC3019">
        <w:rPr>
          <w:rFonts w:ascii="Arial" w:hAnsi="Arial" w:cs="Arial"/>
          <w:b/>
          <w:sz w:val="24"/>
          <w:szCs w:val="24"/>
        </w:rPr>
        <w:t xml:space="preserve">2) </w:t>
      </w:r>
      <w:r w:rsidR="000357D3" w:rsidRPr="00AC3019">
        <w:rPr>
          <w:rFonts w:ascii="Arial" w:hAnsi="Arial" w:cs="Arial"/>
          <w:sz w:val="24"/>
          <w:szCs w:val="24"/>
        </w:rPr>
        <w:t xml:space="preserve">que según lo dispuesto en el </w:t>
      </w:r>
      <w:r w:rsidR="00CC4CF1">
        <w:rPr>
          <w:rFonts w:ascii="Arial" w:hAnsi="Arial" w:cs="Arial"/>
          <w:sz w:val="24"/>
          <w:szCs w:val="24"/>
        </w:rPr>
        <w:t>A</w:t>
      </w:r>
      <w:r w:rsidR="000357D3" w:rsidRPr="00AC3019">
        <w:rPr>
          <w:rFonts w:ascii="Arial" w:hAnsi="Arial" w:cs="Arial"/>
          <w:sz w:val="24"/>
          <w:szCs w:val="24"/>
        </w:rPr>
        <w:t>rtículo 67 del TOCAF, la vista de las actuaciones es preceptiva cuando el valor del procedimiento competitivo supere el cuádruple del monto máximo previsto para la licitación abreviada</w:t>
      </w:r>
      <w:r w:rsidR="00854DB9" w:rsidRPr="00AC3019">
        <w:rPr>
          <w:rFonts w:ascii="Arial" w:hAnsi="Arial" w:cs="Arial"/>
          <w:sz w:val="24"/>
          <w:szCs w:val="24"/>
        </w:rPr>
        <w:t xml:space="preserve"> que en este caso sería la licitación abreviada ampliada que corresponde al Organismo licitante,</w:t>
      </w:r>
      <w:r w:rsidR="000357D3" w:rsidRPr="00AC3019">
        <w:rPr>
          <w:rFonts w:ascii="Arial" w:hAnsi="Arial" w:cs="Arial"/>
          <w:sz w:val="24"/>
          <w:szCs w:val="24"/>
        </w:rPr>
        <w:t xml:space="preserve"> lo que no se verifica en este procedimiento;</w:t>
      </w:r>
    </w:p>
    <w:p w:rsidR="000357D3" w:rsidRPr="00AC3019" w:rsidRDefault="000357D3" w:rsidP="00CC4CF1">
      <w:pPr>
        <w:spacing w:after="0" w:line="360" w:lineRule="auto"/>
        <w:ind w:firstLine="2977"/>
        <w:jc w:val="both"/>
        <w:rPr>
          <w:rFonts w:ascii="Arial" w:hAnsi="Arial" w:cs="Arial"/>
          <w:sz w:val="24"/>
          <w:szCs w:val="24"/>
        </w:rPr>
      </w:pPr>
      <w:r w:rsidRPr="00AC3019">
        <w:rPr>
          <w:rFonts w:ascii="Arial" w:hAnsi="Arial" w:cs="Arial"/>
          <w:b/>
          <w:sz w:val="24"/>
          <w:szCs w:val="24"/>
        </w:rPr>
        <w:t xml:space="preserve">3) </w:t>
      </w:r>
      <w:r w:rsidRPr="00AC3019">
        <w:rPr>
          <w:rFonts w:ascii="Arial" w:hAnsi="Arial" w:cs="Arial"/>
          <w:sz w:val="24"/>
          <w:szCs w:val="24"/>
        </w:rPr>
        <w:t>que las críticas manifesta</w:t>
      </w:r>
      <w:r w:rsidR="00AB6E31" w:rsidRPr="00AC3019">
        <w:rPr>
          <w:rFonts w:ascii="Arial" w:hAnsi="Arial" w:cs="Arial"/>
          <w:sz w:val="24"/>
          <w:szCs w:val="24"/>
        </w:rPr>
        <w:t xml:space="preserve">das por </w:t>
      </w:r>
      <w:proofErr w:type="spellStart"/>
      <w:r w:rsidR="00AB6E31" w:rsidRPr="00AC3019">
        <w:rPr>
          <w:rFonts w:ascii="Arial" w:hAnsi="Arial" w:cs="Arial"/>
          <w:sz w:val="24"/>
          <w:szCs w:val="24"/>
        </w:rPr>
        <w:t>Edimur</w:t>
      </w:r>
      <w:proofErr w:type="spellEnd"/>
      <w:r w:rsidR="00AB6E31" w:rsidRPr="00AC3019">
        <w:rPr>
          <w:rFonts w:ascii="Arial" w:hAnsi="Arial" w:cs="Arial"/>
          <w:sz w:val="24"/>
          <w:szCs w:val="24"/>
        </w:rPr>
        <w:t xml:space="preserve"> S.A</w:t>
      </w:r>
      <w:r w:rsidR="00CC4CF1">
        <w:rPr>
          <w:rFonts w:ascii="Arial" w:hAnsi="Arial" w:cs="Arial"/>
          <w:sz w:val="24"/>
          <w:szCs w:val="24"/>
        </w:rPr>
        <w:t>.</w:t>
      </w:r>
      <w:r w:rsidR="00AB6E31" w:rsidRPr="00AC3019">
        <w:rPr>
          <w:rFonts w:ascii="Arial" w:hAnsi="Arial" w:cs="Arial"/>
          <w:sz w:val="24"/>
          <w:szCs w:val="24"/>
        </w:rPr>
        <w:t xml:space="preserve"> relativas a </w:t>
      </w:r>
      <w:r w:rsidRPr="00AC3019">
        <w:rPr>
          <w:rFonts w:ascii="Arial" w:hAnsi="Arial" w:cs="Arial"/>
          <w:sz w:val="24"/>
          <w:szCs w:val="24"/>
        </w:rPr>
        <w:t xml:space="preserve">la comparación entre los procedimientos N° 02/2014 y 02/2015 son irrelevantes. En efecto, se trata de dos procedimientos distintos, con objetos que, aunque similares, también son diferentes. El objeto de la Licitación Abreviada N° 02/2014 era el de </w:t>
      </w:r>
      <w:r w:rsidR="004911E7" w:rsidRPr="00AC3019">
        <w:rPr>
          <w:rFonts w:ascii="Arial" w:hAnsi="Arial" w:cs="Arial"/>
          <w:sz w:val="24"/>
          <w:szCs w:val="24"/>
        </w:rPr>
        <w:t xml:space="preserve">la </w:t>
      </w:r>
      <w:r w:rsidRPr="00AC3019">
        <w:rPr>
          <w:rFonts w:ascii="Arial" w:hAnsi="Arial" w:cs="Arial"/>
          <w:sz w:val="24"/>
          <w:szCs w:val="24"/>
        </w:rPr>
        <w:t>contratación de una empresa proveedora de servicios contables, mientras que el de la Licitación Abreviada Ampliada N° 02/2015 es el de</w:t>
      </w:r>
      <w:r w:rsidR="004911E7" w:rsidRPr="00AC3019">
        <w:rPr>
          <w:rFonts w:ascii="Arial" w:hAnsi="Arial" w:cs="Arial"/>
          <w:sz w:val="24"/>
          <w:szCs w:val="24"/>
        </w:rPr>
        <w:t xml:space="preserve"> la</w:t>
      </w:r>
      <w:r w:rsidRPr="00AC3019">
        <w:rPr>
          <w:rFonts w:ascii="Arial" w:hAnsi="Arial" w:cs="Arial"/>
          <w:sz w:val="24"/>
          <w:szCs w:val="24"/>
        </w:rPr>
        <w:t xml:space="preserve"> contratación de </w:t>
      </w:r>
      <w:r w:rsidR="004F670A" w:rsidRPr="00AC3019">
        <w:rPr>
          <w:rFonts w:ascii="Arial" w:hAnsi="Arial" w:cs="Arial"/>
          <w:sz w:val="24"/>
          <w:szCs w:val="24"/>
        </w:rPr>
        <w:t xml:space="preserve">una </w:t>
      </w:r>
      <w:r w:rsidRPr="00AC3019">
        <w:rPr>
          <w:rFonts w:ascii="Arial" w:hAnsi="Arial" w:cs="Arial"/>
          <w:sz w:val="24"/>
          <w:szCs w:val="24"/>
        </w:rPr>
        <w:t xml:space="preserve">empresa proveedora de servicios contables, fideicomisos y carteras administrativas, siendo entonces el objeto de la segunda más amplio que el de la primera. En consecuencia, </w:t>
      </w:r>
      <w:r w:rsidR="000D05DC" w:rsidRPr="00AC3019">
        <w:rPr>
          <w:rFonts w:ascii="Arial" w:hAnsi="Arial" w:cs="Arial"/>
          <w:sz w:val="24"/>
          <w:szCs w:val="24"/>
        </w:rPr>
        <w:t>es lógico que sean diferentes los criterios de evaluación de las propuestas,</w:t>
      </w:r>
      <w:r w:rsidR="004911E7" w:rsidRPr="00AC3019">
        <w:rPr>
          <w:rFonts w:ascii="Arial" w:hAnsi="Arial" w:cs="Arial"/>
          <w:sz w:val="24"/>
          <w:szCs w:val="24"/>
        </w:rPr>
        <w:t xml:space="preserve"> así como también </w:t>
      </w:r>
      <w:r w:rsidR="000D05DC" w:rsidRPr="00AC3019">
        <w:rPr>
          <w:rFonts w:ascii="Arial" w:hAnsi="Arial" w:cs="Arial"/>
          <w:sz w:val="24"/>
          <w:szCs w:val="24"/>
        </w:rPr>
        <w:t xml:space="preserve"> la fijación del </w:t>
      </w:r>
      <w:r w:rsidR="004911E7" w:rsidRPr="00AC3019">
        <w:rPr>
          <w:rFonts w:ascii="Arial" w:hAnsi="Arial" w:cs="Arial"/>
          <w:sz w:val="24"/>
          <w:szCs w:val="24"/>
        </w:rPr>
        <w:t>día</w:t>
      </w:r>
      <w:r w:rsidR="000D05DC" w:rsidRPr="00AC3019">
        <w:rPr>
          <w:rFonts w:ascii="Arial" w:hAnsi="Arial" w:cs="Arial"/>
          <w:sz w:val="24"/>
          <w:szCs w:val="24"/>
        </w:rPr>
        <w:t xml:space="preserve"> </w:t>
      </w:r>
      <w:r w:rsidR="004911E7" w:rsidRPr="00AC3019">
        <w:rPr>
          <w:rFonts w:ascii="Arial" w:hAnsi="Arial" w:cs="Arial"/>
          <w:sz w:val="24"/>
          <w:szCs w:val="24"/>
        </w:rPr>
        <w:t xml:space="preserve">de apertura de las ofertas y del </w:t>
      </w:r>
      <w:r w:rsidR="000D05DC" w:rsidRPr="00AC3019">
        <w:rPr>
          <w:rFonts w:ascii="Arial" w:hAnsi="Arial" w:cs="Arial"/>
          <w:sz w:val="24"/>
          <w:szCs w:val="24"/>
        </w:rPr>
        <w:t>costo del Pliego de Condiciones Particulares,</w:t>
      </w:r>
      <w:r w:rsidR="004911E7" w:rsidRPr="00AC3019">
        <w:rPr>
          <w:rFonts w:ascii="Arial" w:hAnsi="Arial" w:cs="Arial"/>
          <w:sz w:val="24"/>
          <w:szCs w:val="24"/>
        </w:rPr>
        <w:t xml:space="preserve"> la</w:t>
      </w:r>
      <w:r w:rsidR="000D05DC" w:rsidRPr="00AC3019">
        <w:rPr>
          <w:rFonts w:ascii="Arial" w:hAnsi="Arial" w:cs="Arial"/>
          <w:sz w:val="24"/>
          <w:szCs w:val="24"/>
        </w:rPr>
        <w:t xml:space="preserve"> invitación a una reunión informativa o la conformación de la Comisión Asesora de Adjudicaciones. En lo relativo a ésta última, el </w:t>
      </w:r>
      <w:r w:rsidR="00CC4CF1">
        <w:rPr>
          <w:rFonts w:ascii="Arial" w:hAnsi="Arial" w:cs="Arial"/>
          <w:sz w:val="24"/>
          <w:szCs w:val="24"/>
        </w:rPr>
        <w:t>A</w:t>
      </w:r>
      <w:r w:rsidR="000D05DC" w:rsidRPr="00AC3019">
        <w:rPr>
          <w:rFonts w:ascii="Arial" w:hAnsi="Arial" w:cs="Arial"/>
          <w:sz w:val="24"/>
          <w:szCs w:val="24"/>
        </w:rPr>
        <w:t xml:space="preserve">rtículo 66 del TOCAF prevé que en cada Administración </w:t>
      </w:r>
      <w:r w:rsidR="001E1A48" w:rsidRPr="00AC3019">
        <w:rPr>
          <w:rFonts w:ascii="Arial" w:hAnsi="Arial" w:cs="Arial"/>
          <w:sz w:val="24"/>
          <w:szCs w:val="24"/>
        </w:rPr>
        <w:t>P</w:t>
      </w:r>
      <w:r w:rsidR="000D05DC" w:rsidRPr="00AC3019">
        <w:rPr>
          <w:rFonts w:ascii="Arial" w:hAnsi="Arial" w:cs="Arial"/>
          <w:sz w:val="24"/>
          <w:szCs w:val="24"/>
        </w:rPr>
        <w:t>ública estatal funcionen una o varias Comisiones Asesoras de Adjudicaciones</w:t>
      </w:r>
      <w:r w:rsidR="004F670A" w:rsidRPr="00AC3019">
        <w:rPr>
          <w:rFonts w:ascii="Arial" w:hAnsi="Arial" w:cs="Arial"/>
          <w:sz w:val="24"/>
          <w:szCs w:val="24"/>
        </w:rPr>
        <w:t xml:space="preserve"> designadas por la autoridad superior de la misma, por lo</w:t>
      </w:r>
      <w:r w:rsidR="004A1487" w:rsidRPr="00AC3019">
        <w:rPr>
          <w:rFonts w:ascii="Arial" w:hAnsi="Arial" w:cs="Arial"/>
          <w:sz w:val="24"/>
          <w:szCs w:val="24"/>
        </w:rPr>
        <w:t xml:space="preserve"> cual,</w:t>
      </w:r>
      <w:r w:rsidR="004F670A" w:rsidRPr="00AC3019">
        <w:rPr>
          <w:rFonts w:ascii="Arial" w:hAnsi="Arial" w:cs="Arial"/>
          <w:sz w:val="24"/>
          <w:szCs w:val="24"/>
        </w:rPr>
        <w:t xml:space="preserve"> </w:t>
      </w:r>
      <w:r w:rsidR="005D2C55" w:rsidRPr="00AC3019">
        <w:rPr>
          <w:rFonts w:ascii="Arial" w:hAnsi="Arial" w:cs="Arial"/>
          <w:sz w:val="24"/>
          <w:szCs w:val="24"/>
        </w:rPr>
        <w:t>no sólo es posible que la</w:t>
      </w:r>
      <w:r w:rsidR="004911E7" w:rsidRPr="00AC3019">
        <w:rPr>
          <w:rFonts w:ascii="Arial" w:hAnsi="Arial" w:cs="Arial"/>
          <w:sz w:val="24"/>
          <w:szCs w:val="24"/>
        </w:rPr>
        <w:t xml:space="preserve"> Comisi</w:t>
      </w:r>
      <w:r w:rsidR="005D2C55" w:rsidRPr="00AC3019">
        <w:rPr>
          <w:rFonts w:ascii="Arial" w:hAnsi="Arial" w:cs="Arial"/>
          <w:sz w:val="24"/>
          <w:szCs w:val="24"/>
        </w:rPr>
        <w:t>ón</w:t>
      </w:r>
      <w:r w:rsidR="004911E7" w:rsidRPr="00AC3019">
        <w:rPr>
          <w:rFonts w:ascii="Arial" w:hAnsi="Arial" w:cs="Arial"/>
          <w:sz w:val="24"/>
          <w:szCs w:val="24"/>
        </w:rPr>
        <w:t xml:space="preserve"> Asesora</w:t>
      </w:r>
      <w:r w:rsidR="005D2C55" w:rsidRPr="00AC3019">
        <w:rPr>
          <w:rFonts w:ascii="Arial" w:hAnsi="Arial" w:cs="Arial"/>
          <w:sz w:val="24"/>
          <w:szCs w:val="24"/>
        </w:rPr>
        <w:t xml:space="preserve"> de este procedimiento fuera diferente al anterior, sino que </w:t>
      </w:r>
      <w:r w:rsidR="004B2554" w:rsidRPr="00AC3019">
        <w:rPr>
          <w:rFonts w:ascii="Arial" w:hAnsi="Arial" w:cs="Arial"/>
          <w:sz w:val="24"/>
          <w:szCs w:val="24"/>
        </w:rPr>
        <w:t xml:space="preserve">además </w:t>
      </w:r>
      <w:r w:rsidR="004F670A" w:rsidRPr="00AC3019">
        <w:rPr>
          <w:rFonts w:ascii="Arial" w:hAnsi="Arial" w:cs="Arial"/>
          <w:sz w:val="24"/>
          <w:szCs w:val="24"/>
        </w:rPr>
        <w:t xml:space="preserve">es </w:t>
      </w:r>
      <w:r w:rsidR="004B2554" w:rsidRPr="00AC3019">
        <w:rPr>
          <w:rFonts w:ascii="Arial" w:hAnsi="Arial" w:cs="Arial"/>
          <w:sz w:val="24"/>
          <w:szCs w:val="24"/>
        </w:rPr>
        <w:t xml:space="preserve">responsabilidad de la autoridad de la Administración y no de </w:t>
      </w:r>
      <w:proofErr w:type="spellStart"/>
      <w:r w:rsidR="004B2554" w:rsidRPr="00AC3019">
        <w:rPr>
          <w:rFonts w:ascii="Arial" w:hAnsi="Arial" w:cs="Arial"/>
          <w:sz w:val="24"/>
          <w:szCs w:val="24"/>
        </w:rPr>
        <w:t>Edimur</w:t>
      </w:r>
      <w:proofErr w:type="spellEnd"/>
      <w:r w:rsidR="004B2554" w:rsidRPr="00AC3019">
        <w:rPr>
          <w:rFonts w:ascii="Arial" w:hAnsi="Arial" w:cs="Arial"/>
          <w:sz w:val="24"/>
          <w:szCs w:val="24"/>
        </w:rPr>
        <w:t xml:space="preserve"> S.A</w:t>
      </w:r>
      <w:r w:rsidR="00C50C49">
        <w:rPr>
          <w:rFonts w:ascii="Arial" w:hAnsi="Arial" w:cs="Arial"/>
          <w:sz w:val="24"/>
          <w:szCs w:val="24"/>
        </w:rPr>
        <w:t>.</w:t>
      </w:r>
      <w:r w:rsidR="004B2554" w:rsidRPr="00AC3019">
        <w:rPr>
          <w:rFonts w:ascii="Arial" w:hAnsi="Arial" w:cs="Arial"/>
          <w:sz w:val="24"/>
          <w:szCs w:val="24"/>
        </w:rPr>
        <w:t xml:space="preserve"> la</w:t>
      </w:r>
      <w:r w:rsidR="004F670A" w:rsidRPr="00AC3019">
        <w:rPr>
          <w:rFonts w:ascii="Arial" w:hAnsi="Arial" w:cs="Arial"/>
          <w:sz w:val="24"/>
          <w:szCs w:val="24"/>
        </w:rPr>
        <w:t xml:space="preserve"> de </w:t>
      </w:r>
      <w:r w:rsidR="004B2554" w:rsidRPr="00AC3019">
        <w:rPr>
          <w:rFonts w:ascii="Arial" w:hAnsi="Arial" w:cs="Arial"/>
          <w:sz w:val="24"/>
          <w:szCs w:val="24"/>
        </w:rPr>
        <w:t xml:space="preserve">nombrar y </w:t>
      </w:r>
      <w:r w:rsidR="004F670A" w:rsidRPr="00AC3019">
        <w:rPr>
          <w:rFonts w:ascii="Arial" w:hAnsi="Arial" w:cs="Arial"/>
          <w:sz w:val="24"/>
          <w:szCs w:val="24"/>
        </w:rPr>
        <w:t>calificar</w:t>
      </w:r>
      <w:r w:rsidR="004B2554" w:rsidRPr="00AC3019">
        <w:rPr>
          <w:rFonts w:ascii="Arial" w:hAnsi="Arial" w:cs="Arial"/>
          <w:sz w:val="24"/>
          <w:szCs w:val="24"/>
        </w:rPr>
        <w:t xml:space="preserve"> a los miembros de ésta, en tanto se trata de funcionario</w:t>
      </w:r>
      <w:r w:rsidR="004911E7" w:rsidRPr="00AC3019">
        <w:rPr>
          <w:rFonts w:ascii="Arial" w:hAnsi="Arial" w:cs="Arial"/>
          <w:sz w:val="24"/>
          <w:szCs w:val="24"/>
        </w:rPr>
        <w:t>s</w:t>
      </w:r>
      <w:r w:rsidR="004B2554" w:rsidRPr="00AC3019">
        <w:rPr>
          <w:rFonts w:ascii="Arial" w:hAnsi="Arial" w:cs="Arial"/>
          <w:sz w:val="24"/>
          <w:szCs w:val="24"/>
        </w:rPr>
        <w:t xml:space="preserve"> de su Organismo;</w:t>
      </w:r>
      <w:r w:rsidR="004F670A" w:rsidRPr="00AC3019">
        <w:rPr>
          <w:rFonts w:ascii="Arial" w:hAnsi="Arial" w:cs="Arial"/>
          <w:sz w:val="24"/>
          <w:szCs w:val="24"/>
        </w:rPr>
        <w:t xml:space="preserve"> </w:t>
      </w:r>
    </w:p>
    <w:p w:rsidR="00F5017A" w:rsidRPr="00AC3019" w:rsidRDefault="000D05DC" w:rsidP="00C50C49">
      <w:pPr>
        <w:spacing w:after="0" w:line="360" w:lineRule="auto"/>
        <w:ind w:firstLine="2977"/>
        <w:jc w:val="both"/>
        <w:rPr>
          <w:rFonts w:ascii="Arial" w:hAnsi="Arial" w:cs="Arial"/>
          <w:sz w:val="24"/>
          <w:szCs w:val="24"/>
        </w:rPr>
      </w:pPr>
      <w:r w:rsidRPr="00AC3019">
        <w:rPr>
          <w:rFonts w:ascii="Arial" w:hAnsi="Arial" w:cs="Arial"/>
          <w:b/>
          <w:sz w:val="24"/>
          <w:szCs w:val="24"/>
        </w:rPr>
        <w:t>4)</w:t>
      </w:r>
      <w:r w:rsidR="004911E7" w:rsidRPr="00AC3019">
        <w:rPr>
          <w:rFonts w:ascii="Arial" w:hAnsi="Arial" w:cs="Arial"/>
          <w:b/>
          <w:sz w:val="24"/>
          <w:szCs w:val="24"/>
        </w:rPr>
        <w:t xml:space="preserve"> </w:t>
      </w:r>
      <w:r w:rsidR="004911E7" w:rsidRPr="00AC3019">
        <w:rPr>
          <w:rFonts w:ascii="Arial" w:hAnsi="Arial" w:cs="Arial"/>
          <w:sz w:val="24"/>
          <w:szCs w:val="24"/>
        </w:rPr>
        <w:t>que de conformidad con el informe de la División Abogacía de fecha 15</w:t>
      </w:r>
      <w:r w:rsidR="00C50C49">
        <w:rPr>
          <w:rFonts w:ascii="Arial" w:hAnsi="Arial" w:cs="Arial"/>
          <w:sz w:val="24"/>
          <w:szCs w:val="24"/>
        </w:rPr>
        <w:t>/</w:t>
      </w:r>
      <w:r w:rsidR="004911E7" w:rsidRPr="00AC3019">
        <w:rPr>
          <w:rFonts w:ascii="Arial" w:hAnsi="Arial" w:cs="Arial"/>
          <w:sz w:val="24"/>
          <w:szCs w:val="24"/>
        </w:rPr>
        <w:t>10</w:t>
      </w:r>
      <w:r w:rsidR="00C50C49">
        <w:rPr>
          <w:rFonts w:ascii="Arial" w:hAnsi="Arial" w:cs="Arial"/>
          <w:sz w:val="24"/>
          <w:szCs w:val="24"/>
        </w:rPr>
        <w:t>/</w:t>
      </w:r>
      <w:r w:rsidR="004911E7" w:rsidRPr="00AC3019">
        <w:rPr>
          <w:rFonts w:ascii="Arial" w:hAnsi="Arial" w:cs="Arial"/>
          <w:sz w:val="24"/>
          <w:szCs w:val="24"/>
        </w:rPr>
        <w:t xml:space="preserve">15, </w:t>
      </w:r>
      <w:r w:rsidR="00C7271A" w:rsidRPr="00AC3019">
        <w:rPr>
          <w:rFonts w:ascii="Arial" w:hAnsi="Arial" w:cs="Arial"/>
          <w:sz w:val="24"/>
          <w:szCs w:val="24"/>
        </w:rPr>
        <w:t xml:space="preserve">en caso </w:t>
      </w:r>
      <w:r w:rsidR="004911E7" w:rsidRPr="00AC3019">
        <w:rPr>
          <w:rFonts w:ascii="Arial" w:hAnsi="Arial" w:cs="Arial"/>
          <w:sz w:val="24"/>
          <w:szCs w:val="24"/>
        </w:rPr>
        <w:t xml:space="preserve">de </w:t>
      </w:r>
      <w:r w:rsidR="004A1487" w:rsidRPr="00AC3019">
        <w:rPr>
          <w:rFonts w:ascii="Arial" w:hAnsi="Arial" w:cs="Arial"/>
          <w:sz w:val="24"/>
          <w:szCs w:val="24"/>
        </w:rPr>
        <w:t xml:space="preserve">que </w:t>
      </w:r>
      <w:proofErr w:type="spellStart"/>
      <w:r w:rsidR="004A1487" w:rsidRPr="00AC3019">
        <w:rPr>
          <w:rFonts w:ascii="Arial" w:hAnsi="Arial" w:cs="Arial"/>
          <w:sz w:val="24"/>
          <w:szCs w:val="24"/>
        </w:rPr>
        <w:t>Edimur</w:t>
      </w:r>
      <w:proofErr w:type="spellEnd"/>
      <w:r w:rsidR="004A1487" w:rsidRPr="00AC3019">
        <w:rPr>
          <w:rFonts w:ascii="Arial" w:hAnsi="Arial" w:cs="Arial"/>
          <w:sz w:val="24"/>
          <w:szCs w:val="24"/>
        </w:rPr>
        <w:t xml:space="preserve"> S.A</w:t>
      </w:r>
      <w:r w:rsidR="00C50C49">
        <w:rPr>
          <w:rFonts w:ascii="Arial" w:hAnsi="Arial" w:cs="Arial"/>
          <w:sz w:val="24"/>
          <w:szCs w:val="24"/>
        </w:rPr>
        <w:t>.</w:t>
      </w:r>
      <w:r w:rsidR="004A1487" w:rsidRPr="00AC3019">
        <w:rPr>
          <w:rFonts w:ascii="Arial" w:hAnsi="Arial" w:cs="Arial"/>
          <w:sz w:val="24"/>
          <w:szCs w:val="24"/>
        </w:rPr>
        <w:t xml:space="preserve"> se </w:t>
      </w:r>
      <w:r w:rsidR="004911E7" w:rsidRPr="00AC3019">
        <w:rPr>
          <w:rFonts w:ascii="Arial" w:hAnsi="Arial" w:cs="Arial"/>
          <w:sz w:val="24"/>
          <w:szCs w:val="24"/>
        </w:rPr>
        <w:t>s</w:t>
      </w:r>
      <w:r w:rsidR="004A1487" w:rsidRPr="00AC3019">
        <w:rPr>
          <w:rFonts w:ascii="Arial" w:hAnsi="Arial" w:cs="Arial"/>
          <w:sz w:val="24"/>
          <w:szCs w:val="24"/>
        </w:rPr>
        <w:t xml:space="preserve">intiese </w:t>
      </w:r>
      <w:r w:rsidR="004911E7" w:rsidRPr="00AC3019">
        <w:rPr>
          <w:rFonts w:ascii="Arial" w:hAnsi="Arial" w:cs="Arial"/>
          <w:sz w:val="24"/>
          <w:szCs w:val="24"/>
        </w:rPr>
        <w:t xml:space="preserve">agraviada </w:t>
      </w:r>
      <w:r w:rsidR="004A1487" w:rsidRPr="00AC3019">
        <w:rPr>
          <w:rFonts w:ascii="Arial" w:hAnsi="Arial" w:cs="Arial"/>
          <w:sz w:val="24"/>
          <w:szCs w:val="24"/>
        </w:rPr>
        <w:t xml:space="preserve">tanto </w:t>
      </w:r>
      <w:r w:rsidR="00F5017A" w:rsidRPr="00AC3019">
        <w:rPr>
          <w:rFonts w:ascii="Arial" w:hAnsi="Arial" w:cs="Arial"/>
          <w:sz w:val="24"/>
          <w:szCs w:val="24"/>
        </w:rPr>
        <w:t xml:space="preserve">por la Resolución que dejó sin efecto la </w:t>
      </w:r>
      <w:r w:rsidR="004A1487" w:rsidRPr="00AC3019">
        <w:rPr>
          <w:rFonts w:ascii="Arial" w:hAnsi="Arial" w:cs="Arial"/>
          <w:sz w:val="24"/>
          <w:szCs w:val="24"/>
        </w:rPr>
        <w:t xml:space="preserve">Licitación Abreviada N° 02/2014, </w:t>
      </w:r>
      <w:r w:rsidR="00F5017A" w:rsidRPr="00AC3019">
        <w:rPr>
          <w:rFonts w:ascii="Arial" w:hAnsi="Arial" w:cs="Arial"/>
          <w:sz w:val="24"/>
          <w:szCs w:val="24"/>
        </w:rPr>
        <w:t xml:space="preserve">como por la que aprobó el Pliego de Condiciones Particulares de la Licitación Abreviada Ampliada N° 02/2015, </w:t>
      </w:r>
      <w:r w:rsidR="00C7271A" w:rsidRPr="00AC3019">
        <w:rPr>
          <w:rFonts w:ascii="Arial" w:hAnsi="Arial" w:cs="Arial"/>
          <w:sz w:val="24"/>
          <w:szCs w:val="24"/>
        </w:rPr>
        <w:t xml:space="preserve">dicha firma </w:t>
      </w:r>
      <w:r w:rsidR="00F5017A" w:rsidRPr="00AC3019">
        <w:rPr>
          <w:rFonts w:ascii="Arial" w:hAnsi="Arial" w:cs="Arial"/>
          <w:sz w:val="24"/>
          <w:szCs w:val="24"/>
        </w:rPr>
        <w:t xml:space="preserve">debió recurrir éstos actos administrativos </w:t>
      </w:r>
      <w:r w:rsidR="00C7271A" w:rsidRPr="00AC3019">
        <w:rPr>
          <w:rFonts w:ascii="Arial" w:hAnsi="Arial" w:cs="Arial"/>
          <w:sz w:val="24"/>
          <w:szCs w:val="24"/>
        </w:rPr>
        <w:t xml:space="preserve">oportunamente </w:t>
      </w:r>
      <w:r w:rsidR="00F5017A" w:rsidRPr="00AC3019">
        <w:rPr>
          <w:rFonts w:ascii="Arial" w:hAnsi="Arial" w:cs="Arial"/>
          <w:sz w:val="24"/>
          <w:szCs w:val="24"/>
        </w:rPr>
        <w:t xml:space="preserve">y, al no hacerlo, </w:t>
      </w:r>
      <w:proofErr w:type="spellStart"/>
      <w:r w:rsidR="00F5017A" w:rsidRPr="00AC3019">
        <w:rPr>
          <w:rFonts w:ascii="Arial" w:hAnsi="Arial" w:cs="Arial"/>
          <w:sz w:val="24"/>
          <w:szCs w:val="24"/>
        </w:rPr>
        <w:t>precluyó</w:t>
      </w:r>
      <w:proofErr w:type="spellEnd"/>
      <w:r w:rsidR="00F5017A" w:rsidRPr="00AC3019">
        <w:rPr>
          <w:rFonts w:ascii="Arial" w:hAnsi="Arial" w:cs="Arial"/>
          <w:sz w:val="24"/>
          <w:szCs w:val="24"/>
        </w:rPr>
        <w:t xml:space="preserve"> </w:t>
      </w:r>
      <w:r w:rsidR="002332AE" w:rsidRPr="00AC3019">
        <w:rPr>
          <w:rFonts w:ascii="Arial" w:hAnsi="Arial" w:cs="Arial"/>
          <w:sz w:val="24"/>
          <w:szCs w:val="24"/>
        </w:rPr>
        <w:t>su</w:t>
      </w:r>
      <w:r w:rsidR="00F5017A" w:rsidRPr="00AC3019">
        <w:rPr>
          <w:rFonts w:ascii="Arial" w:hAnsi="Arial" w:cs="Arial"/>
          <w:sz w:val="24"/>
          <w:szCs w:val="24"/>
        </w:rPr>
        <w:t xml:space="preserve"> oportunidad procesal. </w:t>
      </w:r>
      <w:r w:rsidR="00C7271A" w:rsidRPr="00AC3019">
        <w:rPr>
          <w:rFonts w:ascii="Arial" w:hAnsi="Arial" w:cs="Arial"/>
          <w:sz w:val="24"/>
          <w:szCs w:val="24"/>
        </w:rPr>
        <w:t>Por otro lado, la presentación</w:t>
      </w:r>
      <w:r w:rsidR="00F5017A" w:rsidRPr="00AC3019">
        <w:rPr>
          <w:rFonts w:ascii="Arial" w:hAnsi="Arial" w:cs="Arial"/>
          <w:sz w:val="24"/>
          <w:szCs w:val="24"/>
        </w:rPr>
        <w:t xml:space="preserve"> a la Licitación N° 02/2015</w:t>
      </w:r>
      <w:r w:rsidR="00C7271A" w:rsidRPr="00AC3019">
        <w:rPr>
          <w:rFonts w:ascii="Arial" w:hAnsi="Arial" w:cs="Arial"/>
          <w:sz w:val="24"/>
          <w:szCs w:val="24"/>
        </w:rPr>
        <w:t xml:space="preserve"> supone una</w:t>
      </w:r>
      <w:r w:rsidR="00F5017A" w:rsidRPr="00AC3019">
        <w:rPr>
          <w:rFonts w:ascii="Arial" w:hAnsi="Arial" w:cs="Arial"/>
          <w:sz w:val="24"/>
          <w:szCs w:val="24"/>
        </w:rPr>
        <w:t xml:space="preserve"> aceptación de las bases del llamado, tal como lo establece el </w:t>
      </w:r>
      <w:r w:rsidR="00C50C49">
        <w:rPr>
          <w:rFonts w:ascii="Arial" w:hAnsi="Arial" w:cs="Arial"/>
          <w:sz w:val="24"/>
          <w:szCs w:val="24"/>
        </w:rPr>
        <w:t>A</w:t>
      </w:r>
      <w:r w:rsidR="00F5017A" w:rsidRPr="00AC3019">
        <w:rPr>
          <w:rFonts w:ascii="Arial" w:hAnsi="Arial" w:cs="Arial"/>
          <w:sz w:val="24"/>
          <w:szCs w:val="24"/>
        </w:rPr>
        <w:t>rtículo 11 del Pliego de Condiciones Particulares;</w:t>
      </w:r>
    </w:p>
    <w:p w:rsidR="000D05DC" w:rsidRPr="00AC3019" w:rsidRDefault="00F5017A" w:rsidP="00C50C49">
      <w:pPr>
        <w:spacing w:after="0" w:line="360" w:lineRule="auto"/>
        <w:ind w:firstLine="2977"/>
        <w:jc w:val="both"/>
        <w:rPr>
          <w:rFonts w:ascii="Arial" w:hAnsi="Arial" w:cs="Arial"/>
          <w:sz w:val="24"/>
          <w:szCs w:val="24"/>
        </w:rPr>
      </w:pPr>
      <w:r w:rsidRPr="00AC3019">
        <w:rPr>
          <w:rFonts w:ascii="Arial" w:hAnsi="Arial" w:cs="Arial"/>
          <w:b/>
          <w:sz w:val="24"/>
          <w:szCs w:val="24"/>
        </w:rPr>
        <w:t>5)</w:t>
      </w:r>
      <w:r w:rsidRPr="00AC3019">
        <w:rPr>
          <w:rFonts w:ascii="Arial" w:hAnsi="Arial" w:cs="Arial"/>
          <w:sz w:val="24"/>
          <w:szCs w:val="24"/>
        </w:rPr>
        <w:t xml:space="preserve"> </w:t>
      </w:r>
      <w:r w:rsidR="00AD33A3" w:rsidRPr="00AC3019">
        <w:rPr>
          <w:rFonts w:ascii="Arial" w:hAnsi="Arial" w:cs="Arial"/>
          <w:sz w:val="24"/>
          <w:szCs w:val="24"/>
        </w:rPr>
        <w:t xml:space="preserve">que en lo relativo a los criterios de evaluación </w:t>
      </w:r>
      <w:r w:rsidR="002332AE" w:rsidRPr="00AC3019">
        <w:rPr>
          <w:rFonts w:ascii="Arial" w:hAnsi="Arial" w:cs="Arial"/>
          <w:sz w:val="24"/>
          <w:szCs w:val="24"/>
        </w:rPr>
        <w:t>impugnados</w:t>
      </w:r>
      <w:r w:rsidR="00AD33A3" w:rsidRPr="00AC3019">
        <w:rPr>
          <w:rFonts w:ascii="Arial" w:hAnsi="Arial" w:cs="Arial"/>
          <w:sz w:val="24"/>
          <w:szCs w:val="24"/>
        </w:rPr>
        <w:t xml:space="preserve"> por </w:t>
      </w:r>
      <w:proofErr w:type="spellStart"/>
      <w:r w:rsidR="00AD33A3" w:rsidRPr="00AC3019">
        <w:rPr>
          <w:rFonts w:ascii="Arial" w:hAnsi="Arial" w:cs="Arial"/>
          <w:sz w:val="24"/>
          <w:szCs w:val="24"/>
        </w:rPr>
        <w:t>Edimur</w:t>
      </w:r>
      <w:proofErr w:type="spellEnd"/>
      <w:r w:rsidR="00AD33A3" w:rsidRPr="00AC3019">
        <w:rPr>
          <w:rFonts w:ascii="Arial" w:hAnsi="Arial" w:cs="Arial"/>
          <w:sz w:val="24"/>
          <w:szCs w:val="24"/>
        </w:rPr>
        <w:t xml:space="preserve"> S.A</w:t>
      </w:r>
      <w:r w:rsidR="00C50C49">
        <w:rPr>
          <w:rFonts w:ascii="Arial" w:hAnsi="Arial" w:cs="Arial"/>
          <w:sz w:val="24"/>
          <w:szCs w:val="24"/>
        </w:rPr>
        <w:t>.</w:t>
      </w:r>
      <w:r w:rsidR="000C150B" w:rsidRPr="00AC3019">
        <w:rPr>
          <w:rFonts w:ascii="Arial" w:hAnsi="Arial" w:cs="Arial"/>
          <w:sz w:val="24"/>
          <w:szCs w:val="24"/>
        </w:rPr>
        <w:t xml:space="preserve"> en la fundamentación de los recursos interpuestos, el Pliego de Condiciones Particulares establece en el </w:t>
      </w:r>
      <w:r w:rsidR="00C50C49">
        <w:rPr>
          <w:rFonts w:ascii="Arial" w:hAnsi="Arial" w:cs="Arial"/>
          <w:sz w:val="24"/>
          <w:szCs w:val="24"/>
        </w:rPr>
        <w:t>A</w:t>
      </w:r>
      <w:r w:rsidR="000C150B" w:rsidRPr="00AC3019">
        <w:rPr>
          <w:rFonts w:ascii="Arial" w:hAnsi="Arial" w:cs="Arial"/>
          <w:sz w:val="24"/>
          <w:szCs w:val="24"/>
        </w:rPr>
        <w:t xml:space="preserve">rtículo 14 que las propuestas serían sometidas a una doble evaluación técnica y económica. El resultado de la evaluación técnica determinaría la asignación de hasta 70 puntos a cada participante. Las propuestas técnicamente aceptadas serían luego evaluadas económicamente, pudiendo recibir una puntuación adicional de 30 puntos, lo que suma un total de 100. </w:t>
      </w:r>
      <w:r w:rsidR="00442F6D" w:rsidRPr="00AC3019">
        <w:rPr>
          <w:rFonts w:ascii="Arial" w:hAnsi="Arial" w:cs="Arial"/>
          <w:sz w:val="24"/>
          <w:szCs w:val="24"/>
        </w:rPr>
        <w:t>De conformidad con el referido informe de división Abogacía, la utilización del criterio de proporcionalidad directa utilizado por la Comisión Asesora de Adjudicaciones determina que</w:t>
      </w:r>
      <w:r w:rsidR="002332AE" w:rsidRPr="00AC3019">
        <w:rPr>
          <w:rFonts w:ascii="Arial" w:hAnsi="Arial" w:cs="Arial"/>
          <w:sz w:val="24"/>
          <w:szCs w:val="24"/>
        </w:rPr>
        <w:t xml:space="preserve"> cuanto más se ajustan al interés de la Administración </w:t>
      </w:r>
      <w:r w:rsidR="00442F6D" w:rsidRPr="00AC3019">
        <w:rPr>
          <w:rFonts w:ascii="Arial" w:hAnsi="Arial" w:cs="Arial"/>
          <w:sz w:val="24"/>
          <w:szCs w:val="24"/>
        </w:rPr>
        <w:t xml:space="preserve">los antecedentes del postulante y </w:t>
      </w:r>
      <w:r w:rsidR="002332AE" w:rsidRPr="00AC3019">
        <w:rPr>
          <w:rFonts w:ascii="Arial" w:hAnsi="Arial" w:cs="Arial"/>
          <w:sz w:val="24"/>
          <w:szCs w:val="24"/>
        </w:rPr>
        <w:t xml:space="preserve">sus consultores y </w:t>
      </w:r>
      <w:r w:rsidR="00442F6D" w:rsidRPr="00AC3019">
        <w:rPr>
          <w:rFonts w:ascii="Arial" w:hAnsi="Arial" w:cs="Arial"/>
          <w:sz w:val="24"/>
          <w:szCs w:val="24"/>
        </w:rPr>
        <w:t xml:space="preserve">el plan y metodología de </w:t>
      </w:r>
      <w:r w:rsidR="002332AE" w:rsidRPr="00AC3019">
        <w:rPr>
          <w:rFonts w:ascii="Arial" w:hAnsi="Arial" w:cs="Arial"/>
          <w:sz w:val="24"/>
          <w:szCs w:val="24"/>
        </w:rPr>
        <w:t xml:space="preserve">trabajo propuestos, la puntuación sea mayor. Esto </w:t>
      </w:r>
      <w:r w:rsidR="00442F6D" w:rsidRPr="00AC3019">
        <w:rPr>
          <w:rFonts w:ascii="Arial" w:hAnsi="Arial" w:cs="Arial"/>
          <w:sz w:val="24"/>
          <w:szCs w:val="24"/>
        </w:rPr>
        <w:t>resulta ser lógico, siendo que además se aplicó por igual al examen técnico de las propuestas formuladas por todos los interesados;</w:t>
      </w:r>
    </w:p>
    <w:p w:rsidR="000357D3" w:rsidRPr="00AC3019" w:rsidRDefault="00442F6D" w:rsidP="00C50C49">
      <w:pPr>
        <w:spacing w:after="0" w:line="360" w:lineRule="auto"/>
        <w:ind w:firstLine="2977"/>
        <w:jc w:val="both"/>
        <w:rPr>
          <w:rFonts w:ascii="Arial" w:hAnsi="Arial" w:cs="Arial"/>
          <w:sz w:val="24"/>
          <w:szCs w:val="24"/>
        </w:rPr>
      </w:pPr>
      <w:r w:rsidRPr="00AC3019">
        <w:rPr>
          <w:rFonts w:ascii="Arial" w:hAnsi="Arial" w:cs="Arial"/>
          <w:b/>
          <w:sz w:val="24"/>
          <w:szCs w:val="24"/>
        </w:rPr>
        <w:t>6)</w:t>
      </w:r>
      <w:r w:rsidRPr="00AC3019">
        <w:rPr>
          <w:rFonts w:ascii="Arial" w:hAnsi="Arial" w:cs="Arial"/>
          <w:sz w:val="24"/>
          <w:szCs w:val="24"/>
        </w:rPr>
        <w:t xml:space="preserve"> que asimismo, en lo relativo a la aplicación del criterio de la proporcionalidad inversa </w:t>
      </w:r>
      <w:r w:rsidR="009A3440" w:rsidRPr="00AC3019">
        <w:rPr>
          <w:rFonts w:ascii="Arial" w:hAnsi="Arial" w:cs="Arial"/>
          <w:sz w:val="24"/>
          <w:szCs w:val="24"/>
        </w:rPr>
        <w:t>por la Comisión Ases</w:t>
      </w:r>
      <w:r w:rsidR="00680184" w:rsidRPr="00AC3019">
        <w:rPr>
          <w:rFonts w:ascii="Arial" w:hAnsi="Arial" w:cs="Arial"/>
          <w:sz w:val="24"/>
          <w:szCs w:val="24"/>
        </w:rPr>
        <w:t xml:space="preserve">ora de Adjudicaciones, </w:t>
      </w:r>
      <w:r w:rsidR="009A3440" w:rsidRPr="00AC3019">
        <w:rPr>
          <w:rFonts w:ascii="Arial" w:hAnsi="Arial" w:cs="Arial"/>
          <w:sz w:val="24"/>
          <w:szCs w:val="24"/>
        </w:rPr>
        <w:t xml:space="preserve">a los efectos de calificar </w:t>
      </w:r>
      <w:r w:rsidR="000D1A87" w:rsidRPr="00AC3019">
        <w:rPr>
          <w:rFonts w:ascii="Arial" w:hAnsi="Arial" w:cs="Arial"/>
          <w:sz w:val="24"/>
          <w:szCs w:val="24"/>
        </w:rPr>
        <w:t>a las propuestas en su aspecto económico</w:t>
      </w:r>
      <w:r w:rsidRPr="00AC3019">
        <w:rPr>
          <w:rFonts w:ascii="Arial" w:hAnsi="Arial" w:cs="Arial"/>
          <w:sz w:val="24"/>
          <w:szCs w:val="24"/>
        </w:rPr>
        <w:t>,</w:t>
      </w:r>
      <w:r w:rsidR="000D1A87" w:rsidRPr="00AC3019">
        <w:rPr>
          <w:rFonts w:ascii="Arial" w:hAnsi="Arial" w:cs="Arial"/>
          <w:sz w:val="24"/>
          <w:szCs w:val="24"/>
        </w:rPr>
        <w:t xml:space="preserve"> el cálculo efectuado se adecú</w:t>
      </w:r>
      <w:r w:rsidR="009A3440" w:rsidRPr="00AC3019">
        <w:rPr>
          <w:rFonts w:ascii="Arial" w:hAnsi="Arial" w:cs="Arial"/>
          <w:sz w:val="24"/>
          <w:szCs w:val="24"/>
        </w:rPr>
        <w:t xml:space="preserve">a a la </w:t>
      </w:r>
      <w:r w:rsidRPr="00AC3019">
        <w:rPr>
          <w:rFonts w:ascii="Arial" w:hAnsi="Arial" w:cs="Arial"/>
          <w:sz w:val="24"/>
          <w:szCs w:val="24"/>
        </w:rPr>
        <w:t>previs</w:t>
      </w:r>
      <w:r w:rsidR="009A3440" w:rsidRPr="00AC3019">
        <w:rPr>
          <w:rFonts w:ascii="Arial" w:hAnsi="Arial" w:cs="Arial"/>
          <w:sz w:val="24"/>
          <w:szCs w:val="24"/>
        </w:rPr>
        <w:t>ión dispuesta</w:t>
      </w:r>
      <w:r w:rsidRPr="00AC3019">
        <w:rPr>
          <w:rFonts w:ascii="Arial" w:hAnsi="Arial" w:cs="Arial"/>
          <w:sz w:val="24"/>
          <w:szCs w:val="24"/>
        </w:rPr>
        <w:t xml:space="preserve"> en el artículo 14 del Pliego de Condiciones Particulares</w:t>
      </w:r>
      <w:r w:rsidR="009A3440" w:rsidRPr="00AC3019">
        <w:rPr>
          <w:rFonts w:ascii="Arial" w:hAnsi="Arial" w:cs="Arial"/>
          <w:sz w:val="24"/>
          <w:szCs w:val="24"/>
        </w:rPr>
        <w:t>;</w:t>
      </w:r>
    </w:p>
    <w:p w:rsidR="009A3440" w:rsidRPr="00AC3019" w:rsidRDefault="009A3440" w:rsidP="00C50C49">
      <w:pPr>
        <w:spacing w:after="0" w:line="360" w:lineRule="auto"/>
        <w:ind w:firstLine="2977"/>
        <w:jc w:val="both"/>
        <w:rPr>
          <w:rFonts w:ascii="Arial" w:hAnsi="Arial" w:cs="Arial"/>
          <w:sz w:val="24"/>
          <w:szCs w:val="24"/>
        </w:rPr>
      </w:pPr>
      <w:r w:rsidRPr="00AC3019">
        <w:rPr>
          <w:rFonts w:ascii="Arial" w:hAnsi="Arial" w:cs="Arial"/>
          <w:b/>
          <w:sz w:val="24"/>
          <w:szCs w:val="24"/>
        </w:rPr>
        <w:t xml:space="preserve">7) </w:t>
      </w:r>
      <w:r w:rsidRPr="00AC3019">
        <w:rPr>
          <w:rFonts w:ascii="Arial" w:hAnsi="Arial" w:cs="Arial"/>
          <w:sz w:val="24"/>
          <w:szCs w:val="24"/>
        </w:rPr>
        <w:t>que según el dictamen del Banco Central del Uruguay de fecha 05</w:t>
      </w:r>
      <w:r w:rsidR="00C50C49">
        <w:rPr>
          <w:rFonts w:ascii="Arial" w:hAnsi="Arial" w:cs="Arial"/>
          <w:sz w:val="24"/>
          <w:szCs w:val="24"/>
        </w:rPr>
        <w:t>/</w:t>
      </w:r>
      <w:r w:rsidRPr="00AC3019">
        <w:rPr>
          <w:rFonts w:ascii="Arial" w:hAnsi="Arial" w:cs="Arial"/>
          <w:sz w:val="24"/>
          <w:szCs w:val="24"/>
        </w:rPr>
        <w:t>02</w:t>
      </w:r>
      <w:r w:rsidR="00C50C49">
        <w:rPr>
          <w:rFonts w:ascii="Arial" w:hAnsi="Arial" w:cs="Arial"/>
          <w:sz w:val="24"/>
          <w:szCs w:val="24"/>
        </w:rPr>
        <w:t>/</w:t>
      </w:r>
      <w:r w:rsidRPr="00AC3019">
        <w:rPr>
          <w:rFonts w:ascii="Arial" w:hAnsi="Arial" w:cs="Arial"/>
          <w:sz w:val="24"/>
          <w:szCs w:val="24"/>
        </w:rPr>
        <w:t xml:space="preserve">16 que en estas estas actuaciones luce adjunto a la Resolución N° 0055/2016, </w:t>
      </w:r>
      <w:proofErr w:type="spellStart"/>
      <w:r w:rsidRPr="00AC3019">
        <w:rPr>
          <w:rFonts w:ascii="Arial" w:hAnsi="Arial" w:cs="Arial"/>
          <w:sz w:val="24"/>
          <w:szCs w:val="24"/>
        </w:rPr>
        <w:t>Stavros</w:t>
      </w:r>
      <w:proofErr w:type="spellEnd"/>
      <w:r w:rsidRPr="00AC3019">
        <w:rPr>
          <w:rFonts w:ascii="Arial" w:hAnsi="Arial" w:cs="Arial"/>
          <w:sz w:val="24"/>
          <w:szCs w:val="24"/>
        </w:rPr>
        <w:t xml:space="preserve"> </w:t>
      </w:r>
      <w:proofErr w:type="spellStart"/>
      <w:r w:rsidRPr="00AC3019">
        <w:rPr>
          <w:rFonts w:ascii="Arial" w:hAnsi="Arial" w:cs="Arial"/>
          <w:sz w:val="24"/>
          <w:szCs w:val="24"/>
        </w:rPr>
        <w:t>Moyal</w:t>
      </w:r>
      <w:proofErr w:type="spellEnd"/>
      <w:r w:rsidRPr="00AC3019">
        <w:rPr>
          <w:rFonts w:ascii="Arial" w:hAnsi="Arial" w:cs="Arial"/>
          <w:sz w:val="24"/>
          <w:szCs w:val="24"/>
        </w:rPr>
        <w:t xml:space="preserve"> y Asociados S.R.L</w:t>
      </w:r>
      <w:r w:rsidR="00C50C49">
        <w:rPr>
          <w:rFonts w:ascii="Arial" w:hAnsi="Arial" w:cs="Arial"/>
          <w:sz w:val="24"/>
          <w:szCs w:val="24"/>
        </w:rPr>
        <w:t>.</w:t>
      </w:r>
      <w:r w:rsidRPr="00AC3019">
        <w:rPr>
          <w:rFonts w:ascii="Arial" w:hAnsi="Arial" w:cs="Arial"/>
          <w:sz w:val="24"/>
          <w:szCs w:val="24"/>
        </w:rPr>
        <w:t xml:space="preserve"> no se encuentra en una situación irregular a efectos de su presentación en la Licitación Abreviada Ampliada N° 02/2015;</w:t>
      </w:r>
    </w:p>
    <w:p w:rsidR="000D1A87" w:rsidRPr="00AC3019" w:rsidRDefault="009A3440" w:rsidP="00C50C49">
      <w:pPr>
        <w:spacing w:after="0" w:line="360" w:lineRule="auto"/>
        <w:ind w:firstLine="2977"/>
        <w:jc w:val="both"/>
        <w:rPr>
          <w:rFonts w:ascii="Arial" w:hAnsi="Arial" w:cs="Arial"/>
          <w:sz w:val="24"/>
          <w:szCs w:val="24"/>
        </w:rPr>
      </w:pPr>
      <w:r w:rsidRPr="00AC3019">
        <w:rPr>
          <w:rFonts w:ascii="Arial" w:hAnsi="Arial" w:cs="Arial"/>
          <w:b/>
          <w:sz w:val="24"/>
          <w:szCs w:val="24"/>
        </w:rPr>
        <w:t>8)</w:t>
      </w:r>
      <w:r w:rsidRPr="00AC3019">
        <w:rPr>
          <w:rFonts w:ascii="Arial" w:hAnsi="Arial" w:cs="Arial"/>
          <w:sz w:val="24"/>
          <w:szCs w:val="24"/>
        </w:rPr>
        <w:t xml:space="preserve"> </w:t>
      </w:r>
      <w:r w:rsidR="000D1A87" w:rsidRPr="00AC3019">
        <w:rPr>
          <w:rFonts w:ascii="Arial" w:hAnsi="Arial" w:cs="Arial"/>
          <w:sz w:val="24"/>
          <w:szCs w:val="24"/>
        </w:rPr>
        <w:t xml:space="preserve">que </w:t>
      </w:r>
      <w:r w:rsidR="002332AE" w:rsidRPr="00AC3019">
        <w:rPr>
          <w:rFonts w:ascii="Arial" w:hAnsi="Arial" w:cs="Arial"/>
          <w:sz w:val="24"/>
          <w:szCs w:val="24"/>
        </w:rPr>
        <w:t>los agrav</w:t>
      </w:r>
      <w:r w:rsidR="00C50C49">
        <w:rPr>
          <w:rFonts w:ascii="Arial" w:hAnsi="Arial" w:cs="Arial"/>
          <w:sz w:val="24"/>
          <w:szCs w:val="24"/>
        </w:rPr>
        <w:t xml:space="preserve">ios manifestados por </w:t>
      </w:r>
      <w:proofErr w:type="spellStart"/>
      <w:r w:rsidR="00C50C49">
        <w:rPr>
          <w:rFonts w:ascii="Arial" w:hAnsi="Arial" w:cs="Arial"/>
          <w:sz w:val="24"/>
          <w:szCs w:val="24"/>
        </w:rPr>
        <w:t>Edimur</w:t>
      </w:r>
      <w:proofErr w:type="spellEnd"/>
      <w:r w:rsidR="00C50C49">
        <w:rPr>
          <w:rFonts w:ascii="Arial" w:hAnsi="Arial" w:cs="Arial"/>
          <w:sz w:val="24"/>
          <w:szCs w:val="24"/>
        </w:rPr>
        <w:t xml:space="preserve"> S.A. </w:t>
      </w:r>
      <w:r w:rsidR="002332AE" w:rsidRPr="00AC3019">
        <w:rPr>
          <w:rFonts w:ascii="Arial" w:hAnsi="Arial" w:cs="Arial"/>
          <w:sz w:val="24"/>
          <w:szCs w:val="24"/>
        </w:rPr>
        <w:t>fueron rebatidos por la División Jurídica de la Administración</w:t>
      </w:r>
      <w:r w:rsidR="00BD244A" w:rsidRPr="00AC3019">
        <w:rPr>
          <w:rFonts w:ascii="Arial" w:hAnsi="Arial" w:cs="Arial"/>
          <w:sz w:val="24"/>
          <w:szCs w:val="24"/>
        </w:rPr>
        <w:t xml:space="preserve"> compartiéndose lo actuado por el Organismo</w:t>
      </w:r>
      <w:r w:rsidR="000D1A87" w:rsidRPr="00AC3019">
        <w:rPr>
          <w:rFonts w:ascii="Arial" w:hAnsi="Arial" w:cs="Arial"/>
          <w:sz w:val="24"/>
          <w:szCs w:val="24"/>
        </w:rPr>
        <w:t xml:space="preserve">; </w:t>
      </w:r>
    </w:p>
    <w:p w:rsidR="00680184" w:rsidRPr="00AC3019" w:rsidRDefault="00680184" w:rsidP="00C50C49">
      <w:pPr>
        <w:spacing w:after="0" w:line="360" w:lineRule="auto"/>
        <w:ind w:firstLine="2977"/>
        <w:jc w:val="both"/>
        <w:rPr>
          <w:rFonts w:ascii="Arial" w:hAnsi="Arial" w:cs="Arial"/>
          <w:bCs/>
          <w:sz w:val="24"/>
          <w:szCs w:val="24"/>
          <w:lang w:val="es-MX"/>
        </w:rPr>
      </w:pPr>
      <w:r w:rsidRPr="00AC3019">
        <w:rPr>
          <w:rFonts w:ascii="Arial" w:hAnsi="Arial" w:cs="Arial"/>
          <w:b/>
          <w:sz w:val="24"/>
          <w:szCs w:val="24"/>
        </w:rPr>
        <w:t>9)</w:t>
      </w:r>
      <w:r w:rsidRPr="00AC3019">
        <w:rPr>
          <w:rFonts w:ascii="Arial" w:hAnsi="Arial" w:cs="Arial"/>
          <w:sz w:val="24"/>
          <w:szCs w:val="24"/>
        </w:rPr>
        <w:t xml:space="preserve"> que no obstante, siendo que</w:t>
      </w:r>
      <w:r w:rsidR="00D735B2" w:rsidRPr="00AC3019">
        <w:rPr>
          <w:rFonts w:ascii="Arial" w:hAnsi="Arial" w:cs="Arial"/>
          <w:sz w:val="24"/>
          <w:szCs w:val="24"/>
        </w:rPr>
        <w:t xml:space="preserve"> según lo establecido en la Aclaración N° 1 al Pliego de Condiciones Particu</w:t>
      </w:r>
      <w:r w:rsidR="00C50C49">
        <w:rPr>
          <w:rFonts w:ascii="Arial" w:hAnsi="Arial" w:cs="Arial"/>
          <w:sz w:val="24"/>
          <w:szCs w:val="24"/>
        </w:rPr>
        <w:t>lares de fecha 21/</w:t>
      </w:r>
      <w:r w:rsidR="00D735B2" w:rsidRPr="00AC3019">
        <w:rPr>
          <w:rFonts w:ascii="Arial" w:hAnsi="Arial" w:cs="Arial"/>
          <w:sz w:val="24"/>
          <w:szCs w:val="24"/>
        </w:rPr>
        <w:t>04</w:t>
      </w:r>
      <w:r w:rsidR="00C50C49">
        <w:rPr>
          <w:rFonts w:ascii="Arial" w:hAnsi="Arial" w:cs="Arial"/>
          <w:sz w:val="24"/>
          <w:szCs w:val="24"/>
        </w:rPr>
        <w:t>/</w:t>
      </w:r>
      <w:r w:rsidR="00D735B2" w:rsidRPr="00AC3019">
        <w:rPr>
          <w:rFonts w:ascii="Arial" w:hAnsi="Arial" w:cs="Arial"/>
          <w:sz w:val="24"/>
          <w:szCs w:val="24"/>
        </w:rPr>
        <w:t xml:space="preserve">15, </w:t>
      </w:r>
      <w:r w:rsidRPr="00AC3019">
        <w:rPr>
          <w:rFonts w:ascii="Arial" w:hAnsi="Arial" w:cs="Arial"/>
          <w:sz w:val="24"/>
          <w:szCs w:val="24"/>
        </w:rPr>
        <w:t xml:space="preserve">el plazo de la contratación </w:t>
      </w:r>
      <w:r w:rsidR="00D735B2" w:rsidRPr="00AC3019">
        <w:rPr>
          <w:rFonts w:ascii="Arial" w:hAnsi="Arial" w:cs="Arial"/>
          <w:sz w:val="24"/>
          <w:szCs w:val="24"/>
        </w:rPr>
        <w:t>se fijó en</w:t>
      </w:r>
      <w:r w:rsidRPr="00AC3019">
        <w:rPr>
          <w:rFonts w:ascii="Arial" w:hAnsi="Arial" w:cs="Arial"/>
          <w:sz w:val="24"/>
          <w:szCs w:val="24"/>
        </w:rPr>
        <w:t xml:space="preserve"> un año, con opción de renovación automática por períodos iguales hasta un máximo total e tres años, el monto del asunto es de $66:758.400 y, en consecuencia, hubiere correspondido el procedimiento de Licitación Pública;</w:t>
      </w:r>
    </w:p>
    <w:p w:rsidR="00F056C8" w:rsidRPr="00AC3019" w:rsidRDefault="00F056C8" w:rsidP="00C50C49">
      <w:pPr>
        <w:spacing w:after="0" w:line="360" w:lineRule="auto"/>
        <w:ind w:firstLine="851"/>
        <w:jc w:val="both"/>
        <w:rPr>
          <w:rFonts w:ascii="Arial" w:hAnsi="Arial" w:cs="Arial"/>
          <w:bCs/>
          <w:sz w:val="24"/>
          <w:szCs w:val="24"/>
        </w:rPr>
      </w:pPr>
      <w:r w:rsidRPr="00AC3019">
        <w:rPr>
          <w:rFonts w:ascii="Arial" w:hAnsi="Arial" w:cs="Arial"/>
          <w:b/>
          <w:sz w:val="24"/>
          <w:szCs w:val="24"/>
          <w:lang w:val="es-MX"/>
        </w:rPr>
        <w:t>ATENTO:</w:t>
      </w:r>
      <w:r w:rsidRPr="00AC3019">
        <w:rPr>
          <w:rFonts w:ascii="Arial" w:hAnsi="Arial" w:cs="Arial"/>
          <w:sz w:val="24"/>
          <w:szCs w:val="24"/>
          <w:lang w:val="es-MX"/>
        </w:rPr>
        <w:t xml:space="preserve"> a lo expuesto y a lo dispuesto por el artículo 211 literal </w:t>
      </w:r>
      <w:r w:rsidR="001E1A48" w:rsidRPr="00AC3019">
        <w:rPr>
          <w:rFonts w:ascii="Arial" w:hAnsi="Arial" w:cs="Arial"/>
          <w:sz w:val="24"/>
          <w:szCs w:val="24"/>
          <w:lang w:val="es-MX"/>
        </w:rPr>
        <w:t>E</w:t>
      </w:r>
      <w:r w:rsidRPr="00AC3019">
        <w:rPr>
          <w:rFonts w:ascii="Arial" w:hAnsi="Arial" w:cs="Arial"/>
          <w:sz w:val="24"/>
          <w:szCs w:val="24"/>
          <w:lang w:val="es-MX"/>
        </w:rPr>
        <w:t>) de la Constitución de la República:</w:t>
      </w:r>
    </w:p>
    <w:p w:rsidR="00BA480E" w:rsidRPr="00AC3019" w:rsidRDefault="00BA480E" w:rsidP="000C0098">
      <w:pPr>
        <w:spacing w:after="0" w:line="360" w:lineRule="auto"/>
        <w:jc w:val="center"/>
        <w:rPr>
          <w:rFonts w:ascii="Arial" w:hAnsi="Arial" w:cs="Arial"/>
          <w:b/>
          <w:sz w:val="24"/>
          <w:szCs w:val="24"/>
          <w:lang w:val="es-MX"/>
        </w:rPr>
      </w:pPr>
      <w:r w:rsidRPr="00AC3019">
        <w:rPr>
          <w:rFonts w:ascii="Arial" w:hAnsi="Arial" w:cs="Arial"/>
          <w:b/>
          <w:sz w:val="24"/>
          <w:szCs w:val="24"/>
          <w:lang w:val="es-MX"/>
        </w:rPr>
        <w:t>EL TRIBUNAL ACUERDA:</w:t>
      </w:r>
    </w:p>
    <w:p w:rsidR="000D1A87" w:rsidRPr="00AC3019" w:rsidRDefault="00F056C8" w:rsidP="000C0098">
      <w:pPr>
        <w:spacing w:after="0" w:line="360" w:lineRule="auto"/>
        <w:jc w:val="both"/>
        <w:rPr>
          <w:rFonts w:ascii="Arial" w:hAnsi="Arial" w:cs="Arial"/>
          <w:sz w:val="24"/>
          <w:szCs w:val="24"/>
          <w:lang w:val="es-MX"/>
        </w:rPr>
      </w:pPr>
      <w:r w:rsidRPr="00AC3019">
        <w:rPr>
          <w:rFonts w:ascii="Arial" w:hAnsi="Arial" w:cs="Arial"/>
          <w:b/>
          <w:bCs/>
          <w:sz w:val="24"/>
          <w:szCs w:val="24"/>
          <w:lang w:val="es-MX"/>
        </w:rPr>
        <w:t>1)</w:t>
      </w:r>
      <w:r w:rsidRPr="00AC3019">
        <w:rPr>
          <w:rFonts w:ascii="Arial" w:hAnsi="Arial" w:cs="Arial"/>
          <w:sz w:val="24"/>
          <w:szCs w:val="24"/>
          <w:lang w:val="es-MX"/>
        </w:rPr>
        <w:t xml:space="preserve"> Expedirse en los términos del Considerando</w:t>
      </w:r>
      <w:r w:rsidR="00BD244A" w:rsidRPr="00AC3019">
        <w:rPr>
          <w:rFonts w:ascii="Arial" w:hAnsi="Arial" w:cs="Arial"/>
          <w:sz w:val="24"/>
          <w:szCs w:val="24"/>
          <w:lang w:val="es-MX"/>
        </w:rPr>
        <w:t xml:space="preserve"> 8)</w:t>
      </w:r>
      <w:r w:rsidRPr="00AC3019">
        <w:rPr>
          <w:rFonts w:ascii="Arial" w:hAnsi="Arial" w:cs="Arial"/>
          <w:sz w:val="24"/>
          <w:szCs w:val="24"/>
          <w:lang w:val="es-MX"/>
        </w:rPr>
        <w:t xml:space="preserve"> de la presente resolución;</w:t>
      </w:r>
    </w:p>
    <w:p w:rsidR="00680184" w:rsidRPr="00AC3019" w:rsidRDefault="00680184" w:rsidP="000C0098">
      <w:pPr>
        <w:spacing w:after="0" w:line="360" w:lineRule="auto"/>
        <w:jc w:val="both"/>
        <w:rPr>
          <w:rFonts w:ascii="Arial" w:hAnsi="Arial" w:cs="Arial"/>
          <w:sz w:val="24"/>
          <w:szCs w:val="24"/>
          <w:lang w:val="es-MX"/>
        </w:rPr>
      </w:pPr>
      <w:r w:rsidRPr="00AC3019">
        <w:rPr>
          <w:rFonts w:ascii="Arial" w:hAnsi="Arial" w:cs="Arial"/>
          <w:b/>
          <w:sz w:val="24"/>
          <w:szCs w:val="24"/>
          <w:lang w:val="es-MX"/>
        </w:rPr>
        <w:t>2)</w:t>
      </w:r>
      <w:r w:rsidRPr="00AC3019">
        <w:rPr>
          <w:rFonts w:ascii="Arial" w:hAnsi="Arial" w:cs="Arial"/>
          <w:sz w:val="24"/>
          <w:szCs w:val="24"/>
          <w:lang w:val="es-MX"/>
        </w:rPr>
        <w:t xml:space="preserve"> Téngase presente lo expresado en el Considerando N° 9)</w:t>
      </w:r>
      <w:r w:rsidR="00001FF9">
        <w:rPr>
          <w:rFonts w:ascii="Arial" w:hAnsi="Arial" w:cs="Arial"/>
          <w:sz w:val="24"/>
          <w:szCs w:val="24"/>
          <w:lang w:val="es-MX"/>
        </w:rPr>
        <w:t>;</w:t>
      </w:r>
    </w:p>
    <w:p w:rsidR="00F056C8" w:rsidRPr="00AC3019" w:rsidRDefault="00680184" w:rsidP="000C0098">
      <w:pPr>
        <w:spacing w:after="0" w:line="360" w:lineRule="auto"/>
        <w:jc w:val="both"/>
        <w:rPr>
          <w:rFonts w:ascii="Arial" w:hAnsi="Arial" w:cs="Arial"/>
          <w:b/>
          <w:sz w:val="24"/>
          <w:szCs w:val="24"/>
          <w:lang w:val="es-MX"/>
        </w:rPr>
      </w:pPr>
      <w:r w:rsidRPr="00AC3019">
        <w:rPr>
          <w:rFonts w:ascii="Arial" w:hAnsi="Arial" w:cs="Arial"/>
          <w:b/>
          <w:sz w:val="24"/>
          <w:szCs w:val="24"/>
          <w:lang w:val="es-MX"/>
        </w:rPr>
        <w:t>3</w:t>
      </w:r>
      <w:r w:rsidR="000D1A87" w:rsidRPr="00AC3019">
        <w:rPr>
          <w:rFonts w:ascii="Arial" w:hAnsi="Arial" w:cs="Arial"/>
          <w:b/>
          <w:sz w:val="24"/>
          <w:szCs w:val="24"/>
          <w:lang w:val="es-MX"/>
        </w:rPr>
        <w:t>)</w:t>
      </w:r>
      <w:r w:rsidR="000D1A87" w:rsidRPr="00AC3019">
        <w:rPr>
          <w:rFonts w:ascii="Arial" w:hAnsi="Arial" w:cs="Arial"/>
          <w:sz w:val="24"/>
          <w:szCs w:val="24"/>
          <w:lang w:val="es-MX"/>
        </w:rPr>
        <w:t xml:space="preserve"> </w:t>
      </w:r>
      <w:r w:rsidR="00BA480E" w:rsidRPr="00AC3019">
        <w:rPr>
          <w:rFonts w:ascii="Arial" w:hAnsi="Arial" w:cs="Arial"/>
          <w:sz w:val="24"/>
          <w:szCs w:val="24"/>
          <w:lang w:val="es-MX"/>
        </w:rPr>
        <w:t>Devolver los antecedentes.</w:t>
      </w:r>
    </w:p>
    <w:p w:rsidR="00F74537" w:rsidRDefault="00F056C8" w:rsidP="000C0098">
      <w:pPr>
        <w:spacing w:after="0" w:line="360" w:lineRule="auto"/>
        <w:ind w:left="360"/>
        <w:rPr>
          <w:rFonts w:ascii="Arial" w:hAnsi="Arial" w:cs="Arial"/>
          <w:b/>
          <w:bCs/>
          <w:sz w:val="24"/>
          <w:szCs w:val="24"/>
        </w:rPr>
      </w:pPr>
      <w:r w:rsidRPr="00AC3019">
        <w:rPr>
          <w:rFonts w:ascii="Arial" w:hAnsi="Arial" w:cs="Arial"/>
          <w:b/>
          <w:bCs/>
          <w:sz w:val="24"/>
          <w:szCs w:val="24"/>
        </w:rPr>
        <w:t xml:space="preserve">     </w:t>
      </w:r>
    </w:p>
    <w:p w:rsidR="00001FF9" w:rsidRPr="00001FF9" w:rsidRDefault="00001FF9" w:rsidP="00001FF9">
      <w:pPr>
        <w:spacing w:after="0" w:line="360" w:lineRule="auto"/>
        <w:ind w:left="360" w:hanging="360"/>
        <w:rPr>
          <w:rFonts w:ascii="Arial" w:hAnsi="Arial" w:cs="Arial"/>
          <w:sz w:val="24"/>
          <w:szCs w:val="24"/>
        </w:rPr>
      </w:pPr>
      <w:proofErr w:type="spellStart"/>
      <w:proofErr w:type="gramStart"/>
      <w:r>
        <w:rPr>
          <w:rFonts w:ascii="Arial" w:hAnsi="Arial" w:cs="Arial"/>
          <w:bCs/>
          <w:sz w:val="24"/>
          <w:szCs w:val="24"/>
        </w:rPr>
        <w:t>lc</w:t>
      </w:r>
      <w:proofErr w:type="spellEnd"/>
      <w:proofErr w:type="gramEnd"/>
    </w:p>
    <w:sectPr w:rsidR="00001FF9" w:rsidRPr="00001FF9" w:rsidSect="00DB5BE6">
      <w:pgSz w:w="11906" w:h="16838" w:code="9"/>
      <w:pgMar w:top="306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D19"/>
    <w:rsid w:val="00001FF9"/>
    <w:rsid w:val="00014461"/>
    <w:rsid w:val="000357D3"/>
    <w:rsid w:val="00045545"/>
    <w:rsid w:val="0005507B"/>
    <w:rsid w:val="00072125"/>
    <w:rsid w:val="000A520B"/>
    <w:rsid w:val="000A7DC2"/>
    <w:rsid w:val="000C0098"/>
    <w:rsid w:val="000C105B"/>
    <w:rsid w:val="000C150B"/>
    <w:rsid w:val="000C7278"/>
    <w:rsid w:val="000C7913"/>
    <w:rsid w:val="000D05DC"/>
    <w:rsid w:val="000D1A87"/>
    <w:rsid w:val="000E7811"/>
    <w:rsid w:val="0012310E"/>
    <w:rsid w:val="001248A2"/>
    <w:rsid w:val="00130655"/>
    <w:rsid w:val="00153593"/>
    <w:rsid w:val="001A6D28"/>
    <w:rsid w:val="001E1A48"/>
    <w:rsid w:val="001E38E4"/>
    <w:rsid w:val="001F7C5F"/>
    <w:rsid w:val="002332AE"/>
    <w:rsid w:val="00240292"/>
    <w:rsid w:val="00257BBC"/>
    <w:rsid w:val="00263D5C"/>
    <w:rsid w:val="002818E2"/>
    <w:rsid w:val="0028387A"/>
    <w:rsid w:val="002860E9"/>
    <w:rsid w:val="002B7479"/>
    <w:rsid w:val="002B758E"/>
    <w:rsid w:val="002E020B"/>
    <w:rsid w:val="00307D2B"/>
    <w:rsid w:val="00311D09"/>
    <w:rsid w:val="003251EF"/>
    <w:rsid w:val="003276A4"/>
    <w:rsid w:val="0034042D"/>
    <w:rsid w:val="00363903"/>
    <w:rsid w:val="0036745C"/>
    <w:rsid w:val="00370BBD"/>
    <w:rsid w:val="00383296"/>
    <w:rsid w:val="00390E1F"/>
    <w:rsid w:val="003C0331"/>
    <w:rsid w:val="003D1AFB"/>
    <w:rsid w:val="003D3F6D"/>
    <w:rsid w:val="003D641B"/>
    <w:rsid w:val="003F70DA"/>
    <w:rsid w:val="004312DC"/>
    <w:rsid w:val="00442F6D"/>
    <w:rsid w:val="004529B9"/>
    <w:rsid w:val="004911E7"/>
    <w:rsid w:val="004A1487"/>
    <w:rsid w:val="004A163A"/>
    <w:rsid w:val="004B2554"/>
    <w:rsid w:val="004D1D4D"/>
    <w:rsid w:val="004D2189"/>
    <w:rsid w:val="004F670A"/>
    <w:rsid w:val="005070DE"/>
    <w:rsid w:val="0052155A"/>
    <w:rsid w:val="005425A5"/>
    <w:rsid w:val="00557AB9"/>
    <w:rsid w:val="00572401"/>
    <w:rsid w:val="005A3835"/>
    <w:rsid w:val="005C563A"/>
    <w:rsid w:val="005D2C55"/>
    <w:rsid w:val="00604777"/>
    <w:rsid w:val="00657A2F"/>
    <w:rsid w:val="00663265"/>
    <w:rsid w:val="00680184"/>
    <w:rsid w:val="006865D4"/>
    <w:rsid w:val="00687D02"/>
    <w:rsid w:val="006A6BE8"/>
    <w:rsid w:val="006B3A8E"/>
    <w:rsid w:val="006D4EE2"/>
    <w:rsid w:val="006E032F"/>
    <w:rsid w:val="006E3AD4"/>
    <w:rsid w:val="00716C13"/>
    <w:rsid w:val="007222CE"/>
    <w:rsid w:val="00732CC7"/>
    <w:rsid w:val="007A05F5"/>
    <w:rsid w:val="007A1ED2"/>
    <w:rsid w:val="007D0024"/>
    <w:rsid w:val="007D0FF0"/>
    <w:rsid w:val="00805AA4"/>
    <w:rsid w:val="00812BBB"/>
    <w:rsid w:val="00814787"/>
    <w:rsid w:val="00854DB9"/>
    <w:rsid w:val="00863F6C"/>
    <w:rsid w:val="0089219C"/>
    <w:rsid w:val="008B1CCD"/>
    <w:rsid w:val="008C1D6B"/>
    <w:rsid w:val="008E665B"/>
    <w:rsid w:val="008E6AB1"/>
    <w:rsid w:val="008F148B"/>
    <w:rsid w:val="008F726C"/>
    <w:rsid w:val="00957A87"/>
    <w:rsid w:val="00975D19"/>
    <w:rsid w:val="009862B9"/>
    <w:rsid w:val="0099569A"/>
    <w:rsid w:val="009A3440"/>
    <w:rsid w:val="009C3D37"/>
    <w:rsid w:val="009E49DD"/>
    <w:rsid w:val="00A26E40"/>
    <w:rsid w:val="00A27699"/>
    <w:rsid w:val="00A41899"/>
    <w:rsid w:val="00AB24EA"/>
    <w:rsid w:val="00AB6E31"/>
    <w:rsid w:val="00AB744B"/>
    <w:rsid w:val="00AC3019"/>
    <w:rsid w:val="00AD33A3"/>
    <w:rsid w:val="00AE6BB1"/>
    <w:rsid w:val="00B01A3D"/>
    <w:rsid w:val="00B025D5"/>
    <w:rsid w:val="00B05FD2"/>
    <w:rsid w:val="00B11990"/>
    <w:rsid w:val="00B43634"/>
    <w:rsid w:val="00B460C4"/>
    <w:rsid w:val="00B4772D"/>
    <w:rsid w:val="00B53968"/>
    <w:rsid w:val="00B77C34"/>
    <w:rsid w:val="00B91746"/>
    <w:rsid w:val="00BA480E"/>
    <w:rsid w:val="00BD244A"/>
    <w:rsid w:val="00BE07CA"/>
    <w:rsid w:val="00C05B44"/>
    <w:rsid w:val="00C43DB0"/>
    <w:rsid w:val="00C50C49"/>
    <w:rsid w:val="00C7271A"/>
    <w:rsid w:val="00CA7A21"/>
    <w:rsid w:val="00CC4CF1"/>
    <w:rsid w:val="00D21F25"/>
    <w:rsid w:val="00D37ADF"/>
    <w:rsid w:val="00D735B2"/>
    <w:rsid w:val="00DB5BE6"/>
    <w:rsid w:val="00DF54C6"/>
    <w:rsid w:val="00E11987"/>
    <w:rsid w:val="00E30239"/>
    <w:rsid w:val="00E359D4"/>
    <w:rsid w:val="00E35BD5"/>
    <w:rsid w:val="00E477BD"/>
    <w:rsid w:val="00E634F7"/>
    <w:rsid w:val="00E70FFD"/>
    <w:rsid w:val="00E76D35"/>
    <w:rsid w:val="00E87A47"/>
    <w:rsid w:val="00EA4432"/>
    <w:rsid w:val="00EE0532"/>
    <w:rsid w:val="00EE4C14"/>
    <w:rsid w:val="00F056C8"/>
    <w:rsid w:val="00F5017A"/>
    <w:rsid w:val="00F74537"/>
    <w:rsid w:val="00F8476D"/>
    <w:rsid w:val="00F84F8C"/>
    <w:rsid w:val="00F9607D"/>
    <w:rsid w:val="00FE7772"/>
    <w:rsid w:val="00FE7919"/>
    <w:rsid w:val="00FF72A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D3F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B6E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6E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D3F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B6E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6E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7F6C4-1581-45F6-A4D0-E539273F6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2164</Words>
  <Characters>11905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 </cp:lastModifiedBy>
  <cp:revision>16</cp:revision>
  <cp:lastPrinted>2016-07-08T18:51:00Z</cp:lastPrinted>
  <dcterms:created xsi:type="dcterms:W3CDTF">2016-07-08T18:01:00Z</dcterms:created>
  <dcterms:modified xsi:type="dcterms:W3CDTF">2016-10-14T20:51:00Z</dcterms:modified>
</cp:coreProperties>
</file>