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2E4" w:rsidRPr="00C61614" w:rsidRDefault="00E902E4" w:rsidP="00E902E4">
      <w:pPr>
        <w:tabs>
          <w:tab w:val="center" w:pos="4253"/>
        </w:tabs>
        <w:suppressAutoHyphens/>
        <w:spacing w:after="0" w:line="240" w:lineRule="auto"/>
        <w:jc w:val="right"/>
        <w:rPr>
          <w:b/>
          <w:sz w:val="28"/>
          <w:szCs w:val="28"/>
          <w:lang w:val="es-ES_tradnl"/>
        </w:rPr>
      </w:pPr>
      <w:r w:rsidRPr="00C61614">
        <w:rPr>
          <w:b/>
          <w:sz w:val="28"/>
          <w:szCs w:val="28"/>
          <w:lang w:val="es-ES_tradnl"/>
        </w:rPr>
        <w:t xml:space="preserve">RES. </w:t>
      </w:r>
      <w:r w:rsidR="007E1890">
        <w:rPr>
          <w:b/>
          <w:sz w:val="28"/>
          <w:szCs w:val="28"/>
          <w:lang w:val="es-ES_tradnl"/>
        </w:rPr>
        <w:t>2311</w:t>
      </w:r>
      <w:r w:rsidRPr="00C61614">
        <w:rPr>
          <w:b/>
          <w:sz w:val="28"/>
          <w:szCs w:val="28"/>
          <w:lang w:val="es-ES_tradnl"/>
        </w:rPr>
        <w:t>/16</w:t>
      </w:r>
    </w:p>
    <w:p w:rsidR="00E902E4" w:rsidRDefault="00E902E4" w:rsidP="00E902E4">
      <w:pPr>
        <w:tabs>
          <w:tab w:val="center" w:pos="4253"/>
        </w:tabs>
        <w:suppressAutoHyphens/>
        <w:spacing w:after="0" w:line="240" w:lineRule="auto"/>
        <w:jc w:val="center"/>
        <w:rPr>
          <w:b/>
          <w:lang w:val="es-ES_tradnl"/>
        </w:rPr>
      </w:pPr>
    </w:p>
    <w:p w:rsidR="00E902E4" w:rsidRDefault="00E902E4" w:rsidP="00E902E4">
      <w:pPr>
        <w:tabs>
          <w:tab w:val="center" w:pos="4253"/>
        </w:tabs>
        <w:suppressAutoHyphens/>
        <w:spacing w:after="0" w:line="240" w:lineRule="auto"/>
        <w:jc w:val="center"/>
        <w:rPr>
          <w:rFonts w:ascii="Helvetica" w:hAnsi="Helvetica"/>
          <w:b/>
          <w:lang w:val="es-ES_tradnl"/>
        </w:rPr>
      </w:pPr>
      <w:r>
        <w:rPr>
          <w:rFonts w:ascii="Helvetica" w:hAnsi="Helvetica"/>
          <w:b/>
          <w:lang w:val="es-ES_tradnl"/>
        </w:rPr>
        <w:t>RESOLUCION ADOPTADA POR EL</w:t>
      </w:r>
    </w:p>
    <w:p w:rsidR="00E902E4" w:rsidRDefault="00E902E4" w:rsidP="00E902E4">
      <w:pPr>
        <w:tabs>
          <w:tab w:val="left" w:pos="-720"/>
        </w:tabs>
        <w:suppressAutoHyphens/>
        <w:spacing w:after="0" w:line="240" w:lineRule="auto"/>
        <w:jc w:val="center"/>
        <w:rPr>
          <w:rFonts w:ascii="Helvetica" w:hAnsi="Helvetica"/>
          <w:b/>
          <w:lang w:val="es-ES_tradnl"/>
        </w:rPr>
      </w:pPr>
    </w:p>
    <w:p w:rsidR="00E902E4" w:rsidRDefault="00E902E4" w:rsidP="00E902E4">
      <w:pPr>
        <w:tabs>
          <w:tab w:val="center" w:pos="4253"/>
        </w:tabs>
        <w:suppressAutoHyphens/>
        <w:spacing w:after="0" w:line="240" w:lineRule="auto"/>
        <w:jc w:val="center"/>
        <w:rPr>
          <w:rFonts w:ascii="Helvetica" w:hAnsi="Helvetica"/>
          <w:b/>
          <w:lang w:val="es-ES_tradnl"/>
        </w:rPr>
      </w:pPr>
      <w:r>
        <w:rPr>
          <w:rFonts w:ascii="Helvetica" w:hAnsi="Helvetica"/>
          <w:b/>
          <w:lang w:val="es-ES_tradnl"/>
        </w:rPr>
        <w:t>TRIBUNAL DE CUENTAS</w:t>
      </w:r>
    </w:p>
    <w:p w:rsidR="00E902E4" w:rsidRDefault="00E902E4" w:rsidP="00E902E4">
      <w:pPr>
        <w:tabs>
          <w:tab w:val="left" w:pos="-720"/>
        </w:tabs>
        <w:suppressAutoHyphens/>
        <w:spacing w:after="0" w:line="240" w:lineRule="auto"/>
        <w:jc w:val="center"/>
        <w:rPr>
          <w:rFonts w:ascii="Helvetica" w:hAnsi="Helvetica"/>
          <w:b/>
          <w:lang w:val="es-ES_tradnl"/>
        </w:rPr>
      </w:pPr>
    </w:p>
    <w:p w:rsidR="00E902E4" w:rsidRDefault="00E902E4" w:rsidP="00E902E4">
      <w:pPr>
        <w:tabs>
          <w:tab w:val="center" w:pos="4253"/>
        </w:tabs>
        <w:suppressAutoHyphens/>
        <w:spacing w:after="0" w:line="240" w:lineRule="auto"/>
        <w:jc w:val="center"/>
        <w:rPr>
          <w:rFonts w:ascii="Helvetica" w:hAnsi="Helvetica"/>
          <w:b/>
          <w:lang w:val="es-ES_tradnl"/>
        </w:rPr>
      </w:pPr>
      <w:r>
        <w:rPr>
          <w:rFonts w:ascii="Helvetica" w:hAnsi="Helvetica"/>
          <w:b/>
          <w:lang w:val="es-ES_tradnl"/>
        </w:rPr>
        <w:t>EN SESION DE FECHA 29 DE JUNIO DE 2016</w:t>
      </w:r>
    </w:p>
    <w:p w:rsidR="00E902E4" w:rsidRDefault="00E902E4" w:rsidP="00E902E4">
      <w:pPr>
        <w:tabs>
          <w:tab w:val="center" w:pos="4253"/>
        </w:tabs>
        <w:suppressAutoHyphens/>
        <w:spacing w:after="0" w:line="240" w:lineRule="auto"/>
        <w:jc w:val="center"/>
        <w:rPr>
          <w:rFonts w:ascii="Helvetica" w:hAnsi="Helvetica"/>
          <w:b/>
          <w:lang w:val="es-ES_tradnl"/>
        </w:rPr>
      </w:pPr>
    </w:p>
    <w:p w:rsidR="00E902E4" w:rsidRPr="00C44FA4" w:rsidRDefault="00E902E4" w:rsidP="00E902E4">
      <w:pPr>
        <w:tabs>
          <w:tab w:val="center" w:pos="4253"/>
        </w:tabs>
        <w:suppressAutoHyphens/>
        <w:spacing w:after="0" w:line="240" w:lineRule="auto"/>
        <w:jc w:val="center"/>
        <w:rPr>
          <w:rFonts w:ascii="Helvetica" w:hAnsi="Helvetica"/>
          <w:b/>
        </w:rPr>
      </w:pPr>
      <w:r w:rsidRPr="00C44FA4">
        <w:rPr>
          <w:rFonts w:ascii="Helvetica" w:hAnsi="Helvetica"/>
          <w:b/>
        </w:rPr>
        <w:t xml:space="preserve">(E. E. Nº 2014-17-1-0002359, </w:t>
      </w:r>
      <w:proofErr w:type="spellStart"/>
      <w:r w:rsidRPr="00C44FA4">
        <w:rPr>
          <w:rFonts w:ascii="Helvetica" w:hAnsi="Helvetica"/>
          <w:b/>
        </w:rPr>
        <w:t>Ent</w:t>
      </w:r>
      <w:proofErr w:type="spellEnd"/>
      <w:r w:rsidRPr="00C44FA4">
        <w:rPr>
          <w:rFonts w:ascii="Helvetica" w:hAnsi="Helvetica"/>
          <w:b/>
        </w:rPr>
        <w:t>. N° 2943/16)</w:t>
      </w:r>
    </w:p>
    <w:p w:rsidR="00E902E4" w:rsidRPr="00C44FA4" w:rsidRDefault="00E902E4">
      <w:pPr>
        <w:tabs>
          <w:tab w:val="center" w:pos="4253"/>
        </w:tabs>
        <w:suppressAutoHyphens/>
        <w:jc w:val="center"/>
        <w:rPr>
          <w:b/>
        </w:rPr>
      </w:pPr>
    </w:p>
    <w:p w:rsidR="0022462C" w:rsidRDefault="0022462C" w:rsidP="00C44FA4">
      <w:pPr>
        <w:spacing w:after="0" w:line="360" w:lineRule="auto"/>
        <w:ind w:firstLine="851"/>
        <w:jc w:val="both"/>
        <w:rPr>
          <w:rFonts w:ascii="Times New Roman" w:hAnsi="Times New Roman" w:cs="Times New Roman"/>
          <w:highlight w:val="yellow"/>
        </w:rPr>
      </w:pPr>
      <w:r>
        <w:rPr>
          <w:b/>
          <w:bCs/>
        </w:rPr>
        <w:t>VISTO:</w:t>
      </w:r>
      <w:r>
        <w:t xml:space="preserve"> las actuaciones remitidas por el Banco de la República Oriental del Uruguay, relacionadas con la contratación directa para la prestación de  servicios informáticos de apoyo al Departamento de Transformación Operativa consistente en análisis, diseño, desarrollo e implementación de aplicaciones;</w:t>
      </w:r>
    </w:p>
    <w:p w:rsidR="0022462C" w:rsidRDefault="0022462C" w:rsidP="005917DA">
      <w:pPr>
        <w:spacing w:after="0" w:line="360" w:lineRule="auto"/>
        <w:ind w:firstLine="851"/>
        <w:jc w:val="both"/>
        <w:rPr>
          <w:b/>
          <w:bCs/>
        </w:rPr>
      </w:pPr>
      <w:r>
        <w:rPr>
          <w:b/>
          <w:bCs/>
        </w:rPr>
        <w:t xml:space="preserve">RESULTANDO:  1) </w:t>
      </w:r>
      <w:r>
        <w:t xml:space="preserve">que el Directorio, con fecha 18.03.14, dispuso contratar a la empresa </w:t>
      </w:r>
      <w:proofErr w:type="spellStart"/>
      <w:r>
        <w:t>Hexa</w:t>
      </w:r>
      <w:proofErr w:type="spellEnd"/>
      <w:r>
        <w:t xml:space="preserve"> Sistemas S.R.L., al amparo de lo dispuesto por el </w:t>
      </w:r>
      <w:r w:rsidR="004D2446">
        <w:t>A</w:t>
      </w:r>
      <w:r>
        <w:t xml:space="preserve">rtículo 33 </w:t>
      </w:r>
      <w:r w:rsidR="004D2446">
        <w:t>L</w:t>
      </w:r>
      <w:r>
        <w:t xml:space="preserve">iteral C) numeral 3) del TOCAF, por la suma de hasta </w:t>
      </w:r>
      <w:r w:rsidR="004D2446">
        <w:t xml:space="preserve">                                    </w:t>
      </w:r>
      <w:r>
        <w:t>$ 30.000.000, más IVA, por el plazo de un año, renovable por un año más;</w:t>
      </w:r>
    </w:p>
    <w:p w:rsidR="0022462C" w:rsidRDefault="0022462C" w:rsidP="004D2446">
      <w:pPr>
        <w:spacing w:after="0" w:line="360" w:lineRule="auto"/>
        <w:ind w:firstLine="2835"/>
        <w:jc w:val="both"/>
      </w:pPr>
      <w:r>
        <w:rPr>
          <w:b/>
          <w:bCs/>
        </w:rPr>
        <w:t xml:space="preserve">2) </w:t>
      </w:r>
      <w:r>
        <w:t xml:space="preserve">que este Tribunal, en sesión de fecha 23.04.14, intervino preventivamente el gasto correspondiente al </w:t>
      </w:r>
      <w:r w:rsidR="00D04BA9">
        <w:t>E</w:t>
      </w:r>
      <w:r>
        <w:t xml:space="preserve">jercicio 2014 y cometió  a la Contadora Delegada la intervención del saldo, una vez imputado a rubro con disponibilidad y efectuado el control, al momento del otorgamiento del contrato, del cumplimiento de lo dispuesto por el </w:t>
      </w:r>
      <w:r w:rsidR="004D2446">
        <w:t>A</w:t>
      </w:r>
      <w:r>
        <w:t>rtículo 3 de la Ley 18.244;</w:t>
      </w:r>
    </w:p>
    <w:p w:rsidR="0022462C" w:rsidRDefault="0022462C" w:rsidP="004D2446">
      <w:pPr>
        <w:spacing w:after="0" w:line="360" w:lineRule="auto"/>
        <w:ind w:firstLine="2835"/>
        <w:jc w:val="both"/>
      </w:pPr>
      <w:r>
        <w:rPr>
          <w:b/>
          <w:bCs/>
        </w:rPr>
        <w:t xml:space="preserve">3) </w:t>
      </w:r>
      <w:r>
        <w:t>que la División Tecnología y Operaci</w:t>
      </w:r>
      <w:r w:rsidR="004D2446">
        <w:t>ones, con fecha 21.04.16, señaló</w:t>
      </w:r>
      <w:r>
        <w:t xml:space="preserve"> la necesidad de la contratación con </w:t>
      </w:r>
      <w:proofErr w:type="spellStart"/>
      <w:r>
        <w:t>Hexa</w:t>
      </w:r>
      <w:proofErr w:type="spellEnd"/>
      <w:r>
        <w:t xml:space="preserve"> Sistemas S.R.L., por la demanda siempre creciente de las áreas de negocio para el sistema central, siendo de suma importancia que se conserve a las personas que actualmente se están desempeñando, ya que es la empresa que ha estado prestando el servicio, expresándose asimismo que en el tiempo transcurrido de relación con la referida firma, se ha formado un grupo de personas que gestionan con alto grado de eficiencia aspectos claves de la funcionalidad actual de las áreas de negocio, y cuya eventual sustitución acarrearía inconvenientes que afectarían sustancialmente  a las operativas en curso, </w:t>
      </w:r>
      <w:r>
        <w:lastRenderedPageBreak/>
        <w:t xml:space="preserve">expresándose asimismo que la empresa </w:t>
      </w:r>
      <w:proofErr w:type="spellStart"/>
      <w:r>
        <w:t>Hexa</w:t>
      </w:r>
      <w:proofErr w:type="spellEnd"/>
      <w:r>
        <w:t xml:space="preserve"> Sistemas S.R.L. cumple la condición de proveedor exclusivo para el servicio requerido por el Banco, no existiendo sustituto técnico conveniente para brindar la prestación de referencia;</w:t>
      </w:r>
    </w:p>
    <w:p w:rsidR="0022462C" w:rsidRDefault="0022462C" w:rsidP="00B82DD2">
      <w:pPr>
        <w:spacing w:after="0" w:line="360" w:lineRule="auto"/>
        <w:ind w:firstLine="2835"/>
        <w:jc w:val="both"/>
        <w:rPr>
          <w:rFonts w:ascii="Times New Roman" w:hAnsi="Times New Roman" w:cs="Times New Roman"/>
        </w:rPr>
      </w:pPr>
      <w:r>
        <w:rPr>
          <w:b/>
          <w:bCs/>
        </w:rPr>
        <w:t xml:space="preserve">4) </w:t>
      </w:r>
      <w:r>
        <w:t>que División Contaduría, con fecha 13.05.16,   realizo la afectación del gasto, por un monto de $ 28.914.0</w:t>
      </w:r>
      <w:r w:rsidR="009C18C4">
        <w:t>0</w:t>
      </w:r>
      <w:r>
        <w:t xml:space="preserve">0, con cargo a </w:t>
      </w:r>
      <w:r w:rsidR="00B82DD2">
        <w:t xml:space="preserve">                 </w:t>
      </w:r>
      <w:r>
        <w:t>rubro 911, correspondiente al presente ejercicio;</w:t>
      </w:r>
    </w:p>
    <w:p w:rsidR="0022462C" w:rsidRDefault="0022462C" w:rsidP="00B82DD2">
      <w:pPr>
        <w:spacing w:after="0" w:line="360" w:lineRule="auto"/>
        <w:ind w:firstLine="2835"/>
        <w:jc w:val="both"/>
      </w:pPr>
      <w:r>
        <w:rPr>
          <w:b/>
          <w:bCs/>
        </w:rPr>
        <w:t>5)</w:t>
      </w:r>
      <w:r>
        <w:t xml:space="preserve"> que el Área Infraestructura, Asesoría Técnica y Contratación,  con fecha 20.05.16, considero que la propuesta económica de la empresa, era muy razonable, por mantenerse los precios cobrados en la actualidad en los diferentes perfiles, siendo los mismos muy competitivos en el mercado;</w:t>
      </w:r>
    </w:p>
    <w:p w:rsidR="0022462C" w:rsidRDefault="0022462C" w:rsidP="00B82DD2">
      <w:pPr>
        <w:spacing w:after="0" w:line="360" w:lineRule="auto"/>
        <w:ind w:firstLine="2835"/>
        <w:jc w:val="both"/>
      </w:pPr>
      <w:r>
        <w:rPr>
          <w:b/>
          <w:bCs/>
        </w:rPr>
        <w:t>6)</w:t>
      </w:r>
      <w:r>
        <w:t xml:space="preserve"> que  el Directorio, con fecha 31.05.16, invocando  lo preceptuado en el </w:t>
      </w:r>
      <w:r w:rsidR="00B82DD2">
        <w:t>A</w:t>
      </w:r>
      <w:r>
        <w:t xml:space="preserve">rtículo 33 del TOCAF, </w:t>
      </w:r>
      <w:r w:rsidR="00B82DD2">
        <w:t>L</w:t>
      </w:r>
      <w:r>
        <w:t xml:space="preserve">iteral C) numeral 3) del TOCAF, dispuso  contratar a la empresa HEXA SISTEMAS S.R.L., para  la prestación de un servicio informático de apoyo al Departamento de Transformación Operativa, consistente en análisis, diseño, desarrollo e implementación de aplicaciones, por la suma de hasta $ 35:500.000 anuales más IVA, distribuidos entre técnicos analistas </w:t>
      </w:r>
      <w:proofErr w:type="spellStart"/>
      <w:r>
        <w:t>senior</w:t>
      </w:r>
      <w:proofErr w:type="spellEnd"/>
      <w:r>
        <w:t xml:space="preserve">, </w:t>
      </w:r>
      <w:proofErr w:type="spellStart"/>
      <w:r>
        <w:t>semi-senior</w:t>
      </w:r>
      <w:proofErr w:type="spellEnd"/>
      <w:r>
        <w:t xml:space="preserve"> y junior, por el plazo de un año, pudiendo renovarse por un nuevo período anual;</w:t>
      </w:r>
    </w:p>
    <w:p w:rsidR="0022462C" w:rsidRDefault="0022462C" w:rsidP="005917DA">
      <w:pPr>
        <w:spacing w:after="0" w:line="360" w:lineRule="auto"/>
        <w:ind w:firstLine="2835"/>
        <w:jc w:val="both"/>
        <w:rPr>
          <w:rFonts w:ascii="Times New Roman" w:hAnsi="Times New Roman" w:cs="Times New Roman"/>
        </w:rPr>
      </w:pPr>
      <w:r>
        <w:rPr>
          <w:b/>
          <w:bCs/>
        </w:rPr>
        <w:t>7)</w:t>
      </w:r>
      <w:r>
        <w:t xml:space="preserve"> que División Contaduría, con fecha 06.06.16, afectó el importe de $ 3:611.978,89 con cargo a rubro 1 y la Contadora Delegada, con fecha 06.06.16 intervino preventivamente el gasto, correspondiente al pago de la mensualidad de abril (del contrato con vencimiento 30.04.16);</w:t>
      </w:r>
    </w:p>
    <w:p w:rsidR="0022462C" w:rsidRDefault="0022462C" w:rsidP="005917DA">
      <w:pPr>
        <w:spacing w:after="0" w:line="360" w:lineRule="auto"/>
        <w:ind w:firstLine="851"/>
        <w:jc w:val="both"/>
      </w:pPr>
      <w:r>
        <w:rPr>
          <w:b/>
          <w:bCs/>
        </w:rPr>
        <w:t>CONSIDERANDO:</w:t>
      </w:r>
      <w:r>
        <w:t xml:space="preserve"> </w:t>
      </w:r>
      <w:r>
        <w:rPr>
          <w:b/>
          <w:bCs/>
        </w:rPr>
        <w:t>1)</w:t>
      </w:r>
      <w:r>
        <w:t xml:space="preserve"> que el </w:t>
      </w:r>
      <w:r w:rsidR="00B82DD2">
        <w:t>A</w:t>
      </w:r>
      <w:r>
        <w:t xml:space="preserve">rtículo 33 numeral 3 </w:t>
      </w:r>
      <w:r w:rsidR="00B82DD2">
        <w:t>L</w:t>
      </w:r>
      <w:r>
        <w:t xml:space="preserve">iteral C) del T.O.C.A.F. establece la posibilidad de contratar en forma directa o por el procedimiento que el ordenador determine por razones de buena administración en las hipótesis de privilegio o exclusividad en el suministro de determinados productos, o en la prestación de determinados servicios;   </w:t>
      </w:r>
    </w:p>
    <w:p w:rsidR="0022462C" w:rsidRDefault="0022462C" w:rsidP="00B82DD2">
      <w:pPr>
        <w:spacing w:after="0" w:line="360" w:lineRule="auto"/>
        <w:ind w:firstLine="3119"/>
        <w:jc w:val="both"/>
        <w:rPr>
          <w:rFonts w:ascii="Times New Roman" w:hAnsi="Times New Roman" w:cs="Times New Roman"/>
          <w:highlight w:val="yellow"/>
        </w:rPr>
      </w:pPr>
      <w:r>
        <w:rPr>
          <w:b/>
          <w:bCs/>
        </w:rPr>
        <w:t>2)</w:t>
      </w:r>
      <w:r>
        <w:t xml:space="preserve"> que en la especie, se  ha acreditado la causal invocada, teniendo en cuenta lo informado por la Administración </w:t>
      </w:r>
      <w:r w:rsidR="005917DA">
        <w:t xml:space="preserve">                                     </w:t>
      </w:r>
      <w:r>
        <w:t>(Resultando 3);</w:t>
      </w:r>
    </w:p>
    <w:p w:rsidR="0022462C" w:rsidRDefault="0022462C" w:rsidP="005917DA">
      <w:pPr>
        <w:spacing w:after="0" w:line="360" w:lineRule="auto"/>
        <w:ind w:firstLine="851"/>
        <w:jc w:val="both"/>
      </w:pPr>
      <w:r>
        <w:rPr>
          <w:b/>
          <w:bCs/>
        </w:rPr>
        <w:t>ATENTO:</w:t>
      </w:r>
      <w:r>
        <w:t xml:space="preserve"> a lo expuesto y a </w:t>
      </w:r>
      <w:r w:rsidR="00B82DD2">
        <w:t>lo dispuesto por el A</w:t>
      </w:r>
      <w:r>
        <w:t>rt</w:t>
      </w:r>
      <w:r w:rsidR="00B82DD2">
        <w:t>ículo</w:t>
      </w:r>
      <w:r>
        <w:t xml:space="preserve"> 211 </w:t>
      </w:r>
      <w:r w:rsidR="00B82DD2">
        <w:t>L</w:t>
      </w:r>
      <w:r>
        <w:t>iteral B) de la Constitución de la República;</w:t>
      </w:r>
    </w:p>
    <w:p w:rsidR="0022462C" w:rsidRDefault="0022462C" w:rsidP="00C44FA4">
      <w:pPr>
        <w:spacing w:after="0" w:line="360" w:lineRule="auto"/>
        <w:jc w:val="center"/>
        <w:rPr>
          <w:b/>
          <w:bCs/>
        </w:rPr>
      </w:pPr>
      <w:r>
        <w:rPr>
          <w:b/>
          <w:bCs/>
        </w:rPr>
        <w:t xml:space="preserve">EL TRIBUNAL </w:t>
      </w:r>
      <w:r w:rsidR="009F59BF">
        <w:rPr>
          <w:b/>
          <w:bCs/>
        </w:rPr>
        <w:t xml:space="preserve">POR MAYORIA </w:t>
      </w:r>
      <w:r>
        <w:rPr>
          <w:b/>
          <w:bCs/>
        </w:rPr>
        <w:t>ACUERDA</w:t>
      </w:r>
    </w:p>
    <w:p w:rsidR="0022462C" w:rsidRDefault="0022462C" w:rsidP="005917DA">
      <w:pPr>
        <w:spacing w:after="0" w:line="360" w:lineRule="auto"/>
        <w:ind w:left="284" w:hanging="284"/>
        <w:jc w:val="both"/>
        <w:rPr>
          <w:rFonts w:ascii="Times New Roman" w:hAnsi="Times New Roman" w:cs="Times New Roman"/>
        </w:rPr>
      </w:pPr>
      <w:r>
        <w:rPr>
          <w:b/>
          <w:bCs/>
        </w:rPr>
        <w:t xml:space="preserve">1) </w:t>
      </w:r>
      <w:r>
        <w:t>Cometer al Contador Delegado la intervención del gasto, previa verificación de la imputación a rubro con disponibilidad suficiente, de que las actuaciones no hayan tenido principio de ejecución y del control, al momento del otorgamiento del contrato, del cumplimiento de lo dispuesto por</w:t>
      </w:r>
      <w:r w:rsidR="005917DA">
        <w:t xml:space="preserve"> el </w:t>
      </w:r>
      <w:r w:rsidR="00B82DD2">
        <w:t>A</w:t>
      </w:r>
      <w:r w:rsidR="005917DA">
        <w:t>rtículo 3 de la Ley 18.244;</w:t>
      </w:r>
    </w:p>
    <w:p w:rsidR="0022462C" w:rsidRDefault="0022462C" w:rsidP="00C44FA4">
      <w:pPr>
        <w:spacing w:after="0" w:line="360" w:lineRule="auto"/>
        <w:jc w:val="both"/>
      </w:pPr>
      <w:r>
        <w:rPr>
          <w:b/>
          <w:bCs/>
        </w:rPr>
        <w:t>2)</w:t>
      </w:r>
      <w:r>
        <w:rPr>
          <w:rFonts w:ascii="Times New Roman" w:hAnsi="Times New Roman" w:cs="Times New Roman"/>
        </w:rPr>
        <w:t xml:space="preserve"> </w:t>
      </w:r>
      <w:r w:rsidR="005917DA">
        <w:t>Comunicar al Contador Delegado;</w:t>
      </w:r>
    </w:p>
    <w:p w:rsidR="0022462C" w:rsidRDefault="0022462C" w:rsidP="00C44FA4">
      <w:pPr>
        <w:spacing w:after="0" w:line="360" w:lineRule="auto"/>
        <w:jc w:val="both"/>
      </w:pPr>
      <w:r>
        <w:rPr>
          <w:b/>
          <w:bCs/>
        </w:rPr>
        <w:t>3)</w:t>
      </w:r>
      <w:r>
        <w:t xml:space="preserve"> Devolver las actuaciones.</w:t>
      </w:r>
    </w:p>
    <w:p w:rsidR="0022462C" w:rsidRPr="00B65A8C" w:rsidRDefault="0022462C">
      <w:pPr>
        <w:spacing w:line="360" w:lineRule="auto"/>
        <w:jc w:val="right"/>
      </w:pPr>
    </w:p>
    <w:p w:rsidR="001600A8" w:rsidRDefault="001600A8">
      <w:pPr>
        <w:spacing w:line="360" w:lineRule="auto"/>
        <w:jc w:val="both"/>
      </w:pPr>
    </w:p>
    <w:p w:rsidR="00165C2E" w:rsidRDefault="001600A8" w:rsidP="00BF5137">
      <w:pPr>
        <w:spacing w:line="360" w:lineRule="auto"/>
        <w:jc w:val="both"/>
      </w:pPr>
      <w:r w:rsidRPr="00E9382D">
        <w:rPr>
          <w:b/>
        </w:rPr>
        <w:t>CON</w:t>
      </w:r>
      <w:r>
        <w:rPr>
          <w:b/>
        </w:rPr>
        <w:t>S</w:t>
      </w:r>
      <w:r w:rsidRPr="00E9382D">
        <w:rPr>
          <w:b/>
        </w:rPr>
        <w:t xml:space="preserve">TANCIA DE FUNDAMENTO DE VOTO </w:t>
      </w:r>
      <w:r>
        <w:rPr>
          <w:b/>
        </w:rPr>
        <w:t>DISCORDE</w:t>
      </w:r>
      <w:r w:rsidRPr="00E9382D">
        <w:rPr>
          <w:b/>
        </w:rPr>
        <w:t xml:space="preserve"> DEL PRESIDENT</w:t>
      </w:r>
      <w:r>
        <w:rPr>
          <w:b/>
        </w:rPr>
        <w:t>E</w:t>
      </w:r>
      <w:r w:rsidRPr="00E9382D">
        <w:rPr>
          <w:b/>
        </w:rPr>
        <w:t xml:space="preserve"> </w:t>
      </w:r>
      <w:r>
        <w:rPr>
          <w:b/>
        </w:rPr>
        <w:t xml:space="preserve">         DR. SIEGBERT RIPPE</w:t>
      </w:r>
      <w:r w:rsidRPr="00E9382D">
        <w:rPr>
          <w:b/>
        </w:rPr>
        <w:t>:</w:t>
      </w:r>
      <w:r w:rsidR="008C32EB">
        <w:rPr>
          <w:b/>
        </w:rPr>
        <w:t xml:space="preserve"> </w:t>
      </w:r>
      <w:r w:rsidR="008C32EB" w:rsidRPr="008C32EB">
        <w:t>“</w:t>
      </w:r>
      <w:r w:rsidR="00165C2E">
        <w:t xml:space="preserve">El Tribunal de Cuentas consideró el asunto de referencia, relativo a la </w:t>
      </w:r>
      <w:r w:rsidR="00165C2E">
        <w:t>contratación directa para la prestación de servicios informáticos de apoyo al Departamento de Transformación Operativa de dicho Banco, trabajo consistente en análisis, diseño, desarrollo e implementación de aplicaciones</w:t>
      </w:r>
      <w:r w:rsidR="00165C2E">
        <w:t xml:space="preserve"> del Banco de la República Oriental del Uruguay.</w:t>
      </w:r>
    </w:p>
    <w:p w:rsidR="001600A8" w:rsidRPr="00E9382D" w:rsidRDefault="00165C2E" w:rsidP="00BF5137">
      <w:pPr>
        <w:spacing w:line="360" w:lineRule="auto"/>
        <w:jc w:val="both"/>
        <w:rPr>
          <w:b/>
        </w:rPr>
      </w:pPr>
      <w:r>
        <w:t>He votado en forma discorde por no creer que la causal de excepción invocada sea la adecuada en el caso concreto, y teniendo en cuenta el Resultando 3 de la Resolución, el Organismo invoca permanentemente la conveniencia. La Entidad basa toda la fundamentación en la conveniencia y no en la legalidad</w:t>
      </w:r>
      <w:bookmarkStart w:id="0" w:name="_GoBack"/>
      <w:bookmarkEnd w:id="0"/>
      <w:r>
        <w:t>, y aun así la mayoría del Cuerpo de Ministros votó la no observación como propone la División Jurídica</w:t>
      </w:r>
      <w:r w:rsidR="002D05FB">
        <w:t>”</w:t>
      </w:r>
      <w:r>
        <w:t xml:space="preserve">.  </w:t>
      </w:r>
    </w:p>
    <w:p w:rsidR="001600A8" w:rsidRPr="00FB4277" w:rsidRDefault="001600A8" w:rsidP="00BF5137">
      <w:pPr>
        <w:spacing w:line="360" w:lineRule="auto"/>
        <w:jc w:val="both"/>
      </w:pPr>
    </w:p>
    <w:p w:rsidR="00E31A81" w:rsidRDefault="001600A8" w:rsidP="00E31A81">
      <w:pPr>
        <w:spacing w:after="0" w:line="360" w:lineRule="auto"/>
        <w:jc w:val="both"/>
      </w:pPr>
      <w:r w:rsidRPr="00E9382D">
        <w:rPr>
          <w:b/>
        </w:rPr>
        <w:t>CON</w:t>
      </w:r>
      <w:r>
        <w:rPr>
          <w:b/>
        </w:rPr>
        <w:t>S</w:t>
      </w:r>
      <w:r w:rsidRPr="00E9382D">
        <w:rPr>
          <w:b/>
        </w:rPr>
        <w:t xml:space="preserve">TANCIA DE FUNDAMENTO DE VOTO </w:t>
      </w:r>
      <w:r>
        <w:rPr>
          <w:b/>
        </w:rPr>
        <w:t>DISCORDE</w:t>
      </w:r>
      <w:r w:rsidRPr="00E9382D">
        <w:rPr>
          <w:b/>
        </w:rPr>
        <w:t xml:space="preserve"> DEL </w:t>
      </w:r>
      <w:r>
        <w:rPr>
          <w:b/>
        </w:rPr>
        <w:t>MINISTRO</w:t>
      </w:r>
      <w:r w:rsidRPr="00E9382D">
        <w:rPr>
          <w:b/>
        </w:rPr>
        <w:t xml:space="preserve"> DR. ALVARO EZCURRA: </w:t>
      </w:r>
      <w:r w:rsidR="00E31A81" w:rsidRPr="008C32EB">
        <w:t>“</w:t>
      </w:r>
      <w:r w:rsidR="00E31A81">
        <w:t>El Cuerpo dictaminó en la sesión de fecha 29de junio de 2007 respecto a las actuaciones remitidas por el BROU relacionadas con la contratación directa para la prestación de servicios informáticos de apoyo al Departamento de Transformación Operativa de dicho Banco, trabajo consistente en análisis, diseño, desarrollo e implementación de aplicaciones.</w:t>
      </w:r>
      <w:r w:rsidR="00E31A81">
        <w:t xml:space="preserve"> </w:t>
      </w:r>
    </w:p>
    <w:p w:rsidR="00E31A81" w:rsidRDefault="00E31A81" w:rsidP="00E31A81">
      <w:pPr>
        <w:spacing w:after="0" w:line="360" w:lineRule="auto"/>
        <w:jc w:val="both"/>
      </w:pPr>
      <w:r>
        <w:t xml:space="preserve">Al respecto dictaminó cometer al </w:t>
      </w:r>
      <w:r w:rsidR="00935FEE">
        <w:t>Contador D</w:t>
      </w:r>
      <w:r>
        <w:t>elegado la intervención del gasto.</w:t>
      </w:r>
    </w:p>
    <w:p w:rsidR="00E31A81" w:rsidRDefault="00E31A81" w:rsidP="00E31A81">
      <w:pPr>
        <w:spacing w:after="0" w:line="360" w:lineRule="auto"/>
        <w:jc w:val="both"/>
      </w:pPr>
      <w:r>
        <w:t>El suscrito entiende que debió haberse observado el gasto en tanto el mismo consiste en una prórroga contractual no prevista originariamente amparada en la causal de exclusividad que no se ha justificado.</w:t>
      </w:r>
    </w:p>
    <w:p w:rsidR="00E31A81" w:rsidRDefault="00E31A81" w:rsidP="00E31A81">
      <w:pPr>
        <w:spacing w:after="0" w:line="360" w:lineRule="auto"/>
        <w:jc w:val="both"/>
      </w:pPr>
      <w:r>
        <w:t xml:space="preserve">Como ya he sostenido en reiteradas oportunidades la apreciación por parte del Tribunal de Cuentas de las causales de excepción al principio de procedimientos competitivos, debe ser examinada con criterio restrictivo, analizándose exhaustivamente los fundamentos expresados por el </w:t>
      </w:r>
      <w:r w:rsidR="00935FEE">
        <w:t>O</w:t>
      </w:r>
      <w:r>
        <w:t xml:space="preserve">rdenador respectivo, sin que deban </w:t>
      </w:r>
      <w:r>
        <w:t>influir</w:t>
      </w:r>
      <w:r>
        <w:t xml:space="preserve"> en su dictamen razones de conveniencia, distintas a las de legalidad y por lo tanto ajenas a la competencia de este Cuerpo.</w:t>
      </w:r>
    </w:p>
    <w:p w:rsidR="00E31A81" w:rsidRDefault="00E31A81" w:rsidP="00E31A81">
      <w:pPr>
        <w:spacing w:after="0" w:line="360" w:lineRule="auto"/>
        <w:jc w:val="both"/>
      </w:pPr>
      <w:r>
        <w:t>En el caso  que nos ocupa, entiendo que dichos fundamentos, exclusivamente de conveniencia, no justifican la contratación directa al amparo de la excepción de exclusividad, debiendo haberse llevado a cabo un procedimiento competitivo que impidiera la vulneración del principio de libre concurrencia de los oferentes, entre otros</w:t>
      </w:r>
      <w:r>
        <w:t>”</w:t>
      </w:r>
      <w:r>
        <w:t xml:space="preserve">. </w:t>
      </w:r>
    </w:p>
    <w:p w:rsidR="001600A8" w:rsidRDefault="001600A8" w:rsidP="00E31A81">
      <w:pPr>
        <w:spacing w:after="0" w:line="360" w:lineRule="auto"/>
        <w:jc w:val="both"/>
        <w:rPr>
          <w:b/>
        </w:rPr>
      </w:pPr>
    </w:p>
    <w:p w:rsidR="001600A8" w:rsidRDefault="001600A8" w:rsidP="00E31A81">
      <w:pPr>
        <w:spacing w:after="0" w:line="360" w:lineRule="auto"/>
        <w:jc w:val="both"/>
        <w:rPr>
          <w:b/>
        </w:rPr>
      </w:pPr>
    </w:p>
    <w:p w:rsidR="001600A8" w:rsidRPr="001600A8" w:rsidRDefault="001600A8" w:rsidP="00E31A81">
      <w:pPr>
        <w:spacing w:after="0" w:line="360" w:lineRule="auto"/>
        <w:jc w:val="both"/>
      </w:pPr>
      <w:proofErr w:type="spellStart"/>
      <w:proofErr w:type="gramStart"/>
      <w:r w:rsidRPr="001600A8">
        <w:t>ag</w:t>
      </w:r>
      <w:proofErr w:type="spellEnd"/>
      <w:proofErr w:type="gramEnd"/>
    </w:p>
    <w:sectPr w:rsidR="001600A8" w:rsidRPr="001600A8" w:rsidSect="00C852BF">
      <w:pgSz w:w="11906" w:h="16838" w:code="9"/>
      <w:pgMar w:top="3289"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62C"/>
    <w:rsid w:val="001600A8"/>
    <w:rsid w:val="00165C2E"/>
    <w:rsid w:val="0022462C"/>
    <w:rsid w:val="002275D1"/>
    <w:rsid w:val="002D05FB"/>
    <w:rsid w:val="004D2446"/>
    <w:rsid w:val="005917DA"/>
    <w:rsid w:val="007E1890"/>
    <w:rsid w:val="008C32EB"/>
    <w:rsid w:val="00935FEE"/>
    <w:rsid w:val="009C18C4"/>
    <w:rsid w:val="009F59BF"/>
    <w:rsid w:val="00B65A8C"/>
    <w:rsid w:val="00B82DD2"/>
    <w:rsid w:val="00C44FA4"/>
    <w:rsid w:val="00C852BF"/>
    <w:rsid w:val="00D04BA9"/>
    <w:rsid w:val="00E31A81"/>
    <w:rsid w:val="00E56E9E"/>
    <w:rsid w:val="00E90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Arial" w:hAnsi="Arial" w:cs="Arial"/>
      <w:sz w:val="24"/>
      <w:szCs w:val="24"/>
      <w:lang w:val="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Arial" w:hAnsi="Arial" w:cs="Arial"/>
      <w:sz w:val="24"/>
      <w:szCs w:val="24"/>
      <w:lang w:val="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1019</Words>
  <Characters>5739</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CARPETA Nº 2014-17-1-0002359</vt:lpstr>
    </vt:vector>
  </TitlesOfParts>
  <Company>Tribunal de Cuentas</Company>
  <LinksUpToDate>false</LinksUpToDate>
  <CharactersWithSpaces>6745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Nº 2014-17-1-0002359</dc:title>
  <dc:subject/>
  <dc:creator>TRIBUNAL1</dc:creator>
  <cp:keywords/>
  <dc:description/>
  <cp:lastModifiedBy>Andrea Gerner</cp:lastModifiedBy>
  <cp:revision>10</cp:revision>
  <cp:lastPrinted>2016-07-06T16:30:00Z</cp:lastPrinted>
  <dcterms:created xsi:type="dcterms:W3CDTF">2016-07-06T16:32:00Z</dcterms:created>
  <dcterms:modified xsi:type="dcterms:W3CDTF">2016-07-06T16:51:00Z</dcterms:modified>
</cp:coreProperties>
</file>