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C09" w:rsidRPr="00786EEB" w:rsidRDefault="00144C09" w:rsidP="00C23688">
      <w:pPr>
        <w:tabs>
          <w:tab w:val="center" w:pos="4253"/>
        </w:tabs>
        <w:suppressAutoHyphens/>
        <w:jc w:val="right"/>
        <w:rPr>
          <w:rFonts w:ascii="Arial" w:hAnsi="Arial" w:cs="Arial"/>
          <w:b/>
          <w:sz w:val="28"/>
          <w:szCs w:val="28"/>
          <w:lang w:val="es-ES_tradnl"/>
        </w:rPr>
      </w:pPr>
      <w:r w:rsidRPr="00786EEB">
        <w:rPr>
          <w:rFonts w:ascii="Arial" w:hAnsi="Arial" w:cs="Arial"/>
          <w:b/>
          <w:sz w:val="28"/>
          <w:szCs w:val="28"/>
          <w:lang w:val="es-ES_tradnl"/>
        </w:rPr>
        <w:t xml:space="preserve">RES. </w:t>
      </w:r>
      <w:r>
        <w:rPr>
          <w:rFonts w:ascii="Arial" w:hAnsi="Arial" w:cs="Arial"/>
          <w:b/>
          <w:sz w:val="28"/>
          <w:szCs w:val="28"/>
          <w:lang w:val="es-ES_tradnl"/>
        </w:rPr>
        <w:t>2278</w:t>
      </w:r>
      <w:r w:rsidRPr="00786EEB">
        <w:rPr>
          <w:rFonts w:ascii="Arial" w:hAnsi="Arial" w:cs="Arial"/>
          <w:b/>
          <w:sz w:val="28"/>
          <w:szCs w:val="28"/>
          <w:lang w:val="es-ES_tradnl"/>
        </w:rPr>
        <w:t>/16</w:t>
      </w:r>
    </w:p>
    <w:p w:rsidR="00144C09" w:rsidRDefault="00144C09" w:rsidP="00144C09">
      <w:pPr>
        <w:tabs>
          <w:tab w:val="center" w:pos="4253"/>
        </w:tabs>
        <w:suppressAutoHyphens/>
        <w:jc w:val="right"/>
        <w:rPr>
          <w:rFonts w:ascii="Arial" w:hAnsi="Arial" w:cs="Arial"/>
          <w:b/>
          <w:lang w:val="es-ES_tradnl"/>
        </w:rPr>
      </w:pPr>
    </w:p>
    <w:p w:rsidR="00144C09" w:rsidRPr="00144C09" w:rsidRDefault="00144C09" w:rsidP="00144C09">
      <w:pPr>
        <w:tabs>
          <w:tab w:val="center" w:pos="4253"/>
        </w:tabs>
        <w:suppressAutoHyphens/>
        <w:spacing w:after="0" w:line="240" w:lineRule="auto"/>
        <w:jc w:val="center"/>
        <w:rPr>
          <w:rFonts w:ascii="Arial" w:hAnsi="Arial" w:cs="Arial"/>
          <w:b/>
          <w:sz w:val="24"/>
          <w:szCs w:val="24"/>
          <w:lang w:val="es-ES_tradnl"/>
        </w:rPr>
      </w:pPr>
      <w:r w:rsidRPr="00144C09">
        <w:rPr>
          <w:rFonts w:ascii="Arial" w:hAnsi="Arial" w:cs="Arial"/>
          <w:b/>
          <w:sz w:val="24"/>
          <w:szCs w:val="24"/>
          <w:lang w:val="es-ES_tradnl"/>
        </w:rPr>
        <w:t>RESOLUCION ADOPTADA POR EL</w:t>
      </w:r>
    </w:p>
    <w:p w:rsidR="00144C09" w:rsidRPr="00144C09" w:rsidRDefault="00144C09" w:rsidP="00144C09">
      <w:pPr>
        <w:tabs>
          <w:tab w:val="left" w:pos="-720"/>
        </w:tabs>
        <w:suppressAutoHyphens/>
        <w:spacing w:after="0" w:line="240" w:lineRule="auto"/>
        <w:jc w:val="center"/>
        <w:rPr>
          <w:rFonts w:ascii="Arial" w:hAnsi="Arial" w:cs="Arial"/>
          <w:b/>
          <w:sz w:val="24"/>
          <w:szCs w:val="24"/>
          <w:lang w:val="es-ES_tradnl"/>
        </w:rPr>
      </w:pPr>
    </w:p>
    <w:p w:rsidR="00144C09" w:rsidRPr="00144C09" w:rsidRDefault="00144C09" w:rsidP="00144C09">
      <w:pPr>
        <w:tabs>
          <w:tab w:val="center" w:pos="4253"/>
        </w:tabs>
        <w:suppressAutoHyphens/>
        <w:spacing w:after="0" w:line="240" w:lineRule="auto"/>
        <w:jc w:val="center"/>
        <w:rPr>
          <w:rFonts w:ascii="Arial" w:hAnsi="Arial" w:cs="Arial"/>
          <w:b/>
          <w:sz w:val="24"/>
          <w:szCs w:val="24"/>
          <w:lang w:val="es-ES_tradnl"/>
        </w:rPr>
      </w:pPr>
      <w:r w:rsidRPr="00144C09">
        <w:rPr>
          <w:rFonts w:ascii="Arial" w:hAnsi="Arial" w:cs="Arial"/>
          <w:b/>
          <w:sz w:val="24"/>
          <w:szCs w:val="24"/>
          <w:lang w:val="es-ES_tradnl"/>
        </w:rPr>
        <w:t>TRIBUNAL DE CUENTAS</w:t>
      </w:r>
    </w:p>
    <w:p w:rsidR="00144C09" w:rsidRPr="00144C09" w:rsidRDefault="00144C09" w:rsidP="00144C09">
      <w:pPr>
        <w:tabs>
          <w:tab w:val="left" w:pos="-720"/>
        </w:tabs>
        <w:suppressAutoHyphens/>
        <w:spacing w:after="0" w:line="240" w:lineRule="auto"/>
        <w:jc w:val="center"/>
        <w:rPr>
          <w:rFonts w:ascii="Arial" w:hAnsi="Arial" w:cs="Arial"/>
          <w:b/>
          <w:sz w:val="24"/>
          <w:szCs w:val="24"/>
          <w:lang w:val="es-ES_tradnl"/>
        </w:rPr>
      </w:pPr>
      <w:bookmarkStart w:id="0" w:name="_GoBack"/>
    </w:p>
    <w:bookmarkEnd w:id="0"/>
    <w:p w:rsidR="00144C09" w:rsidRPr="00144C09" w:rsidRDefault="00144C09" w:rsidP="00144C09">
      <w:pPr>
        <w:tabs>
          <w:tab w:val="center" w:pos="4253"/>
        </w:tabs>
        <w:suppressAutoHyphens/>
        <w:spacing w:after="0" w:line="240" w:lineRule="auto"/>
        <w:jc w:val="center"/>
        <w:rPr>
          <w:rFonts w:ascii="Arial" w:hAnsi="Arial" w:cs="Arial"/>
          <w:b/>
          <w:sz w:val="24"/>
          <w:szCs w:val="24"/>
          <w:lang w:val="es-ES_tradnl"/>
        </w:rPr>
      </w:pPr>
      <w:r w:rsidRPr="00144C09">
        <w:rPr>
          <w:rFonts w:ascii="Arial" w:hAnsi="Arial" w:cs="Arial"/>
          <w:b/>
          <w:sz w:val="24"/>
          <w:szCs w:val="24"/>
          <w:lang w:val="es-ES_tradnl"/>
        </w:rPr>
        <w:t>EN SESION DE FECHA 29 DE JUNIO DE 2016</w:t>
      </w:r>
    </w:p>
    <w:p w:rsidR="00144C09" w:rsidRPr="00144C09" w:rsidRDefault="00144C09" w:rsidP="00144C09">
      <w:pPr>
        <w:tabs>
          <w:tab w:val="center" w:pos="4253"/>
        </w:tabs>
        <w:suppressAutoHyphens/>
        <w:spacing w:after="0" w:line="240" w:lineRule="auto"/>
        <w:jc w:val="center"/>
        <w:rPr>
          <w:rFonts w:ascii="Arial" w:hAnsi="Arial" w:cs="Arial"/>
          <w:b/>
          <w:sz w:val="24"/>
          <w:szCs w:val="24"/>
          <w:lang w:val="es-ES_tradnl"/>
        </w:rPr>
      </w:pPr>
    </w:p>
    <w:p w:rsidR="00144C09" w:rsidRPr="00144C09" w:rsidRDefault="00144C09" w:rsidP="00144C09">
      <w:pPr>
        <w:spacing w:after="0" w:line="240" w:lineRule="auto"/>
        <w:jc w:val="center"/>
        <w:rPr>
          <w:rFonts w:ascii="Arial" w:hAnsi="Arial" w:cs="Arial"/>
          <w:b/>
          <w:sz w:val="24"/>
          <w:szCs w:val="24"/>
        </w:rPr>
      </w:pPr>
      <w:r>
        <w:rPr>
          <w:rFonts w:ascii="Arial" w:hAnsi="Arial" w:cs="Arial"/>
          <w:b/>
          <w:sz w:val="24"/>
          <w:szCs w:val="24"/>
          <w:lang w:val="en-US"/>
        </w:rPr>
        <w:t xml:space="preserve">(E. E. Nº </w:t>
      </w:r>
      <w:r w:rsidRPr="00144C09">
        <w:rPr>
          <w:rFonts w:ascii="Arial" w:hAnsi="Arial" w:cs="Arial"/>
          <w:b/>
          <w:sz w:val="24"/>
          <w:szCs w:val="24"/>
        </w:rPr>
        <w:t>2015-17-1-0005138</w:t>
      </w:r>
      <w:r w:rsidRPr="00144C09">
        <w:rPr>
          <w:rFonts w:ascii="Arial" w:hAnsi="Arial" w:cs="Arial"/>
          <w:b/>
          <w:sz w:val="24"/>
          <w:szCs w:val="24"/>
          <w:lang w:val="en-US"/>
        </w:rPr>
        <w:t xml:space="preserve">, Ent. N° </w:t>
      </w:r>
      <w:r w:rsidRPr="00144C09">
        <w:rPr>
          <w:rFonts w:ascii="Arial" w:hAnsi="Arial" w:cs="Arial"/>
          <w:b/>
          <w:sz w:val="24"/>
          <w:szCs w:val="24"/>
        </w:rPr>
        <w:t>1724/16</w:t>
      </w:r>
      <w:r w:rsidRPr="00144C09">
        <w:rPr>
          <w:rFonts w:ascii="Arial" w:hAnsi="Arial" w:cs="Arial"/>
          <w:b/>
          <w:sz w:val="24"/>
          <w:szCs w:val="24"/>
          <w:lang w:val="en-US"/>
        </w:rPr>
        <w:t>)</w:t>
      </w:r>
    </w:p>
    <w:p w:rsidR="00144C09" w:rsidRPr="00144C09" w:rsidRDefault="00144C09" w:rsidP="00144C09">
      <w:pPr>
        <w:tabs>
          <w:tab w:val="center" w:pos="4253"/>
        </w:tabs>
        <w:suppressAutoHyphens/>
        <w:spacing w:after="0" w:line="240" w:lineRule="auto"/>
        <w:jc w:val="center"/>
        <w:rPr>
          <w:rFonts w:ascii="Arial" w:hAnsi="Arial" w:cs="Arial"/>
          <w:b/>
          <w:sz w:val="24"/>
          <w:szCs w:val="24"/>
          <w:lang w:val="en-US"/>
        </w:rPr>
      </w:pPr>
    </w:p>
    <w:p w:rsidR="00185F6A" w:rsidRDefault="00185F6A" w:rsidP="00144C09">
      <w:pPr>
        <w:spacing w:after="0" w:line="360" w:lineRule="auto"/>
        <w:ind w:firstLine="851"/>
        <w:jc w:val="both"/>
        <w:rPr>
          <w:rFonts w:ascii="Arial" w:hAnsi="Arial" w:cs="Arial"/>
          <w:sz w:val="24"/>
          <w:szCs w:val="24"/>
        </w:rPr>
      </w:pPr>
      <w:r>
        <w:rPr>
          <w:rFonts w:ascii="Arial" w:hAnsi="Arial" w:cs="Arial"/>
          <w:b/>
          <w:bCs/>
          <w:sz w:val="24"/>
          <w:szCs w:val="24"/>
        </w:rPr>
        <w:t xml:space="preserve">VISTO: </w:t>
      </w:r>
      <w:r>
        <w:rPr>
          <w:rFonts w:ascii="Arial" w:hAnsi="Arial" w:cs="Arial"/>
          <w:sz w:val="24"/>
          <w:szCs w:val="24"/>
        </w:rPr>
        <w:t>las actuaciones remitidas por el Banco de Previsión Social, relacionadas con la Compra Directa N° 64447/2015, convocada para la adquisición de sillones gerenciales para las dependencias del Banco  en el Ejercicio 2015;</w:t>
      </w:r>
    </w:p>
    <w:p w:rsidR="00185F6A" w:rsidRDefault="00185F6A" w:rsidP="00144C09">
      <w:pPr>
        <w:spacing w:after="0" w:line="360" w:lineRule="auto"/>
        <w:ind w:firstLine="851"/>
        <w:jc w:val="both"/>
        <w:rPr>
          <w:rFonts w:ascii="Arial" w:hAnsi="Arial" w:cs="Arial"/>
          <w:sz w:val="24"/>
          <w:szCs w:val="24"/>
        </w:rPr>
      </w:pPr>
      <w:r>
        <w:rPr>
          <w:rFonts w:ascii="Arial" w:hAnsi="Arial" w:cs="Arial"/>
          <w:b/>
          <w:bCs/>
          <w:sz w:val="24"/>
          <w:szCs w:val="24"/>
        </w:rPr>
        <w:t>RESULTANDO:</w:t>
      </w:r>
      <w:r w:rsidR="00144C09">
        <w:rPr>
          <w:rFonts w:ascii="Arial" w:hAnsi="Arial" w:cs="Arial"/>
          <w:b/>
          <w:bCs/>
          <w:sz w:val="24"/>
          <w:szCs w:val="24"/>
        </w:rPr>
        <w:t xml:space="preserve"> </w:t>
      </w:r>
      <w:r>
        <w:rPr>
          <w:rFonts w:ascii="Arial" w:hAnsi="Arial" w:cs="Arial"/>
          <w:b/>
          <w:bCs/>
          <w:sz w:val="24"/>
          <w:szCs w:val="24"/>
        </w:rPr>
        <w:t xml:space="preserve">1) </w:t>
      </w:r>
      <w:r>
        <w:rPr>
          <w:rFonts w:ascii="Arial" w:hAnsi="Arial" w:cs="Arial"/>
          <w:sz w:val="24"/>
          <w:szCs w:val="24"/>
        </w:rPr>
        <w:t>que habiéndose publicado el llamado en la página web de la Agencia de Compras y Contrataciones del Estado, con fecha 15</w:t>
      </w:r>
      <w:r w:rsidR="00144C09">
        <w:rPr>
          <w:rFonts w:ascii="Arial" w:hAnsi="Arial" w:cs="Arial"/>
          <w:sz w:val="24"/>
          <w:szCs w:val="24"/>
        </w:rPr>
        <w:t>/</w:t>
      </w:r>
      <w:r>
        <w:rPr>
          <w:rFonts w:ascii="Arial" w:hAnsi="Arial" w:cs="Arial"/>
          <w:sz w:val="24"/>
          <w:szCs w:val="24"/>
        </w:rPr>
        <w:t>06</w:t>
      </w:r>
      <w:r w:rsidR="00144C09">
        <w:rPr>
          <w:rFonts w:ascii="Arial" w:hAnsi="Arial" w:cs="Arial"/>
          <w:sz w:val="24"/>
          <w:szCs w:val="24"/>
        </w:rPr>
        <w:t>/</w:t>
      </w:r>
      <w:r>
        <w:rPr>
          <w:rFonts w:ascii="Arial" w:hAnsi="Arial" w:cs="Arial"/>
          <w:sz w:val="24"/>
          <w:szCs w:val="24"/>
        </w:rPr>
        <w:t>15, el 25</w:t>
      </w:r>
      <w:r w:rsidR="00144C09">
        <w:rPr>
          <w:rFonts w:ascii="Arial" w:hAnsi="Arial" w:cs="Arial"/>
          <w:sz w:val="24"/>
          <w:szCs w:val="24"/>
        </w:rPr>
        <w:t>/</w:t>
      </w:r>
      <w:r>
        <w:rPr>
          <w:rFonts w:ascii="Arial" w:hAnsi="Arial" w:cs="Arial"/>
          <w:sz w:val="24"/>
          <w:szCs w:val="24"/>
        </w:rPr>
        <w:t>06</w:t>
      </w:r>
      <w:r w:rsidR="00144C09">
        <w:rPr>
          <w:rFonts w:ascii="Arial" w:hAnsi="Arial" w:cs="Arial"/>
          <w:sz w:val="24"/>
          <w:szCs w:val="24"/>
        </w:rPr>
        <w:t>/</w:t>
      </w:r>
      <w:r>
        <w:rPr>
          <w:rFonts w:ascii="Arial" w:hAnsi="Arial" w:cs="Arial"/>
          <w:sz w:val="24"/>
          <w:szCs w:val="24"/>
        </w:rPr>
        <w:t xml:space="preserve">15 la Sección Compras de la Gerencia de Administración procedió al </w:t>
      </w:r>
      <w:r w:rsidR="00144C09">
        <w:rPr>
          <w:rFonts w:ascii="Arial" w:hAnsi="Arial" w:cs="Arial"/>
          <w:sz w:val="24"/>
          <w:szCs w:val="24"/>
        </w:rPr>
        <w:t>A</w:t>
      </w:r>
      <w:r>
        <w:rPr>
          <w:rFonts w:ascii="Arial" w:hAnsi="Arial" w:cs="Arial"/>
          <w:sz w:val="24"/>
          <w:szCs w:val="24"/>
        </w:rPr>
        <w:t xml:space="preserve">cto de </w:t>
      </w:r>
      <w:r w:rsidR="00144C09">
        <w:rPr>
          <w:rFonts w:ascii="Arial" w:hAnsi="Arial" w:cs="Arial"/>
          <w:sz w:val="24"/>
          <w:szCs w:val="24"/>
        </w:rPr>
        <w:t>A</w:t>
      </w:r>
      <w:r>
        <w:rPr>
          <w:rFonts w:ascii="Arial" w:hAnsi="Arial" w:cs="Arial"/>
          <w:sz w:val="24"/>
          <w:szCs w:val="24"/>
        </w:rPr>
        <w:t>pertura de ofertas al que se presentaron trece firmas: Agneta S.A; Boyerco S.A; Divino S.A; Dremico S.A; Frama S.R.L; Fumaya S.A; García Verdie Andrés; Nafler S.A; Nicolás de Marco y Cía. S.A; Oderzur S.A; Prontometal S.A; Tecnomadera S.A; y Walter Hugo S.A. Salvo en el caso de Nafler S.A, Tecnomadera S.A y Walter Hugo S.A, se solicitó a las proponentes la presentación de información complementaria;</w:t>
      </w:r>
    </w:p>
    <w:p w:rsidR="00185F6A" w:rsidRDefault="00185F6A" w:rsidP="00144C09">
      <w:pPr>
        <w:spacing w:after="0" w:line="360" w:lineRule="auto"/>
        <w:ind w:firstLine="2835"/>
        <w:jc w:val="both"/>
        <w:rPr>
          <w:rFonts w:ascii="Arial" w:hAnsi="Arial" w:cs="Arial"/>
          <w:sz w:val="24"/>
          <w:szCs w:val="24"/>
        </w:rPr>
      </w:pPr>
      <w:r>
        <w:rPr>
          <w:rFonts w:ascii="Arial" w:hAnsi="Arial" w:cs="Arial"/>
          <w:b/>
          <w:bCs/>
          <w:sz w:val="24"/>
          <w:szCs w:val="24"/>
        </w:rPr>
        <w:t>2)</w:t>
      </w:r>
      <w:r>
        <w:rPr>
          <w:rFonts w:ascii="Arial" w:hAnsi="Arial" w:cs="Arial"/>
          <w:sz w:val="24"/>
          <w:szCs w:val="24"/>
        </w:rPr>
        <w:t xml:space="preserve"> que ,con fecha 10</w:t>
      </w:r>
      <w:r w:rsidR="00144C09">
        <w:rPr>
          <w:rFonts w:ascii="Arial" w:hAnsi="Arial" w:cs="Arial"/>
          <w:sz w:val="24"/>
          <w:szCs w:val="24"/>
        </w:rPr>
        <w:t>/</w:t>
      </w:r>
      <w:r>
        <w:rPr>
          <w:rFonts w:ascii="Arial" w:hAnsi="Arial" w:cs="Arial"/>
          <w:sz w:val="24"/>
          <w:szCs w:val="24"/>
        </w:rPr>
        <w:t>07</w:t>
      </w:r>
      <w:r w:rsidR="00144C09">
        <w:rPr>
          <w:rFonts w:ascii="Arial" w:hAnsi="Arial" w:cs="Arial"/>
          <w:sz w:val="24"/>
          <w:szCs w:val="24"/>
        </w:rPr>
        <w:t>/</w:t>
      </w:r>
      <w:r>
        <w:rPr>
          <w:rFonts w:ascii="Arial" w:hAnsi="Arial" w:cs="Arial"/>
          <w:sz w:val="24"/>
          <w:szCs w:val="24"/>
        </w:rPr>
        <w:t xml:space="preserve">15, el Sector Servicios de la Gerencia de Administración elaboró un informe según el cual se desestimaron las siguientes propuestas:  Oderzul S.A, por no cotizar flete al interior;  Boyerco S.A, Divino S.A, Fumaya S.A y Walter Hugo S.A, por no presentar los antecedentes documentados;  Agneta S.A, Nalfer S.A, Frama S.R.L y Tecnomadera S.A, por subir sólo la oferta en línea y no aportar ninguno de los requerimientos formales solicitados en el pliego;  Nicolás De Marco y Cía. S.A </w:t>
      </w:r>
      <w:r>
        <w:rPr>
          <w:rFonts w:ascii="Arial" w:hAnsi="Arial" w:cs="Arial"/>
          <w:sz w:val="24"/>
          <w:szCs w:val="24"/>
        </w:rPr>
        <w:lastRenderedPageBreak/>
        <w:t>(opción 1), Prontometal S.A (opciones 1 y 2), Dremico S.A y Andrés García Verdie, por no ajustarse a las necesidades de uso del Organismo;</w:t>
      </w:r>
    </w:p>
    <w:p w:rsidR="00144C09" w:rsidRDefault="00185F6A" w:rsidP="00144C09">
      <w:pPr>
        <w:spacing w:after="0" w:line="360" w:lineRule="auto"/>
        <w:jc w:val="both"/>
        <w:rPr>
          <w:rFonts w:ascii="Arial" w:hAnsi="Arial" w:cs="Arial"/>
          <w:sz w:val="24"/>
          <w:szCs w:val="24"/>
        </w:rPr>
      </w:pPr>
      <w:r>
        <w:rPr>
          <w:rFonts w:ascii="Arial" w:hAnsi="Arial" w:cs="Arial"/>
          <w:sz w:val="24"/>
          <w:szCs w:val="24"/>
        </w:rPr>
        <w:t>Atento a la evaluación de las muestras y a los criterios de valoración establecidos en el pliego, el Sector Servicios de la Gerencia de Administración aconsejó adjudicar a Nicolás De Marco y Cía. S.A (opción 2), por un total de U$S 27.473,18, correspondientes a 127 sillones gerenciales, línea Confort, por un precio unitario de U$S 215,94</w:t>
      </w:r>
      <w:r w:rsidR="00144C09">
        <w:rPr>
          <w:rFonts w:ascii="Arial" w:hAnsi="Arial" w:cs="Arial"/>
          <w:sz w:val="24"/>
          <w:szCs w:val="24"/>
        </w:rPr>
        <w:t xml:space="preserve"> (</w:t>
      </w:r>
      <w:r>
        <w:rPr>
          <w:rFonts w:ascii="Arial" w:hAnsi="Arial" w:cs="Arial"/>
          <w:sz w:val="24"/>
          <w:szCs w:val="24"/>
        </w:rPr>
        <w:t>impuestos incluidos), más flete al interior de cuatro unidades por U$S 48,80, (impuestos incluidos);</w:t>
      </w:r>
    </w:p>
    <w:p w:rsidR="00185F6A" w:rsidRDefault="00185F6A" w:rsidP="00144C09">
      <w:pPr>
        <w:spacing w:after="0" w:line="360" w:lineRule="auto"/>
        <w:ind w:firstLine="2835"/>
        <w:jc w:val="both"/>
        <w:rPr>
          <w:rFonts w:ascii="Arial" w:hAnsi="Arial" w:cs="Arial"/>
          <w:sz w:val="24"/>
          <w:szCs w:val="24"/>
        </w:rPr>
      </w:pPr>
      <w:r>
        <w:rPr>
          <w:rFonts w:ascii="Arial" w:hAnsi="Arial" w:cs="Arial"/>
          <w:b/>
          <w:bCs/>
          <w:sz w:val="24"/>
          <w:szCs w:val="24"/>
        </w:rPr>
        <w:t xml:space="preserve">4) </w:t>
      </w:r>
      <w:r>
        <w:rPr>
          <w:rFonts w:ascii="Arial" w:hAnsi="Arial" w:cs="Arial"/>
          <w:sz w:val="24"/>
          <w:szCs w:val="24"/>
        </w:rPr>
        <w:t>que, por Resolución s/n de fecha 14</w:t>
      </w:r>
      <w:r w:rsidR="00144C09">
        <w:rPr>
          <w:rFonts w:ascii="Arial" w:hAnsi="Arial" w:cs="Arial"/>
          <w:sz w:val="24"/>
          <w:szCs w:val="24"/>
        </w:rPr>
        <w:t>/</w:t>
      </w:r>
      <w:r>
        <w:rPr>
          <w:rFonts w:ascii="Arial" w:hAnsi="Arial" w:cs="Arial"/>
          <w:sz w:val="24"/>
          <w:szCs w:val="24"/>
        </w:rPr>
        <w:t>07</w:t>
      </w:r>
      <w:r w:rsidR="00144C09">
        <w:rPr>
          <w:rFonts w:ascii="Arial" w:hAnsi="Arial" w:cs="Arial"/>
          <w:sz w:val="24"/>
          <w:szCs w:val="24"/>
        </w:rPr>
        <w:t>/</w:t>
      </w:r>
      <w:r>
        <w:rPr>
          <w:rFonts w:ascii="Arial" w:hAnsi="Arial" w:cs="Arial"/>
          <w:sz w:val="24"/>
          <w:szCs w:val="24"/>
        </w:rPr>
        <w:t>15, el Gerente de Administración de Compras y Contratos dispuso la adjudicación en la forma propuesta, y el 15</w:t>
      </w:r>
      <w:r w:rsidR="003E00F1">
        <w:rPr>
          <w:rFonts w:ascii="Arial" w:hAnsi="Arial" w:cs="Arial"/>
          <w:sz w:val="24"/>
          <w:szCs w:val="24"/>
        </w:rPr>
        <w:t>/</w:t>
      </w:r>
      <w:r>
        <w:rPr>
          <w:rFonts w:ascii="Arial" w:hAnsi="Arial" w:cs="Arial"/>
          <w:sz w:val="24"/>
          <w:szCs w:val="24"/>
        </w:rPr>
        <w:t>07</w:t>
      </w:r>
      <w:r w:rsidR="003E00F1">
        <w:rPr>
          <w:rFonts w:ascii="Arial" w:hAnsi="Arial" w:cs="Arial"/>
          <w:sz w:val="24"/>
          <w:szCs w:val="24"/>
        </w:rPr>
        <w:t>/</w:t>
      </w:r>
      <w:r>
        <w:rPr>
          <w:rFonts w:ascii="Arial" w:hAnsi="Arial" w:cs="Arial"/>
          <w:sz w:val="24"/>
          <w:szCs w:val="24"/>
        </w:rPr>
        <w:t>15 la Sección Contaduría – Administración Presupuestal realizó la imputación definitiva del gasto, el que en la misma fecha fue intervenido por el Contador Delegado;</w:t>
      </w:r>
    </w:p>
    <w:p w:rsidR="00185F6A" w:rsidRDefault="00185F6A" w:rsidP="00144C09">
      <w:pPr>
        <w:spacing w:after="0" w:line="360" w:lineRule="auto"/>
        <w:ind w:firstLine="2835"/>
        <w:jc w:val="both"/>
        <w:rPr>
          <w:rFonts w:ascii="Arial" w:hAnsi="Arial" w:cs="Arial"/>
          <w:sz w:val="24"/>
          <w:szCs w:val="24"/>
        </w:rPr>
      </w:pPr>
      <w:r>
        <w:rPr>
          <w:rFonts w:ascii="Arial" w:hAnsi="Arial" w:cs="Arial"/>
          <w:b/>
          <w:bCs/>
          <w:sz w:val="24"/>
          <w:szCs w:val="24"/>
        </w:rPr>
        <w:t>5)</w:t>
      </w:r>
      <w:r>
        <w:rPr>
          <w:rFonts w:ascii="Arial" w:hAnsi="Arial" w:cs="Arial"/>
          <w:sz w:val="24"/>
          <w:szCs w:val="24"/>
        </w:rPr>
        <w:t xml:space="preserve"> que, dentro del plazo legal previsto, el 30</w:t>
      </w:r>
      <w:r w:rsidR="003E00F1">
        <w:rPr>
          <w:rFonts w:ascii="Arial" w:hAnsi="Arial" w:cs="Arial"/>
          <w:sz w:val="24"/>
          <w:szCs w:val="24"/>
        </w:rPr>
        <w:t>/</w:t>
      </w:r>
      <w:r>
        <w:rPr>
          <w:rFonts w:ascii="Arial" w:hAnsi="Arial" w:cs="Arial"/>
          <w:sz w:val="24"/>
          <w:szCs w:val="24"/>
        </w:rPr>
        <w:t>07</w:t>
      </w:r>
      <w:r w:rsidR="003E00F1">
        <w:rPr>
          <w:rFonts w:ascii="Arial" w:hAnsi="Arial" w:cs="Arial"/>
          <w:sz w:val="24"/>
          <w:szCs w:val="24"/>
        </w:rPr>
        <w:t>/</w:t>
      </w:r>
      <w:r>
        <w:rPr>
          <w:rFonts w:ascii="Arial" w:hAnsi="Arial" w:cs="Arial"/>
          <w:sz w:val="24"/>
          <w:szCs w:val="24"/>
        </w:rPr>
        <w:t xml:space="preserve">15 Prontometal S.A interpuso los recursos administrativos de revocación y jerárquico contra la </w:t>
      </w:r>
      <w:r w:rsidR="003E00F1">
        <w:rPr>
          <w:rFonts w:ascii="Arial" w:hAnsi="Arial" w:cs="Arial"/>
          <w:sz w:val="24"/>
          <w:szCs w:val="24"/>
        </w:rPr>
        <w:t>R</w:t>
      </w:r>
      <w:r>
        <w:rPr>
          <w:rFonts w:ascii="Arial" w:hAnsi="Arial" w:cs="Arial"/>
          <w:sz w:val="24"/>
          <w:szCs w:val="24"/>
        </w:rPr>
        <w:t>esolución de adjudicación, manifestando sintéticamente que:</w:t>
      </w:r>
    </w:p>
    <w:p w:rsidR="00185F6A" w:rsidRDefault="00185F6A" w:rsidP="00144C09">
      <w:pPr>
        <w:spacing w:after="0" w:line="360" w:lineRule="auto"/>
        <w:jc w:val="both"/>
        <w:rPr>
          <w:rFonts w:ascii="Arial" w:hAnsi="Arial" w:cs="Arial"/>
          <w:sz w:val="24"/>
          <w:szCs w:val="24"/>
        </w:rPr>
      </w:pPr>
      <w:r>
        <w:rPr>
          <w:rFonts w:ascii="Arial" w:hAnsi="Arial" w:cs="Arial"/>
          <w:b/>
          <w:bCs/>
          <w:sz w:val="24"/>
          <w:szCs w:val="24"/>
        </w:rPr>
        <w:t>5.1)</w:t>
      </w:r>
      <w:r>
        <w:rPr>
          <w:rFonts w:ascii="Arial" w:hAnsi="Arial" w:cs="Arial"/>
          <w:sz w:val="24"/>
          <w:szCs w:val="24"/>
        </w:rPr>
        <w:t xml:space="preserve"> si bien el precio que ofertó fue menor al de la adjudicataria, su propuesta fue descartada, agregando que la única fundamentación que sustenta el rechazo de su oferta es </w:t>
      </w:r>
      <w:r>
        <w:rPr>
          <w:rFonts w:ascii="Arial" w:hAnsi="Arial" w:cs="Arial"/>
          <w:i/>
          <w:iCs/>
          <w:sz w:val="24"/>
          <w:szCs w:val="24"/>
        </w:rPr>
        <w:t>“por no ajustarse a las necesidades de uso del Organismo”</w:t>
      </w:r>
      <w:r>
        <w:rPr>
          <w:rFonts w:ascii="Arial" w:hAnsi="Arial" w:cs="Arial"/>
          <w:sz w:val="24"/>
          <w:szCs w:val="24"/>
        </w:rPr>
        <w:t>, lo que no resulta admisible cuando el producto cumple cabalmente con el Pliego de Condiciones Particulares;</w:t>
      </w:r>
    </w:p>
    <w:p w:rsidR="00185F6A" w:rsidRDefault="00185F6A" w:rsidP="00144C09">
      <w:pPr>
        <w:spacing w:after="0" w:line="360" w:lineRule="auto"/>
        <w:jc w:val="both"/>
        <w:rPr>
          <w:rFonts w:ascii="Arial" w:hAnsi="Arial" w:cs="Arial"/>
          <w:sz w:val="24"/>
          <w:szCs w:val="24"/>
        </w:rPr>
      </w:pPr>
      <w:r>
        <w:rPr>
          <w:rFonts w:ascii="Arial" w:hAnsi="Arial" w:cs="Arial"/>
          <w:b/>
          <w:bCs/>
          <w:sz w:val="24"/>
          <w:szCs w:val="24"/>
        </w:rPr>
        <w:t>5.2)</w:t>
      </w:r>
      <w:r>
        <w:rPr>
          <w:rFonts w:ascii="Arial" w:hAnsi="Arial" w:cs="Arial"/>
          <w:sz w:val="24"/>
          <w:szCs w:val="24"/>
        </w:rPr>
        <w:t xml:space="preserve"> debió asignarse puntaje en cuanto a calidad, precio, garantía, etc., </w:t>
      </w:r>
      <w:r w:rsidR="003E00F1">
        <w:rPr>
          <w:rFonts w:ascii="Arial" w:hAnsi="Arial" w:cs="Arial"/>
          <w:sz w:val="24"/>
          <w:szCs w:val="24"/>
        </w:rPr>
        <w:t xml:space="preserve">             </w:t>
      </w:r>
      <w:r>
        <w:rPr>
          <w:rFonts w:ascii="Arial" w:hAnsi="Arial" w:cs="Arial"/>
          <w:sz w:val="24"/>
          <w:szCs w:val="24"/>
        </w:rPr>
        <w:t>a efectos de que la adjudicación responda a parámetros objetivos, apreciándose una gran discrecionalidad y falta de conveniencia al realizar la adjudicación;</w:t>
      </w:r>
    </w:p>
    <w:p w:rsidR="00185F6A" w:rsidRDefault="00185F6A" w:rsidP="00144C09">
      <w:pPr>
        <w:spacing w:after="0" w:line="360" w:lineRule="auto"/>
        <w:jc w:val="both"/>
        <w:rPr>
          <w:rFonts w:ascii="Arial" w:hAnsi="Arial" w:cs="Arial"/>
          <w:sz w:val="24"/>
          <w:szCs w:val="24"/>
        </w:rPr>
      </w:pPr>
      <w:r>
        <w:rPr>
          <w:rFonts w:ascii="Arial" w:hAnsi="Arial" w:cs="Arial"/>
          <w:b/>
          <w:bCs/>
          <w:sz w:val="24"/>
          <w:szCs w:val="24"/>
        </w:rPr>
        <w:t>5.3)</w:t>
      </w:r>
      <w:r w:rsidR="00144C09">
        <w:rPr>
          <w:rFonts w:ascii="Arial" w:hAnsi="Arial" w:cs="Arial"/>
          <w:b/>
          <w:bCs/>
          <w:sz w:val="24"/>
          <w:szCs w:val="24"/>
        </w:rPr>
        <w:t xml:space="preserve"> </w:t>
      </w:r>
      <w:r w:rsidRPr="00144C09">
        <w:rPr>
          <w:rFonts w:ascii="Arial" w:hAnsi="Arial" w:cs="Arial"/>
          <w:bCs/>
          <w:sz w:val="24"/>
          <w:szCs w:val="24"/>
        </w:rPr>
        <w:t>en</w:t>
      </w:r>
      <w:r>
        <w:rPr>
          <w:rFonts w:ascii="Arial" w:hAnsi="Arial" w:cs="Arial"/>
          <w:b/>
          <w:bCs/>
          <w:sz w:val="24"/>
          <w:szCs w:val="24"/>
        </w:rPr>
        <w:t xml:space="preserve"> </w:t>
      </w:r>
      <w:r>
        <w:rPr>
          <w:rFonts w:ascii="Arial" w:hAnsi="Arial" w:cs="Arial"/>
          <w:sz w:val="24"/>
          <w:szCs w:val="24"/>
        </w:rPr>
        <w:t>otro procedimiento (Expediente 2015-28-1-027583) también fue desestimada su oferta;</w:t>
      </w:r>
    </w:p>
    <w:p w:rsidR="00185F6A" w:rsidRDefault="00185F6A" w:rsidP="00144C09">
      <w:pPr>
        <w:spacing w:after="0" w:line="360" w:lineRule="auto"/>
        <w:ind w:firstLine="2835"/>
        <w:jc w:val="both"/>
        <w:rPr>
          <w:rFonts w:ascii="Arial" w:hAnsi="Arial" w:cs="Arial"/>
          <w:sz w:val="24"/>
          <w:szCs w:val="24"/>
        </w:rPr>
      </w:pPr>
      <w:r>
        <w:rPr>
          <w:rFonts w:ascii="Arial" w:hAnsi="Arial" w:cs="Arial"/>
          <w:b/>
          <w:bCs/>
          <w:sz w:val="24"/>
          <w:szCs w:val="24"/>
        </w:rPr>
        <w:lastRenderedPageBreak/>
        <w:t xml:space="preserve">6) </w:t>
      </w:r>
      <w:r>
        <w:rPr>
          <w:rFonts w:ascii="Arial" w:hAnsi="Arial" w:cs="Arial"/>
          <w:sz w:val="24"/>
          <w:szCs w:val="24"/>
        </w:rPr>
        <w:t>que en respuesta a los agravios esgrimidos, con fecha 07</w:t>
      </w:r>
      <w:r w:rsidR="003E00F1">
        <w:rPr>
          <w:rFonts w:ascii="Arial" w:hAnsi="Arial" w:cs="Arial"/>
          <w:sz w:val="24"/>
          <w:szCs w:val="24"/>
        </w:rPr>
        <w:t>/</w:t>
      </w:r>
      <w:r>
        <w:rPr>
          <w:rFonts w:ascii="Arial" w:hAnsi="Arial" w:cs="Arial"/>
          <w:sz w:val="24"/>
          <w:szCs w:val="24"/>
        </w:rPr>
        <w:t>08</w:t>
      </w:r>
      <w:r w:rsidR="003E00F1">
        <w:rPr>
          <w:rFonts w:ascii="Arial" w:hAnsi="Arial" w:cs="Arial"/>
          <w:sz w:val="24"/>
          <w:szCs w:val="24"/>
        </w:rPr>
        <w:t>/</w:t>
      </w:r>
      <w:r>
        <w:rPr>
          <w:rFonts w:ascii="Arial" w:hAnsi="Arial" w:cs="Arial"/>
          <w:sz w:val="24"/>
          <w:szCs w:val="24"/>
        </w:rPr>
        <w:t xml:space="preserve">15 la Sección Servicios de la Gerencia de Administración afirmó que </w:t>
      </w:r>
      <w:r>
        <w:rPr>
          <w:rFonts w:ascii="Arial" w:hAnsi="Arial" w:cs="Arial"/>
          <w:i/>
          <w:iCs/>
          <w:sz w:val="24"/>
          <w:szCs w:val="24"/>
        </w:rPr>
        <w:t>“el término “por no ajustarse a las necesidades de uso del Organismo”, que quizás no fue todo lo claro que correspondería, refiere a la evaluación de las muestras presentadas y a que el objetivo de la institución en esta adquisición era el de adquirir sillones gerenciales que se ajustaran a los que existen en uso en el Organismo, en cuanto a su estructura, similitud, a efectos de tender a la uniformidad de ese mobiliario específico en uso en el Organismo”</w:t>
      </w:r>
      <w:r>
        <w:rPr>
          <w:rFonts w:ascii="Arial" w:hAnsi="Arial" w:cs="Arial"/>
          <w:sz w:val="24"/>
          <w:szCs w:val="24"/>
        </w:rPr>
        <w:t xml:space="preserve">. De conformidad con lo informado, la Asesoría Letrada de la Gerencia de Administración agregó que, de conformidad con la normativa de contratación administrativa, no debe, necesariamente, seleccionarse  a la oferta más barata, sino a la más conveniente, según lo dispuesto por el </w:t>
      </w:r>
      <w:r w:rsidR="003E00F1">
        <w:rPr>
          <w:rFonts w:ascii="Arial" w:hAnsi="Arial" w:cs="Arial"/>
          <w:sz w:val="24"/>
          <w:szCs w:val="24"/>
        </w:rPr>
        <w:t>A</w:t>
      </w:r>
      <w:r>
        <w:rPr>
          <w:rFonts w:ascii="Arial" w:hAnsi="Arial" w:cs="Arial"/>
          <w:sz w:val="24"/>
          <w:szCs w:val="24"/>
        </w:rPr>
        <w:t xml:space="preserve">rtículo 68 </w:t>
      </w:r>
      <w:r w:rsidR="003E00F1">
        <w:rPr>
          <w:rFonts w:ascii="Arial" w:hAnsi="Arial" w:cs="Arial"/>
          <w:sz w:val="24"/>
          <w:szCs w:val="24"/>
        </w:rPr>
        <w:t>Nume</w:t>
      </w:r>
      <w:r>
        <w:rPr>
          <w:rFonts w:ascii="Arial" w:hAnsi="Arial" w:cs="Arial"/>
          <w:sz w:val="24"/>
          <w:szCs w:val="24"/>
        </w:rPr>
        <w:t>ral 2 del TOCAF, entendiendo que correspondería desestimar los recursos interpuestos;</w:t>
      </w:r>
    </w:p>
    <w:p w:rsidR="00144C09" w:rsidRDefault="00185F6A" w:rsidP="00144C09">
      <w:pPr>
        <w:spacing w:after="0" w:line="360" w:lineRule="auto"/>
        <w:ind w:firstLine="2835"/>
        <w:jc w:val="both"/>
        <w:rPr>
          <w:rFonts w:ascii="Arial" w:hAnsi="Arial" w:cs="Arial"/>
          <w:sz w:val="24"/>
          <w:szCs w:val="24"/>
        </w:rPr>
      </w:pPr>
      <w:r>
        <w:rPr>
          <w:rFonts w:ascii="Arial" w:hAnsi="Arial" w:cs="Arial"/>
          <w:b/>
          <w:bCs/>
          <w:sz w:val="24"/>
          <w:szCs w:val="24"/>
        </w:rPr>
        <w:t xml:space="preserve">7) </w:t>
      </w:r>
      <w:r>
        <w:rPr>
          <w:rFonts w:ascii="Arial" w:hAnsi="Arial" w:cs="Arial"/>
          <w:sz w:val="24"/>
          <w:szCs w:val="24"/>
        </w:rPr>
        <w:t>que habiéndose dado vista de las actuaciones, el 19</w:t>
      </w:r>
      <w:r w:rsidR="003E00F1">
        <w:rPr>
          <w:rFonts w:ascii="Arial" w:hAnsi="Arial" w:cs="Arial"/>
          <w:sz w:val="24"/>
          <w:szCs w:val="24"/>
        </w:rPr>
        <w:t>/</w:t>
      </w:r>
      <w:r>
        <w:rPr>
          <w:rFonts w:ascii="Arial" w:hAnsi="Arial" w:cs="Arial"/>
          <w:sz w:val="24"/>
          <w:szCs w:val="24"/>
        </w:rPr>
        <w:t>08</w:t>
      </w:r>
      <w:r w:rsidR="003E00F1">
        <w:rPr>
          <w:rFonts w:ascii="Arial" w:hAnsi="Arial" w:cs="Arial"/>
          <w:sz w:val="24"/>
          <w:szCs w:val="24"/>
        </w:rPr>
        <w:t>/</w:t>
      </w:r>
      <w:r>
        <w:rPr>
          <w:rFonts w:ascii="Arial" w:hAnsi="Arial" w:cs="Arial"/>
          <w:sz w:val="24"/>
          <w:szCs w:val="24"/>
        </w:rPr>
        <w:t>15 Prontometal S.A evacuó la misma mediante la presentación de un escrito que no luce completo en el expediente;</w:t>
      </w:r>
    </w:p>
    <w:p w:rsidR="00185F6A" w:rsidRDefault="00185F6A" w:rsidP="00144C09">
      <w:pPr>
        <w:spacing w:after="0" w:line="360" w:lineRule="auto"/>
        <w:ind w:firstLine="2835"/>
        <w:jc w:val="both"/>
        <w:rPr>
          <w:rFonts w:ascii="Arial" w:hAnsi="Arial" w:cs="Arial"/>
          <w:sz w:val="24"/>
          <w:szCs w:val="24"/>
        </w:rPr>
      </w:pPr>
      <w:r>
        <w:rPr>
          <w:rFonts w:ascii="Arial" w:hAnsi="Arial" w:cs="Arial"/>
          <w:b/>
          <w:bCs/>
          <w:sz w:val="24"/>
          <w:szCs w:val="24"/>
        </w:rPr>
        <w:t xml:space="preserve">8) </w:t>
      </w:r>
      <w:r>
        <w:rPr>
          <w:rFonts w:ascii="Arial" w:hAnsi="Arial" w:cs="Arial"/>
          <w:sz w:val="24"/>
          <w:szCs w:val="24"/>
        </w:rPr>
        <w:t>que por Resoluciones N° 231/2015 de fecha 22</w:t>
      </w:r>
      <w:r w:rsidR="003E00F1">
        <w:rPr>
          <w:rFonts w:ascii="Arial" w:hAnsi="Arial" w:cs="Arial"/>
          <w:sz w:val="24"/>
          <w:szCs w:val="24"/>
        </w:rPr>
        <w:t>/</w:t>
      </w:r>
      <w:r>
        <w:rPr>
          <w:rFonts w:ascii="Arial" w:hAnsi="Arial" w:cs="Arial"/>
          <w:sz w:val="24"/>
          <w:szCs w:val="24"/>
        </w:rPr>
        <w:t>09</w:t>
      </w:r>
      <w:r w:rsidR="003E00F1">
        <w:rPr>
          <w:rFonts w:ascii="Arial" w:hAnsi="Arial" w:cs="Arial"/>
          <w:sz w:val="24"/>
          <w:szCs w:val="24"/>
        </w:rPr>
        <w:t>/</w:t>
      </w:r>
      <w:r>
        <w:rPr>
          <w:rFonts w:ascii="Arial" w:hAnsi="Arial" w:cs="Arial"/>
          <w:sz w:val="24"/>
          <w:szCs w:val="24"/>
        </w:rPr>
        <w:t>15 y N° 33-5/2015 de 30</w:t>
      </w:r>
      <w:r w:rsidR="003E00F1">
        <w:rPr>
          <w:rFonts w:ascii="Arial" w:hAnsi="Arial" w:cs="Arial"/>
          <w:sz w:val="24"/>
          <w:szCs w:val="24"/>
        </w:rPr>
        <w:t>/</w:t>
      </w:r>
      <w:r>
        <w:rPr>
          <w:rFonts w:ascii="Arial" w:hAnsi="Arial" w:cs="Arial"/>
          <w:sz w:val="24"/>
          <w:szCs w:val="24"/>
        </w:rPr>
        <w:t>09</w:t>
      </w:r>
      <w:r w:rsidR="003E00F1">
        <w:rPr>
          <w:rFonts w:ascii="Arial" w:hAnsi="Arial" w:cs="Arial"/>
          <w:sz w:val="24"/>
          <w:szCs w:val="24"/>
        </w:rPr>
        <w:t>/</w:t>
      </w:r>
      <w:r>
        <w:rPr>
          <w:rFonts w:ascii="Arial" w:hAnsi="Arial" w:cs="Arial"/>
          <w:sz w:val="24"/>
          <w:szCs w:val="24"/>
        </w:rPr>
        <w:t xml:space="preserve">15, fueron desestimados los recursos administrativos interpuestos, exponiéndose en el Considerando 2) de ésta última que </w:t>
      </w:r>
      <w:r>
        <w:rPr>
          <w:rFonts w:ascii="Arial" w:hAnsi="Arial" w:cs="Arial"/>
          <w:i/>
          <w:iCs/>
          <w:sz w:val="24"/>
          <w:szCs w:val="24"/>
        </w:rPr>
        <w:t>“se proporcionó una foto de los sillones que el Organismo estaba requiriendo y, comparados con los ofrecidos por la empresa recurrente, no guardan ninguna similitud, debiéndose respetar íntegramente las condiciones exigidas en el pliego”</w:t>
      </w:r>
      <w:r>
        <w:rPr>
          <w:rFonts w:ascii="Arial" w:hAnsi="Arial" w:cs="Arial"/>
          <w:sz w:val="24"/>
          <w:szCs w:val="24"/>
        </w:rPr>
        <w:t>;</w:t>
      </w:r>
    </w:p>
    <w:p w:rsidR="00185F6A" w:rsidRDefault="00144C09" w:rsidP="00144C09">
      <w:pPr>
        <w:spacing w:after="0" w:line="360" w:lineRule="auto"/>
        <w:ind w:firstLine="851"/>
        <w:jc w:val="both"/>
        <w:rPr>
          <w:rFonts w:ascii="Arial" w:hAnsi="Arial" w:cs="Arial"/>
          <w:sz w:val="24"/>
          <w:szCs w:val="24"/>
        </w:rPr>
      </w:pPr>
      <w:r>
        <w:rPr>
          <w:rFonts w:ascii="Arial" w:hAnsi="Arial" w:cs="Arial"/>
          <w:b/>
          <w:bCs/>
          <w:sz w:val="24"/>
          <w:szCs w:val="24"/>
        </w:rPr>
        <w:t xml:space="preserve">CONSIDERANDO: </w:t>
      </w:r>
      <w:r w:rsidR="00185F6A">
        <w:rPr>
          <w:rFonts w:ascii="Arial" w:hAnsi="Arial" w:cs="Arial"/>
          <w:b/>
          <w:bCs/>
          <w:sz w:val="24"/>
          <w:szCs w:val="24"/>
        </w:rPr>
        <w:t xml:space="preserve">1) </w:t>
      </w:r>
      <w:r w:rsidR="00185F6A">
        <w:rPr>
          <w:rFonts w:ascii="Arial" w:hAnsi="Arial" w:cs="Arial"/>
          <w:sz w:val="24"/>
          <w:szCs w:val="24"/>
        </w:rPr>
        <w:t>que el Pliego de Condiciones Particulares previó diversos criterios de evaluación objetivos en razón de los cuales las ofertas debían ser puntuadas: factor económico: 40 puntos; evaluación técnica: 30 puntos; factor plazo de entrega: 20 puntos; y factor antecedentes en plaza: 10 puntos. N</w:t>
      </w:r>
      <w:r w:rsidR="003E00F1">
        <w:rPr>
          <w:rFonts w:ascii="Arial" w:hAnsi="Arial" w:cs="Arial"/>
          <w:sz w:val="24"/>
          <w:szCs w:val="24"/>
        </w:rPr>
        <w:t>o obstante, en el informe de 10/</w:t>
      </w:r>
      <w:r w:rsidR="00185F6A">
        <w:rPr>
          <w:rFonts w:ascii="Arial" w:hAnsi="Arial" w:cs="Arial"/>
          <w:sz w:val="24"/>
          <w:szCs w:val="24"/>
        </w:rPr>
        <w:t>07</w:t>
      </w:r>
      <w:r w:rsidR="003E00F1">
        <w:rPr>
          <w:rFonts w:ascii="Arial" w:hAnsi="Arial" w:cs="Arial"/>
          <w:sz w:val="24"/>
          <w:szCs w:val="24"/>
        </w:rPr>
        <w:t>/</w:t>
      </w:r>
      <w:r w:rsidR="00185F6A">
        <w:rPr>
          <w:rFonts w:ascii="Arial" w:hAnsi="Arial" w:cs="Arial"/>
          <w:sz w:val="24"/>
          <w:szCs w:val="24"/>
        </w:rPr>
        <w:t xml:space="preserve">15 del Sector Servicios, luce agregado un cuadro comparativo con la puntuación únicamente respecto del </w:t>
      </w:r>
      <w:r w:rsidR="00185F6A">
        <w:rPr>
          <w:rFonts w:ascii="Arial" w:hAnsi="Arial" w:cs="Arial"/>
          <w:sz w:val="24"/>
          <w:szCs w:val="24"/>
        </w:rPr>
        <w:lastRenderedPageBreak/>
        <w:t xml:space="preserve">factor económico, no adjuntándose ninguna otra referencia a los demás elementos respecto de los cuales todas las ofertas debieron ser calificadas, por lo que no se dio cabal cumplimiento a lo establecido en las bases del llamado, contraviniéndose el </w:t>
      </w:r>
      <w:r w:rsidR="003E00F1">
        <w:rPr>
          <w:rFonts w:ascii="Arial" w:hAnsi="Arial" w:cs="Arial"/>
          <w:sz w:val="24"/>
          <w:szCs w:val="24"/>
        </w:rPr>
        <w:t>A</w:t>
      </w:r>
      <w:r w:rsidR="00185F6A">
        <w:rPr>
          <w:rFonts w:ascii="Arial" w:hAnsi="Arial" w:cs="Arial"/>
          <w:sz w:val="24"/>
          <w:szCs w:val="24"/>
        </w:rPr>
        <w:t xml:space="preserve">rtículo 65 </w:t>
      </w:r>
      <w:r w:rsidR="003E00F1">
        <w:rPr>
          <w:rFonts w:ascii="Arial" w:hAnsi="Arial" w:cs="Arial"/>
          <w:sz w:val="24"/>
          <w:szCs w:val="24"/>
        </w:rPr>
        <w:t>I</w:t>
      </w:r>
      <w:r w:rsidR="00185F6A">
        <w:rPr>
          <w:rFonts w:ascii="Arial" w:hAnsi="Arial" w:cs="Arial"/>
          <w:sz w:val="24"/>
          <w:szCs w:val="24"/>
        </w:rPr>
        <w:t>nciso 11 del TOCAF y el estricto cumplimiento de los pliegos;</w:t>
      </w:r>
    </w:p>
    <w:p w:rsidR="00185F6A" w:rsidRDefault="00185F6A" w:rsidP="00144C09">
      <w:pPr>
        <w:spacing w:after="0" w:line="360" w:lineRule="auto"/>
        <w:ind w:firstLine="2977"/>
        <w:jc w:val="both"/>
        <w:rPr>
          <w:rFonts w:ascii="Arial" w:hAnsi="Arial" w:cs="Arial"/>
          <w:sz w:val="24"/>
          <w:szCs w:val="24"/>
        </w:rPr>
      </w:pPr>
      <w:r>
        <w:rPr>
          <w:rFonts w:ascii="Arial" w:hAnsi="Arial" w:cs="Arial"/>
          <w:b/>
          <w:bCs/>
          <w:sz w:val="24"/>
          <w:szCs w:val="24"/>
        </w:rPr>
        <w:t>2)</w:t>
      </w:r>
      <w:r>
        <w:rPr>
          <w:rFonts w:ascii="Arial" w:hAnsi="Arial" w:cs="Arial"/>
          <w:sz w:val="24"/>
          <w:szCs w:val="24"/>
        </w:rPr>
        <w:t xml:space="preserve"> que en el referido informe se recomienda adjudicar a Nicolás De Marco y Cía. S.A </w:t>
      </w:r>
      <w:r>
        <w:rPr>
          <w:rFonts w:ascii="Arial" w:hAnsi="Arial" w:cs="Arial"/>
          <w:i/>
          <w:iCs/>
          <w:sz w:val="24"/>
          <w:szCs w:val="24"/>
        </w:rPr>
        <w:t xml:space="preserve">“atento a la evaluación de las muestras y a los criterios de valoración establecidos en el pliego, cuya planilla de evaluación se adjunta”. </w:t>
      </w:r>
      <w:r>
        <w:rPr>
          <w:rFonts w:ascii="Arial" w:hAnsi="Arial" w:cs="Arial"/>
          <w:sz w:val="24"/>
          <w:szCs w:val="24"/>
        </w:rPr>
        <w:t xml:space="preserve">Sin embargo, en  la planilla de evaluación a la que se hace referencia se sintetizó las ofertas presentadas, pero no se las calificó, por lo que no se comprende en razón de qué elementos la mencionada firma resultó adjudicataria: al no determinarse la puntuación final y definitiva de las ofertas, no existió fundamento que sustentara la adjudicación en favor de Nicolás De Marco y Cía. S.A, máxime cuando, aun tomando en cuenta la puntuación económica obtenida, su oferta no es la de menor precio. En consecuencia, se contravino lo dispuesto en los </w:t>
      </w:r>
      <w:r w:rsidR="003E00F1">
        <w:rPr>
          <w:rFonts w:ascii="Arial" w:hAnsi="Arial" w:cs="Arial"/>
          <w:sz w:val="24"/>
          <w:szCs w:val="24"/>
        </w:rPr>
        <w:t>A</w:t>
      </w:r>
      <w:r>
        <w:rPr>
          <w:rFonts w:ascii="Arial" w:hAnsi="Arial" w:cs="Arial"/>
          <w:sz w:val="24"/>
          <w:szCs w:val="24"/>
        </w:rPr>
        <w:t>rtículos 65 y 66 del TOCAF que disponen que la Comisión Asesora debe fundamentar su opción por la oferta más conveniente a los intereses de la Administración, lo que resulta de la evaluación realizada aplicando los factores cuantitativos y cualitativos que constan en el Pliego de Condiciones Particulares;</w:t>
      </w:r>
    </w:p>
    <w:p w:rsidR="00185F6A" w:rsidRDefault="00185F6A" w:rsidP="00144C09">
      <w:pPr>
        <w:spacing w:after="0" w:line="360" w:lineRule="auto"/>
        <w:ind w:firstLine="2977"/>
        <w:jc w:val="both"/>
        <w:rPr>
          <w:rFonts w:ascii="Arial" w:hAnsi="Arial" w:cs="Arial"/>
          <w:sz w:val="24"/>
          <w:szCs w:val="24"/>
        </w:rPr>
      </w:pPr>
      <w:r>
        <w:rPr>
          <w:rFonts w:ascii="Arial" w:hAnsi="Arial" w:cs="Arial"/>
          <w:b/>
          <w:bCs/>
          <w:sz w:val="24"/>
          <w:szCs w:val="24"/>
        </w:rPr>
        <w:t>3)</w:t>
      </w:r>
      <w:r>
        <w:rPr>
          <w:rFonts w:ascii="Arial" w:hAnsi="Arial" w:cs="Arial"/>
          <w:sz w:val="24"/>
          <w:szCs w:val="24"/>
        </w:rPr>
        <w:t xml:space="preserve"> </w:t>
      </w:r>
      <w:r>
        <w:rPr>
          <w:rFonts w:ascii="Arial" w:hAnsi="Arial" w:cs="Arial"/>
          <w:b/>
          <w:bCs/>
          <w:sz w:val="24"/>
          <w:szCs w:val="24"/>
        </w:rPr>
        <w:t xml:space="preserve"> </w:t>
      </w:r>
      <w:r>
        <w:rPr>
          <w:rFonts w:ascii="Arial" w:hAnsi="Arial" w:cs="Arial"/>
          <w:sz w:val="24"/>
          <w:szCs w:val="24"/>
        </w:rPr>
        <w:t>que en el informe de la Sección Servicios de fecha 07</w:t>
      </w:r>
      <w:r w:rsidR="003E00F1">
        <w:rPr>
          <w:rFonts w:ascii="Arial" w:hAnsi="Arial" w:cs="Arial"/>
          <w:sz w:val="24"/>
          <w:szCs w:val="24"/>
        </w:rPr>
        <w:t>/</w:t>
      </w:r>
      <w:r>
        <w:rPr>
          <w:rFonts w:ascii="Arial" w:hAnsi="Arial" w:cs="Arial"/>
          <w:sz w:val="24"/>
          <w:szCs w:val="24"/>
        </w:rPr>
        <w:t>08</w:t>
      </w:r>
      <w:r w:rsidR="003E00F1">
        <w:rPr>
          <w:rFonts w:ascii="Arial" w:hAnsi="Arial" w:cs="Arial"/>
          <w:sz w:val="24"/>
          <w:szCs w:val="24"/>
        </w:rPr>
        <w:t>/</w:t>
      </w:r>
      <w:r>
        <w:rPr>
          <w:rFonts w:ascii="Arial" w:hAnsi="Arial" w:cs="Arial"/>
          <w:sz w:val="24"/>
          <w:szCs w:val="24"/>
        </w:rPr>
        <w:t>15, se estableció que “</w:t>
      </w:r>
      <w:r>
        <w:rPr>
          <w:rFonts w:ascii="Arial" w:hAnsi="Arial" w:cs="Arial"/>
          <w:i/>
          <w:iCs/>
          <w:sz w:val="24"/>
          <w:szCs w:val="24"/>
        </w:rPr>
        <w:t>el objetivo de la institución en esta adquisición era el de adquirir sillones gerenciales que se ajustaran a los que existen en uso en el Organismo, en cuanto a su estructura, similitud, a efectos de tender a la uniformidad de ese mobiliario específico en uso en el Organismo”</w:t>
      </w:r>
      <w:r>
        <w:rPr>
          <w:rFonts w:ascii="Arial" w:hAnsi="Arial" w:cs="Arial"/>
          <w:sz w:val="24"/>
          <w:szCs w:val="24"/>
        </w:rPr>
        <w:t xml:space="preserve"> y el Directorio, mediante la Resolución N° 33-5/2015 de fecha 30</w:t>
      </w:r>
      <w:r w:rsidR="003E00F1">
        <w:rPr>
          <w:rFonts w:ascii="Arial" w:hAnsi="Arial" w:cs="Arial"/>
          <w:sz w:val="24"/>
          <w:szCs w:val="24"/>
        </w:rPr>
        <w:t>/</w:t>
      </w:r>
      <w:r>
        <w:rPr>
          <w:rFonts w:ascii="Arial" w:hAnsi="Arial" w:cs="Arial"/>
          <w:sz w:val="24"/>
          <w:szCs w:val="24"/>
        </w:rPr>
        <w:t>09</w:t>
      </w:r>
      <w:r w:rsidR="003E00F1">
        <w:rPr>
          <w:rFonts w:ascii="Arial" w:hAnsi="Arial" w:cs="Arial"/>
          <w:sz w:val="24"/>
          <w:szCs w:val="24"/>
        </w:rPr>
        <w:t>/</w:t>
      </w:r>
      <w:r>
        <w:rPr>
          <w:rFonts w:ascii="Arial" w:hAnsi="Arial" w:cs="Arial"/>
          <w:sz w:val="24"/>
          <w:szCs w:val="24"/>
        </w:rPr>
        <w:t xml:space="preserve">15, estableció que </w:t>
      </w:r>
      <w:r>
        <w:rPr>
          <w:rFonts w:ascii="Arial" w:hAnsi="Arial" w:cs="Arial"/>
          <w:i/>
          <w:iCs/>
          <w:sz w:val="24"/>
          <w:szCs w:val="24"/>
        </w:rPr>
        <w:t xml:space="preserve">“se proporcionó una foto de los sillones que el Organismo estaba requiriendo y, comparados con los ofrecidos por la empresa recurrente, no guardan ninguna similitud, debiéndose respetar íntegramente las </w:t>
      </w:r>
      <w:r>
        <w:rPr>
          <w:rFonts w:ascii="Arial" w:hAnsi="Arial" w:cs="Arial"/>
          <w:i/>
          <w:iCs/>
          <w:sz w:val="24"/>
          <w:szCs w:val="24"/>
        </w:rPr>
        <w:lastRenderedPageBreak/>
        <w:t>condiciones exigidas en el pliego”</w:t>
      </w:r>
      <w:r>
        <w:rPr>
          <w:rFonts w:ascii="Arial" w:hAnsi="Arial" w:cs="Arial"/>
          <w:sz w:val="24"/>
          <w:szCs w:val="24"/>
        </w:rPr>
        <w:t xml:space="preserve">. Sin embargo, esto implica cambiar las especificaciones previstas en </w:t>
      </w:r>
      <w:r w:rsidR="003E00F1">
        <w:rPr>
          <w:rFonts w:ascii="Arial" w:hAnsi="Arial" w:cs="Arial"/>
          <w:sz w:val="24"/>
          <w:szCs w:val="24"/>
        </w:rPr>
        <w:t>N</w:t>
      </w:r>
      <w:r>
        <w:rPr>
          <w:rFonts w:ascii="Arial" w:hAnsi="Arial" w:cs="Arial"/>
          <w:sz w:val="24"/>
          <w:szCs w:val="24"/>
        </w:rPr>
        <w:t xml:space="preserve">umeral 5 del Pliego de Condiciones Particulares, conforme las cuales, los productos presentados debían contar con ciertos requisitos técnicos y, cumplidos éstos, los productos serían evaluados y calificados según los factores previstos en el </w:t>
      </w:r>
      <w:r w:rsidR="003E00F1">
        <w:rPr>
          <w:rFonts w:ascii="Arial" w:hAnsi="Arial" w:cs="Arial"/>
          <w:sz w:val="24"/>
          <w:szCs w:val="24"/>
        </w:rPr>
        <w:t>A</w:t>
      </w:r>
      <w:r>
        <w:rPr>
          <w:rFonts w:ascii="Arial" w:hAnsi="Arial" w:cs="Arial"/>
          <w:sz w:val="24"/>
          <w:szCs w:val="24"/>
        </w:rPr>
        <w:t xml:space="preserve">rtículo 3 y no por su comparación con una fotografía, lo que, además, no constituye un criterio de evaluación objetivo, como lo preceptúa el </w:t>
      </w:r>
      <w:r w:rsidR="003E00F1">
        <w:rPr>
          <w:rFonts w:ascii="Arial" w:hAnsi="Arial" w:cs="Arial"/>
          <w:sz w:val="24"/>
          <w:szCs w:val="24"/>
        </w:rPr>
        <w:t>A</w:t>
      </w:r>
      <w:r>
        <w:rPr>
          <w:rFonts w:ascii="Arial" w:hAnsi="Arial" w:cs="Arial"/>
          <w:sz w:val="24"/>
          <w:szCs w:val="24"/>
        </w:rPr>
        <w:t xml:space="preserve">rtículo 66 </w:t>
      </w:r>
      <w:r w:rsidR="003E00F1">
        <w:rPr>
          <w:rFonts w:ascii="Arial" w:hAnsi="Arial" w:cs="Arial"/>
          <w:sz w:val="24"/>
          <w:szCs w:val="24"/>
        </w:rPr>
        <w:t>L</w:t>
      </w:r>
      <w:r>
        <w:rPr>
          <w:rFonts w:ascii="Arial" w:hAnsi="Arial" w:cs="Arial"/>
          <w:sz w:val="24"/>
          <w:szCs w:val="24"/>
        </w:rPr>
        <w:t>iteral C) del TOCAF. Ante la fotografía proporcionada en las bases del llamado, cada firma puede presentar modelos que, cumpliendo con las especificaciones técnicas requeridas, presentan características propias que los diferencian de los presentados por otros competidores, y en consecuencia, requerir que el producto debe ser igual a los que ya se encuentran en uso en la Administración, implica que solamente sea un oferente el que pueda participar en el llamado;</w:t>
      </w:r>
    </w:p>
    <w:p w:rsidR="00185F6A" w:rsidRDefault="00185F6A" w:rsidP="00144C09">
      <w:pPr>
        <w:spacing w:after="0" w:line="360" w:lineRule="auto"/>
        <w:ind w:firstLine="2977"/>
        <w:jc w:val="both"/>
        <w:rPr>
          <w:rFonts w:ascii="Arial" w:hAnsi="Arial" w:cs="Arial"/>
          <w:sz w:val="24"/>
          <w:szCs w:val="24"/>
        </w:rPr>
      </w:pPr>
      <w:r>
        <w:rPr>
          <w:rFonts w:ascii="Arial" w:hAnsi="Arial" w:cs="Arial"/>
          <w:b/>
          <w:bCs/>
          <w:sz w:val="24"/>
          <w:szCs w:val="24"/>
        </w:rPr>
        <w:t>4)</w:t>
      </w:r>
      <w:r>
        <w:rPr>
          <w:rFonts w:ascii="Arial" w:hAnsi="Arial" w:cs="Arial"/>
          <w:sz w:val="24"/>
          <w:szCs w:val="24"/>
        </w:rPr>
        <w:t xml:space="preserve"> que no obstante, no es de recibo la argumentación esgrimida por Prontometal S.A en la que se hace referencia a otro proceso licitatorio, siendo que, al ser un procedimiento ajeno al presente, no es pertinente hacer alusión al mismo;</w:t>
      </w:r>
    </w:p>
    <w:p w:rsidR="00185F6A" w:rsidRDefault="00185F6A" w:rsidP="00144C09">
      <w:pPr>
        <w:spacing w:after="0" w:line="360" w:lineRule="auto"/>
        <w:ind w:firstLine="2977"/>
        <w:jc w:val="both"/>
        <w:rPr>
          <w:rFonts w:ascii="Arial" w:hAnsi="Arial" w:cs="Arial"/>
          <w:sz w:val="24"/>
          <w:szCs w:val="24"/>
        </w:rPr>
      </w:pPr>
      <w:r>
        <w:rPr>
          <w:rFonts w:ascii="Arial" w:hAnsi="Arial" w:cs="Arial"/>
          <w:b/>
          <w:bCs/>
          <w:sz w:val="24"/>
          <w:szCs w:val="24"/>
        </w:rPr>
        <w:t>5)</w:t>
      </w:r>
      <w:r>
        <w:rPr>
          <w:rFonts w:ascii="Arial" w:hAnsi="Arial" w:cs="Arial"/>
          <w:sz w:val="24"/>
          <w:szCs w:val="24"/>
        </w:rPr>
        <w:t xml:space="preserve"> que, en consecuencia, en el presente procedimiento se contravino normativa en materia de contratación administrativa, </w:t>
      </w:r>
      <w:r w:rsidR="00144C09">
        <w:rPr>
          <w:rFonts w:ascii="Arial" w:hAnsi="Arial" w:cs="Arial"/>
          <w:sz w:val="24"/>
          <w:szCs w:val="24"/>
        </w:rPr>
        <w:t>A</w:t>
      </w:r>
      <w:r>
        <w:rPr>
          <w:rFonts w:ascii="Arial" w:hAnsi="Arial" w:cs="Arial"/>
          <w:sz w:val="24"/>
          <w:szCs w:val="24"/>
        </w:rPr>
        <w:t>rt</w:t>
      </w:r>
      <w:r w:rsidR="00144C09">
        <w:rPr>
          <w:rFonts w:ascii="Arial" w:hAnsi="Arial" w:cs="Arial"/>
          <w:sz w:val="24"/>
          <w:szCs w:val="24"/>
        </w:rPr>
        <w:t>ículos</w:t>
      </w:r>
      <w:r>
        <w:rPr>
          <w:rFonts w:ascii="Arial" w:hAnsi="Arial" w:cs="Arial"/>
          <w:sz w:val="24"/>
          <w:szCs w:val="24"/>
        </w:rPr>
        <w:t xml:space="preserve"> 65 y 66 del T</w:t>
      </w:r>
      <w:r w:rsidR="00144C09">
        <w:rPr>
          <w:rFonts w:ascii="Arial" w:hAnsi="Arial" w:cs="Arial"/>
          <w:sz w:val="24"/>
          <w:szCs w:val="24"/>
        </w:rPr>
        <w:t>OCAF</w:t>
      </w:r>
      <w:r>
        <w:rPr>
          <w:rFonts w:ascii="Arial" w:hAnsi="Arial" w:cs="Arial"/>
          <w:sz w:val="24"/>
          <w:szCs w:val="24"/>
        </w:rPr>
        <w:t xml:space="preserve">; </w:t>
      </w:r>
    </w:p>
    <w:p w:rsidR="00185F6A" w:rsidRDefault="00185F6A" w:rsidP="00144C09">
      <w:pPr>
        <w:spacing w:after="0" w:line="360" w:lineRule="auto"/>
        <w:ind w:firstLine="851"/>
        <w:jc w:val="both"/>
        <w:rPr>
          <w:rFonts w:ascii="Arial" w:hAnsi="Arial" w:cs="Arial"/>
          <w:sz w:val="24"/>
          <w:szCs w:val="24"/>
        </w:rPr>
      </w:pPr>
      <w:r>
        <w:rPr>
          <w:rFonts w:ascii="Arial" w:hAnsi="Arial" w:cs="Arial"/>
          <w:b/>
          <w:bCs/>
          <w:sz w:val="24"/>
          <w:szCs w:val="24"/>
        </w:rPr>
        <w:t>ATENTO:</w:t>
      </w:r>
      <w:r>
        <w:rPr>
          <w:rFonts w:ascii="Arial" w:hAnsi="Arial" w:cs="Arial"/>
          <w:sz w:val="24"/>
          <w:szCs w:val="24"/>
        </w:rPr>
        <w:t xml:space="preserve"> a lo precedentemente expuesto y a lo dispuesto por el </w:t>
      </w:r>
      <w:r w:rsidR="003E00F1">
        <w:rPr>
          <w:rFonts w:ascii="Arial" w:hAnsi="Arial" w:cs="Arial"/>
          <w:sz w:val="24"/>
          <w:szCs w:val="24"/>
        </w:rPr>
        <w:t>A</w:t>
      </w:r>
      <w:r>
        <w:rPr>
          <w:rFonts w:ascii="Arial" w:hAnsi="Arial" w:cs="Arial"/>
          <w:sz w:val="24"/>
          <w:szCs w:val="24"/>
        </w:rPr>
        <w:t xml:space="preserve">rtículo 211, </w:t>
      </w:r>
      <w:r w:rsidR="003E00F1">
        <w:rPr>
          <w:rFonts w:ascii="Arial" w:hAnsi="Arial" w:cs="Arial"/>
          <w:sz w:val="24"/>
          <w:szCs w:val="24"/>
        </w:rPr>
        <w:t>L</w:t>
      </w:r>
      <w:r>
        <w:rPr>
          <w:rFonts w:ascii="Arial" w:hAnsi="Arial" w:cs="Arial"/>
          <w:sz w:val="24"/>
          <w:szCs w:val="24"/>
        </w:rPr>
        <w:t>iteral B) de la Constitución de la República;</w:t>
      </w:r>
      <w:r>
        <w:rPr>
          <w:rFonts w:ascii="Arial" w:hAnsi="Arial" w:cs="Arial"/>
          <w:sz w:val="24"/>
          <w:szCs w:val="24"/>
        </w:rPr>
        <w:tab/>
      </w:r>
    </w:p>
    <w:p w:rsidR="00185F6A" w:rsidRDefault="00185F6A" w:rsidP="00144C09">
      <w:pPr>
        <w:spacing w:after="0" w:line="360" w:lineRule="auto"/>
        <w:jc w:val="center"/>
        <w:rPr>
          <w:rFonts w:ascii="Arial" w:hAnsi="Arial" w:cs="Arial"/>
          <w:sz w:val="24"/>
          <w:szCs w:val="24"/>
        </w:rPr>
      </w:pPr>
      <w:r>
        <w:rPr>
          <w:rFonts w:ascii="Arial" w:hAnsi="Arial" w:cs="Arial"/>
          <w:b/>
          <w:bCs/>
          <w:sz w:val="24"/>
          <w:szCs w:val="24"/>
        </w:rPr>
        <w:t>EL TRIBUNAL ACUERDA</w:t>
      </w:r>
      <w:r>
        <w:rPr>
          <w:rFonts w:ascii="Arial" w:hAnsi="Arial" w:cs="Arial"/>
          <w:sz w:val="24"/>
          <w:szCs w:val="24"/>
        </w:rPr>
        <w:t>:</w:t>
      </w:r>
    </w:p>
    <w:p w:rsidR="00185F6A" w:rsidRDefault="00185F6A" w:rsidP="00144C09">
      <w:pPr>
        <w:spacing w:after="0" w:line="360" w:lineRule="auto"/>
        <w:jc w:val="both"/>
        <w:rPr>
          <w:rFonts w:ascii="Arial" w:hAnsi="Arial" w:cs="Arial"/>
          <w:sz w:val="24"/>
          <w:szCs w:val="24"/>
        </w:rPr>
      </w:pPr>
      <w:r>
        <w:rPr>
          <w:rFonts w:ascii="Arial" w:hAnsi="Arial" w:cs="Arial"/>
          <w:b/>
          <w:bCs/>
          <w:sz w:val="24"/>
          <w:szCs w:val="24"/>
        </w:rPr>
        <w:t xml:space="preserve">1) </w:t>
      </w:r>
      <w:r>
        <w:rPr>
          <w:rFonts w:ascii="Arial" w:hAnsi="Arial" w:cs="Arial"/>
          <w:sz w:val="24"/>
          <w:szCs w:val="24"/>
        </w:rPr>
        <w:t>Expedirse en los términos del Considerando 5)</w:t>
      </w:r>
      <w:r w:rsidR="00144C09">
        <w:rPr>
          <w:rFonts w:ascii="Arial" w:hAnsi="Arial" w:cs="Arial"/>
          <w:sz w:val="24"/>
          <w:szCs w:val="24"/>
        </w:rPr>
        <w:t>;</w:t>
      </w:r>
    </w:p>
    <w:p w:rsidR="00185F6A" w:rsidRDefault="00185F6A" w:rsidP="00144C09">
      <w:pPr>
        <w:spacing w:after="0" w:line="360" w:lineRule="auto"/>
        <w:jc w:val="both"/>
        <w:rPr>
          <w:rFonts w:ascii="Arial" w:hAnsi="Arial" w:cs="Arial"/>
          <w:sz w:val="24"/>
          <w:szCs w:val="24"/>
        </w:rPr>
      </w:pPr>
      <w:r>
        <w:rPr>
          <w:rFonts w:ascii="Arial" w:hAnsi="Arial" w:cs="Arial"/>
          <w:b/>
          <w:bCs/>
          <w:sz w:val="24"/>
          <w:szCs w:val="24"/>
        </w:rPr>
        <w:t>2)</w:t>
      </w:r>
      <w:r>
        <w:rPr>
          <w:rFonts w:ascii="Arial" w:hAnsi="Arial" w:cs="Arial"/>
          <w:sz w:val="24"/>
          <w:szCs w:val="24"/>
        </w:rPr>
        <w:t xml:space="preserve"> Comuni</w:t>
      </w:r>
      <w:r w:rsidR="00144C09">
        <w:rPr>
          <w:rFonts w:ascii="Arial" w:hAnsi="Arial" w:cs="Arial"/>
          <w:sz w:val="24"/>
          <w:szCs w:val="24"/>
        </w:rPr>
        <w:t>car a la Administración actuante;</w:t>
      </w:r>
    </w:p>
    <w:p w:rsidR="00185F6A" w:rsidRDefault="00185F6A" w:rsidP="00144C09">
      <w:pPr>
        <w:spacing w:after="0" w:line="360" w:lineRule="auto"/>
        <w:jc w:val="both"/>
        <w:rPr>
          <w:rFonts w:ascii="Arial" w:hAnsi="Arial" w:cs="Arial"/>
          <w:sz w:val="24"/>
          <w:szCs w:val="24"/>
        </w:rPr>
      </w:pPr>
      <w:r>
        <w:rPr>
          <w:rFonts w:ascii="Arial" w:hAnsi="Arial" w:cs="Arial"/>
          <w:b/>
          <w:bCs/>
          <w:sz w:val="24"/>
          <w:szCs w:val="24"/>
        </w:rPr>
        <w:t>3)</w:t>
      </w:r>
      <w:r>
        <w:rPr>
          <w:rFonts w:ascii="Arial" w:hAnsi="Arial" w:cs="Arial"/>
          <w:sz w:val="24"/>
          <w:szCs w:val="24"/>
        </w:rPr>
        <w:t xml:space="preserve"> Devolver las actuaciones. </w:t>
      </w:r>
    </w:p>
    <w:p w:rsidR="00185F6A" w:rsidRDefault="00185F6A" w:rsidP="00144C09">
      <w:pPr>
        <w:spacing w:after="0" w:line="360" w:lineRule="auto"/>
        <w:jc w:val="both"/>
        <w:rPr>
          <w:rFonts w:ascii="Arial" w:hAnsi="Arial" w:cs="Arial"/>
          <w:sz w:val="24"/>
          <w:szCs w:val="24"/>
        </w:rPr>
      </w:pPr>
    </w:p>
    <w:p w:rsidR="00185F6A" w:rsidRDefault="00144C09" w:rsidP="00144C09">
      <w:pPr>
        <w:spacing w:after="0" w:line="360" w:lineRule="auto"/>
        <w:jc w:val="both"/>
        <w:rPr>
          <w:rFonts w:ascii="Arial" w:hAnsi="Arial" w:cs="Arial"/>
          <w:sz w:val="24"/>
          <w:szCs w:val="24"/>
        </w:rPr>
      </w:pPr>
      <w:r>
        <w:rPr>
          <w:rFonts w:ascii="Arial" w:hAnsi="Arial" w:cs="Arial"/>
          <w:sz w:val="24"/>
          <w:szCs w:val="24"/>
        </w:rPr>
        <w:t>bf</w:t>
      </w:r>
      <w:r w:rsidR="00185F6A">
        <w:rPr>
          <w:rFonts w:ascii="Arial" w:hAnsi="Arial" w:cs="Arial"/>
          <w:sz w:val="24"/>
          <w:szCs w:val="24"/>
        </w:rPr>
        <w:t xml:space="preserve">         </w:t>
      </w:r>
    </w:p>
    <w:p w:rsidR="00185F6A" w:rsidRDefault="00185F6A" w:rsidP="00144C09">
      <w:pPr>
        <w:spacing w:after="0" w:line="360" w:lineRule="auto"/>
        <w:jc w:val="both"/>
        <w:rPr>
          <w:rFonts w:ascii="Arial" w:hAnsi="Arial" w:cs="Arial"/>
          <w:sz w:val="24"/>
          <w:szCs w:val="24"/>
        </w:rPr>
      </w:pPr>
      <w:r>
        <w:rPr>
          <w:rFonts w:ascii="Arial" w:hAnsi="Arial" w:cs="Arial"/>
          <w:sz w:val="24"/>
          <w:szCs w:val="24"/>
        </w:rPr>
        <w:lastRenderedPageBreak/>
        <w:t xml:space="preserve">  </w:t>
      </w:r>
    </w:p>
    <w:p w:rsidR="00185F6A" w:rsidRDefault="00185F6A">
      <w:pPr>
        <w:jc w:val="both"/>
        <w:rPr>
          <w:rFonts w:ascii="Arial" w:hAnsi="Arial" w:cs="Arial"/>
          <w:sz w:val="24"/>
          <w:szCs w:val="24"/>
          <w:u w:val="single"/>
        </w:rPr>
      </w:pPr>
    </w:p>
    <w:sectPr w:rsidR="00185F6A" w:rsidSect="00C23688">
      <w:footerReference w:type="default" r:id="rId7"/>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688" w:rsidRDefault="00C23688" w:rsidP="00C23688">
      <w:pPr>
        <w:spacing w:after="0" w:line="240" w:lineRule="auto"/>
      </w:pPr>
      <w:r>
        <w:separator/>
      </w:r>
    </w:p>
  </w:endnote>
  <w:endnote w:type="continuationSeparator" w:id="0">
    <w:p w:rsidR="00C23688" w:rsidRDefault="00C23688" w:rsidP="00C23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909027"/>
      <w:docPartObj>
        <w:docPartGallery w:val="Page Numbers (Bottom of Page)"/>
        <w:docPartUnique/>
      </w:docPartObj>
    </w:sdtPr>
    <w:sdtContent>
      <w:p w:rsidR="00C23688" w:rsidRDefault="00C23688">
        <w:pPr>
          <w:pStyle w:val="Piedepgina"/>
          <w:jc w:val="center"/>
        </w:pPr>
        <w:r>
          <w:fldChar w:fldCharType="begin"/>
        </w:r>
        <w:r>
          <w:instrText>PAGE   \* MERGEFORMAT</w:instrText>
        </w:r>
        <w:r>
          <w:fldChar w:fldCharType="separate"/>
        </w:r>
        <w:r w:rsidRPr="00C23688">
          <w:rPr>
            <w:noProof/>
            <w:lang w:val="es-ES"/>
          </w:rPr>
          <w:t>1</w:t>
        </w:r>
        <w:r>
          <w:fldChar w:fldCharType="end"/>
        </w:r>
      </w:p>
    </w:sdtContent>
  </w:sdt>
  <w:p w:rsidR="00C23688" w:rsidRDefault="00C236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688" w:rsidRDefault="00C23688" w:rsidP="00C23688">
      <w:pPr>
        <w:spacing w:after="0" w:line="240" w:lineRule="auto"/>
      </w:pPr>
      <w:r>
        <w:separator/>
      </w:r>
    </w:p>
  </w:footnote>
  <w:footnote w:type="continuationSeparator" w:id="0">
    <w:p w:rsidR="00C23688" w:rsidRDefault="00C23688" w:rsidP="00C236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F6A"/>
    <w:rsid w:val="00144C09"/>
    <w:rsid w:val="00185F6A"/>
    <w:rsid w:val="003E00F1"/>
    <w:rsid w:val="00B446A7"/>
    <w:rsid w:val="00C23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Encabezado">
    <w:name w:val="header"/>
    <w:basedOn w:val="Normal"/>
    <w:link w:val="EncabezadoCar"/>
    <w:uiPriority w:val="99"/>
    <w:unhideWhenUsed/>
    <w:rsid w:val="00C236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3688"/>
    <w:rPr>
      <w:rFonts w:ascii="Calibri" w:hAnsi="Calibri" w:cs="Calibri"/>
      <w:lang w:val="es-UY"/>
    </w:rPr>
  </w:style>
  <w:style w:type="paragraph" w:styleId="Piedepgina">
    <w:name w:val="footer"/>
    <w:basedOn w:val="Normal"/>
    <w:link w:val="PiedepginaCar"/>
    <w:uiPriority w:val="99"/>
    <w:unhideWhenUsed/>
    <w:rsid w:val="00C236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3688"/>
    <w:rPr>
      <w:rFonts w:ascii="Calibri" w:hAnsi="Calibri" w:cs="Calibri"/>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Encabezado">
    <w:name w:val="header"/>
    <w:basedOn w:val="Normal"/>
    <w:link w:val="EncabezadoCar"/>
    <w:uiPriority w:val="99"/>
    <w:unhideWhenUsed/>
    <w:rsid w:val="00C236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3688"/>
    <w:rPr>
      <w:rFonts w:ascii="Calibri" w:hAnsi="Calibri" w:cs="Calibri"/>
      <w:lang w:val="es-UY"/>
    </w:rPr>
  </w:style>
  <w:style w:type="paragraph" w:styleId="Piedepgina">
    <w:name w:val="footer"/>
    <w:basedOn w:val="Normal"/>
    <w:link w:val="PiedepginaCar"/>
    <w:uiPriority w:val="99"/>
    <w:unhideWhenUsed/>
    <w:rsid w:val="00C236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3688"/>
    <w:rPr>
      <w:rFonts w:ascii="Calibri" w:hAnsi="Calibri" w:cs="Calibri"/>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1411</Words>
  <Characters>7613</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CARPETA N°: 2015-17-1-0005138</vt:lpstr>
    </vt:vector>
  </TitlesOfParts>
  <Company>Tribunal de Cuentas</Company>
  <LinksUpToDate>false</LinksUpToDate>
  <CharactersWithSpaces>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2015-17-1-0005138</dc:title>
  <dc:creator>MARIA ALEJANDRA ALVAREZ LOPEZ</dc:creator>
  <cp:lastModifiedBy>Tribunal1</cp:lastModifiedBy>
  <cp:revision>3</cp:revision>
  <cp:lastPrinted>2016-06-03T18:25:00Z</cp:lastPrinted>
  <dcterms:created xsi:type="dcterms:W3CDTF">2016-07-04T17:20:00Z</dcterms:created>
  <dcterms:modified xsi:type="dcterms:W3CDTF">2016-07-04T17:21:00Z</dcterms:modified>
</cp:coreProperties>
</file>