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DB" w:rsidRPr="00786EEB" w:rsidRDefault="002764DB" w:rsidP="002764DB">
      <w:pPr>
        <w:tabs>
          <w:tab w:val="center" w:pos="4253"/>
        </w:tabs>
        <w:suppressAutoHyphens/>
        <w:jc w:val="right"/>
        <w:rPr>
          <w:rFonts w:cs="Arial"/>
          <w:b/>
          <w:sz w:val="28"/>
          <w:szCs w:val="28"/>
          <w:lang w:val="es-ES_tradnl"/>
        </w:rPr>
      </w:pPr>
      <w:r w:rsidRPr="00786EEB">
        <w:rPr>
          <w:rFonts w:cs="Arial"/>
          <w:b/>
          <w:sz w:val="28"/>
          <w:szCs w:val="28"/>
          <w:lang w:val="es-ES_tradnl"/>
        </w:rPr>
        <w:t xml:space="preserve">RES. </w:t>
      </w:r>
      <w:r>
        <w:rPr>
          <w:rFonts w:cs="Arial"/>
          <w:b/>
          <w:sz w:val="28"/>
          <w:szCs w:val="28"/>
          <w:lang w:val="es-ES_tradnl"/>
        </w:rPr>
        <w:t>2191</w:t>
      </w:r>
      <w:r w:rsidRPr="00786EEB">
        <w:rPr>
          <w:rFonts w:cs="Arial"/>
          <w:b/>
          <w:sz w:val="28"/>
          <w:szCs w:val="28"/>
          <w:lang w:val="es-ES_tradnl"/>
        </w:rPr>
        <w:t>/16</w:t>
      </w:r>
    </w:p>
    <w:p w:rsidR="002764DB" w:rsidRDefault="002764DB" w:rsidP="002764DB">
      <w:pPr>
        <w:tabs>
          <w:tab w:val="center" w:pos="4253"/>
        </w:tabs>
        <w:suppressAutoHyphens/>
        <w:jc w:val="right"/>
        <w:rPr>
          <w:rFonts w:cs="Arial"/>
          <w:b/>
          <w:lang w:val="es-ES_tradnl"/>
        </w:rPr>
      </w:pPr>
    </w:p>
    <w:p w:rsidR="0009783D" w:rsidRDefault="0009783D">
      <w:pPr>
        <w:tabs>
          <w:tab w:val="center" w:pos="4253"/>
        </w:tabs>
        <w:suppressAutoHyphens/>
        <w:jc w:val="center"/>
        <w:rPr>
          <w:rFonts w:cs="Arial"/>
          <w:b/>
          <w:lang w:val="es-ES_tradnl"/>
        </w:rPr>
      </w:pPr>
    </w:p>
    <w:p w:rsidR="002764DB" w:rsidRPr="002764DB" w:rsidRDefault="002764DB">
      <w:pPr>
        <w:tabs>
          <w:tab w:val="center" w:pos="4253"/>
        </w:tabs>
        <w:suppressAutoHyphens/>
        <w:jc w:val="center"/>
        <w:rPr>
          <w:rFonts w:cs="Arial"/>
          <w:b/>
          <w:lang w:val="es-ES_tradnl"/>
        </w:rPr>
      </w:pPr>
      <w:r w:rsidRPr="002764DB">
        <w:rPr>
          <w:rFonts w:cs="Arial"/>
          <w:b/>
          <w:lang w:val="es-ES_tradnl"/>
        </w:rPr>
        <w:t>RESOLUCION ADOPTADA POR EL</w:t>
      </w:r>
    </w:p>
    <w:p w:rsidR="002764DB" w:rsidRPr="002764DB" w:rsidRDefault="002764DB">
      <w:pPr>
        <w:tabs>
          <w:tab w:val="left" w:pos="-720"/>
        </w:tabs>
        <w:suppressAutoHyphens/>
        <w:jc w:val="center"/>
        <w:rPr>
          <w:rFonts w:cs="Arial"/>
          <w:b/>
          <w:lang w:val="es-ES_tradnl"/>
        </w:rPr>
      </w:pPr>
    </w:p>
    <w:p w:rsidR="002764DB" w:rsidRPr="002764DB" w:rsidRDefault="002764DB">
      <w:pPr>
        <w:tabs>
          <w:tab w:val="center" w:pos="4253"/>
        </w:tabs>
        <w:suppressAutoHyphens/>
        <w:jc w:val="center"/>
        <w:rPr>
          <w:rFonts w:cs="Arial"/>
          <w:b/>
          <w:lang w:val="es-ES_tradnl"/>
        </w:rPr>
      </w:pPr>
      <w:r w:rsidRPr="002764DB">
        <w:rPr>
          <w:rFonts w:cs="Arial"/>
          <w:b/>
          <w:lang w:val="es-ES_tradnl"/>
        </w:rPr>
        <w:t>TRIBUNAL DE CUENTAS</w:t>
      </w:r>
    </w:p>
    <w:p w:rsidR="002764DB" w:rsidRPr="002764DB" w:rsidRDefault="002764DB">
      <w:pPr>
        <w:tabs>
          <w:tab w:val="left" w:pos="-720"/>
        </w:tabs>
        <w:suppressAutoHyphens/>
        <w:jc w:val="center"/>
        <w:rPr>
          <w:rFonts w:cs="Arial"/>
          <w:b/>
          <w:lang w:val="es-ES_tradnl"/>
        </w:rPr>
      </w:pPr>
    </w:p>
    <w:p w:rsidR="002764DB" w:rsidRPr="002764DB" w:rsidRDefault="002764DB">
      <w:pPr>
        <w:tabs>
          <w:tab w:val="center" w:pos="4253"/>
        </w:tabs>
        <w:suppressAutoHyphens/>
        <w:jc w:val="center"/>
        <w:rPr>
          <w:rFonts w:cs="Arial"/>
          <w:b/>
          <w:lang w:val="es-ES_tradnl"/>
        </w:rPr>
      </w:pPr>
      <w:r w:rsidRPr="002764DB">
        <w:rPr>
          <w:rFonts w:cs="Arial"/>
          <w:b/>
          <w:lang w:val="es-ES_tradnl"/>
        </w:rPr>
        <w:t>EN SESION DE FECHA 22 DE JUNIO DE 2016</w:t>
      </w:r>
    </w:p>
    <w:p w:rsidR="002764DB" w:rsidRPr="002764DB" w:rsidRDefault="002764DB">
      <w:pPr>
        <w:tabs>
          <w:tab w:val="center" w:pos="4253"/>
        </w:tabs>
        <w:suppressAutoHyphens/>
        <w:jc w:val="center"/>
        <w:rPr>
          <w:rFonts w:cs="Arial"/>
          <w:b/>
          <w:lang w:val="es-ES_tradnl"/>
        </w:rPr>
      </w:pPr>
    </w:p>
    <w:p w:rsidR="002764DB" w:rsidRPr="003C12EF" w:rsidRDefault="002764DB">
      <w:pPr>
        <w:tabs>
          <w:tab w:val="center" w:pos="4253"/>
        </w:tabs>
        <w:suppressAutoHyphens/>
        <w:jc w:val="center"/>
        <w:rPr>
          <w:rFonts w:cs="Arial"/>
          <w:b/>
          <w:lang w:val="es-UY"/>
        </w:rPr>
      </w:pPr>
      <w:r w:rsidRPr="003C12EF">
        <w:rPr>
          <w:rFonts w:cs="Arial"/>
          <w:b/>
          <w:lang w:val="es-UY"/>
        </w:rPr>
        <w:t xml:space="preserve">(E. E. Nº </w:t>
      </w:r>
      <w:r w:rsidRPr="002764DB">
        <w:rPr>
          <w:rFonts w:cs="Arial"/>
          <w:b/>
        </w:rPr>
        <w:t>2016-17-1-0003879</w:t>
      </w:r>
      <w:r w:rsidRPr="003C12EF">
        <w:rPr>
          <w:rFonts w:cs="Arial"/>
          <w:b/>
          <w:lang w:val="es-UY"/>
        </w:rPr>
        <w:t xml:space="preserve">, Ent. N° </w:t>
      </w:r>
      <w:r w:rsidRPr="002764DB">
        <w:rPr>
          <w:rFonts w:cs="Arial"/>
          <w:b/>
          <w:bCs/>
        </w:rPr>
        <w:t>2953/16</w:t>
      </w:r>
      <w:r w:rsidRPr="003C12EF">
        <w:rPr>
          <w:rFonts w:cs="Arial"/>
          <w:b/>
          <w:lang w:val="es-UY"/>
        </w:rPr>
        <w:t>)</w:t>
      </w:r>
    </w:p>
    <w:p w:rsidR="002764DB" w:rsidRPr="003C12EF" w:rsidRDefault="002764DB">
      <w:pPr>
        <w:tabs>
          <w:tab w:val="center" w:pos="4253"/>
        </w:tabs>
        <w:suppressAutoHyphens/>
        <w:jc w:val="center"/>
        <w:rPr>
          <w:rFonts w:cs="Arial"/>
          <w:b/>
          <w:lang w:val="es-UY"/>
        </w:rPr>
      </w:pPr>
      <w:bookmarkStart w:id="0" w:name="_GoBack"/>
      <w:bookmarkEnd w:id="0"/>
    </w:p>
    <w:p w:rsidR="002764DB" w:rsidRPr="003C12EF" w:rsidRDefault="002764DB" w:rsidP="002764DB">
      <w:pPr>
        <w:tabs>
          <w:tab w:val="center" w:pos="4253"/>
        </w:tabs>
        <w:suppressAutoHyphens/>
        <w:jc w:val="right"/>
        <w:rPr>
          <w:spacing w:val="-3"/>
          <w:lang w:val="es-UY"/>
        </w:rPr>
      </w:pPr>
    </w:p>
    <w:p w:rsidR="0009783D" w:rsidRPr="003C12EF" w:rsidRDefault="0009783D" w:rsidP="002764DB">
      <w:pPr>
        <w:tabs>
          <w:tab w:val="center" w:pos="4253"/>
        </w:tabs>
        <w:suppressAutoHyphens/>
        <w:jc w:val="right"/>
        <w:rPr>
          <w:spacing w:val="-3"/>
          <w:lang w:val="es-UY"/>
        </w:rPr>
      </w:pPr>
    </w:p>
    <w:p w:rsidR="00965157" w:rsidRDefault="00965157" w:rsidP="002764DB">
      <w:pPr>
        <w:spacing w:line="360" w:lineRule="auto"/>
        <w:ind w:firstLine="851"/>
        <w:jc w:val="both"/>
      </w:pPr>
      <w:r>
        <w:rPr>
          <w:b/>
          <w:bCs/>
        </w:rPr>
        <w:t>VISTO:</w:t>
      </w:r>
      <w:r>
        <w:t xml:space="preserve"> estas actuaciones remitidas por el Ministerio de Industria, Energía y Minería (MIEM) relacionadas con el convenio de cooperación celebrado con la </w:t>
      </w:r>
      <w:r>
        <w:rPr>
          <w:spacing w:val="-3"/>
          <w:lang w:val="es-ES_tradnl"/>
        </w:rPr>
        <w:t>Administración Nacional de Combustibles</w:t>
      </w:r>
      <w:r w:rsidR="003C12EF">
        <w:rPr>
          <w:spacing w:val="-3"/>
          <w:lang w:val="es-ES_tradnl"/>
        </w:rPr>
        <w:t>,</w:t>
      </w:r>
      <w:r>
        <w:rPr>
          <w:spacing w:val="-3"/>
          <w:lang w:val="es-ES_tradnl"/>
        </w:rPr>
        <w:t xml:space="preserve"> Alcohol y P</w:t>
      </w:r>
      <w:r w:rsidR="003C12EF">
        <w:rPr>
          <w:spacing w:val="-3"/>
          <w:lang w:val="es-ES_tradnl"/>
        </w:rPr>
        <w:t>o</w:t>
      </w:r>
      <w:r>
        <w:rPr>
          <w:spacing w:val="-3"/>
          <w:lang w:val="es-ES_tradnl"/>
        </w:rPr>
        <w:t>rtland (ANCAP);</w:t>
      </w:r>
      <w:r>
        <w:t xml:space="preserve"> </w:t>
      </w:r>
    </w:p>
    <w:p w:rsidR="00965157" w:rsidRDefault="00965157" w:rsidP="002764DB">
      <w:pPr>
        <w:pStyle w:val="Sangradetextonormal"/>
        <w:widowControl w:val="0"/>
        <w:tabs>
          <w:tab w:val="left" w:pos="1843"/>
        </w:tabs>
        <w:ind w:firstLine="851"/>
        <w:jc w:val="both"/>
      </w:pPr>
      <w:r>
        <w:rPr>
          <w:b/>
          <w:bCs/>
        </w:rPr>
        <w:t>RESULTANDO:</w:t>
      </w:r>
      <w:r>
        <w:t xml:space="preserve"> </w:t>
      </w:r>
      <w:r>
        <w:rPr>
          <w:b/>
          <w:bCs/>
        </w:rPr>
        <w:t xml:space="preserve">1) </w:t>
      </w:r>
      <w:r>
        <w:t>que  por Resolución del MIEM de fecha 19 de mayo de 2016, se aprobó, ad referéndum de la intervención de este Tribunal, la celebración de un convenio marco con ANCAP, con el objeto de generar un marco institucional propicio para el desarrollo de cooperación mutua entre ambas partes, tanto profesional como logística, así como aqu</w:t>
      </w:r>
      <w:r w:rsidR="003C12EF">
        <w:t>é</w:t>
      </w:r>
      <w:r>
        <w:t>lla que implique la utilización de elementos de infraestructura de las mismas, suministrándose apoyo técnico mediante colaboración profesional de su personal calificado;</w:t>
      </w:r>
    </w:p>
    <w:p w:rsidR="00965157" w:rsidRDefault="00965157" w:rsidP="002764DB">
      <w:pPr>
        <w:pStyle w:val="Sangradetextonormal"/>
        <w:widowControl w:val="0"/>
        <w:tabs>
          <w:tab w:val="left" w:pos="2835"/>
        </w:tabs>
        <w:ind w:firstLine="0"/>
        <w:jc w:val="both"/>
      </w:pPr>
      <w:r>
        <w:tab/>
      </w:r>
      <w:r>
        <w:rPr>
          <w:b/>
        </w:rPr>
        <w:t>2)</w:t>
      </w:r>
      <w:r>
        <w:t xml:space="preserve"> que en tal sentido, se remite convenio celebrado con fecha 25 de mayo de 2016 entre el MIEM y ANCAP</w:t>
      </w:r>
      <w:r w:rsidR="003C12EF">
        <w:t>,</w:t>
      </w:r>
      <w:r>
        <w:t xml:space="preserve"> cuyo objeto es el señalado en el </w:t>
      </w:r>
      <w:r w:rsidR="0009783D">
        <w:t>N</w:t>
      </w:r>
      <w:r>
        <w:t xml:space="preserve">umeral anterior, en el que se establece que para la ejecución del mismo, las partes aproximarán sus voluntades para arribar a acuerdos específicos que consideren oportuno celebrar; </w:t>
      </w:r>
    </w:p>
    <w:p w:rsidR="0009783D" w:rsidRDefault="00965157" w:rsidP="002764DB">
      <w:pPr>
        <w:pStyle w:val="Sangradetextonormal"/>
        <w:widowControl w:val="0"/>
        <w:tabs>
          <w:tab w:val="left" w:pos="2835"/>
        </w:tabs>
        <w:ind w:firstLine="2835"/>
        <w:jc w:val="both"/>
      </w:pPr>
      <w:r>
        <w:rPr>
          <w:b/>
          <w:bCs/>
        </w:rPr>
        <w:t>3)</w:t>
      </w:r>
      <w:r>
        <w:t xml:space="preserve"> que se est</w:t>
      </w:r>
      <w:r w:rsidR="003C12EF">
        <w:t>ablece que el personal del MIEM</w:t>
      </w:r>
      <w:r>
        <w:t xml:space="preserve"> deberá reportar a la Dirección General de Secretar</w:t>
      </w:r>
      <w:r w:rsidR="003C12EF">
        <w:t>í</w:t>
      </w:r>
      <w:r>
        <w:t>a de dicho Inciso y</w:t>
      </w:r>
      <w:r w:rsidR="003C12EF">
        <w:t xml:space="preserve"> al Secretario General de ANCAP</w:t>
      </w:r>
      <w:r>
        <w:t xml:space="preserve"> el desarrollo de las actividades que desempeñe a los efectos del cumplimiento del convenio, así como la logística de las tareas </w:t>
      </w:r>
    </w:p>
    <w:p w:rsidR="0009783D" w:rsidRDefault="0009783D" w:rsidP="002764DB">
      <w:pPr>
        <w:pStyle w:val="Sangradetextonormal"/>
        <w:widowControl w:val="0"/>
        <w:tabs>
          <w:tab w:val="left" w:pos="2835"/>
        </w:tabs>
        <w:ind w:firstLine="2835"/>
        <w:jc w:val="both"/>
      </w:pPr>
    </w:p>
    <w:p w:rsidR="002764DB" w:rsidRDefault="00965157" w:rsidP="0009783D">
      <w:pPr>
        <w:pStyle w:val="Sangradetextonormal"/>
        <w:widowControl w:val="0"/>
        <w:tabs>
          <w:tab w:val="left" w:pos="2835"/>
        </w:tabs>
        <w:ind w:firstLine="0"/>
        <w:jc w:val="both"/>
      </w:pPr>
      <w:r>
        <w:lastRenderedPageBreak/>
        <w:t>a realizar y la infraestructura necesaria par</w:t>
      </w:r>
      <w:r w:rsidR="002764DB">
        <w:t>a</w:t>
      </w:r>
      <w:r>
        <w:t xml:space="preserve"> ello;</w:t>
      </w:r>
    </w:p>
    <w:p w:rsidR="00965157" w:rsidRDefault="00965157" w:rsidP="002764DB">
      <w:pPr>
        <w:pStyle w:val="Sangradetextonormal"/>
        <w:widowControl w:val="0"/>
        <w:tabs>
          <w:tab w:val="left" w:pos="2835"/>
        </w:tabs>
        <w:ind w:firstLine="2835"/>
        <w:jc w:val="both"/>
      </w:pPr>
      <w:r>
        <w:rPr>
          <w:b/>
          <w:bCs/>
        </w:rPr>
        <w:t>4)</w:t>
      </w:r>
      <w:r>
        <w:t xml:space="preserve"> que se establece que el convenio marco referido, tendrá un plazo de vigencia de  4 años y podrá renovarse por el período que se entienda conveniente, siempre que medie acuerdo de partes. El convenio podrá ser rescindido por cualquiera de las partes, siempre que mediare comunicación fehaciente a la contraparte, con una antelación de 60 días al plazo de vencimiento, o cualquiera de su</w:t>
      </w:r>
      <w:r w:rsidR="002764DB">
        <w:t>s</w:t>
      </w:r>
      <w:r>
        <w:t xml:space="preserve"> renovaciones;</w:t>
      </w:r>
      <w:r>
        <w:tab/>
        <w:t xml:space="preserve"> </w:t>
      </w:r>
    </w:p>
    <w:p w:rsidR="00965157" w:rsidRDefault="00965157" w:rsidP="002764DB">
      <w:pPr>
        <w:spacing w:line="360" w:lineRule="auto"/>
        <w:ind w:firstLine="851"/>
        <w:jc w:val="both"/>
        <w:rPr>
          <w:bCs/>
        </w:rPr>
      </w:pPr>
      <w:r>
        <w:rPr>
          <w:b/>
          <w:bCs/>
        </w:rPr>
        <w:t>CONSIDERANDO:</w:t>
      </w:r>
      <w:r>
        <w:rPr>
          <w:i/>
          <w:iCs/>
        </w:rPr>
        <w:t xml:space="preserve"> </w:t>
      </w:r>
      <w:r>
        <w:rPr>
          <w:b/>
        </w:rPr>
        <w:t xml:space="preserve">1) </w:t>
      </w:r>
      <w:r>
        <w:rPr>
          <w:bCs/>
        </w:rPr>
        <w:t xml:space="preserve">que el </w:t>
      </w:r>
      <w:r w:rsidR="0009783D">
        <w:rPr>
          <w:bCs/>
        </w:rPr>
        <w:t>A</w:t>
      </w:r>
      <w:r>
        <w:rPr>
          <w:bCs/>
        </w:rPr>
        <w:t>rt</w:t>
      </w:r>
      <w:r w:rsidR="0009783D">
        <w:rPr>
          <w:bCs/>
        </w:rPr>
        <w:t>ículo</w:t>
      </w:r>
      <w:r>
        <w:rPr>
          <w:bCs/>
        </w:rPr>
        <w:t xml:space="preserve"> 8º </w:t>
      </w:r>
      <w:r w:rsidR="0009783D">
        <w:rPr>
          <w:bCs/>
        </w:rPr>
        <w:t>N</w:t>
      </w:r>
      <w:r>
        <w:rPr>
          <w:bCs/>
        </w:rPr>
        <w:t>umeral 3) del Decreto 574/974 establece que al Ministerio de Industria, Energía y Minería corresponde lo concerniente al fomento de las industrias y del turismo y desarrollo de las fuentes de energía;</w:t>
      </w:r>
    </w:p>
    <w:p w:rsidR="00965157" w:rsidRDefault="00965157" w:rsidP="002764DB">
      <w:pPr>
        <w:tabs>
          <w:tab w:val="left" w:pos="3119"/>
        </w:tabs>
        <w:spacing w:line="360" w:lineRule="auto"/>
        <w:ind w:firstLine="3119"/>
        <w:jc w:val="both"/>
        <w:rPr>
          <w:bCs/>
        </w:rPr>
      </w:pPr>
      <w:r>
        <w:rPr>
          <w:b/>
          <w:bCs/>
        </w:rPr>
        <w:t xml:space="preserve">2) </w:t>
      </w:r>
      <w:r>
        <w:rPr>
          <w:bCs/>
        </w:rPr>
        <w:t xml:space="preserve">que según dispone el </w:t>
      </w:r>
      <w:r w:rsidR="0009783D">
        <w:rPr>
          <w:bCs/>
        </w:rPr>
        <w:t>A</w:t>
      </w:r>
      <w:r>
        <w:rPr>
          <w:bCs/>
        </w:rPr>
        <w:t xml:space="preserve">rticulo1º de la </w:t>
      </w:r>
      <w:r w:rsidR="0009783D">
        <w:rPr>
          <w:bCs/>
        </w:rPr>
        <w:t>L</w:t>
      </w:r>
      <w:r>
        <w:rPr>
          <w:bCs/>
        </w:rPr>
        <w:t>ey 8.764,  ANCAP tiene, entre otros cometidos,  explotar y administrar el monopolio de alcohol y carburante nacional y de importar, rectificar y vender petróleo y sus derivados;</w:t>
      </w:r>
    </w:p>
    <w:p w:rsidR="00965157" w:rsidRDefault="00965157" w:rsidP="002764DB">
      <w:pPr>
        <w:spacing w:line="360" w:lineRule="auto"/>
        <w:ind w:firstLine="3119"/>
        <w:jc w:val="both"/>
      </w:pPr>
      <w:r>
        <w:rPr>
          <w:b/>
          <w:bCs/>
          <w:lang w:val="es-MX"/>
        </w:rPr>
        <w:t xml:space="preserve">3) </w:t>
      </w:r>
      <w:r>
        <w:rPr>
          <w:lang w:val="es-MX"/>
        </w:rPr>
        <w:t xml:space="preserve">que el procedimiento directo seguido para la selección del co-contratante, atendiendo a la naturaleza jurídica de las partes del convenio, encuadra en la causal de excepción establecida por el </w:t>
      </w:r>
      <w:r w:rsidR="0009783D">
        <w:rPr>
          <w:lang w:val="es-MX"/>
        </w:rPr>
        <w:t>Nume</w:t>
      </w:r>
      <w:r>
        <w:rPr>
          <w:lang w:val="es-MX"/>
        </w:rPr>
        <w:t xml:space="preserve">ral 1) del </w:t>
      </w:r>
      <w:r w:rsidR="0009783D">
        <w:rPr>
          <w:lang w:val="es-MX"/>
        </w:rPr>
        <w:t>L</w:t>
      </w:r>
      <w:r>
        <w:rPr>
          <w:lang w:val="es-MX"/>
        </w:rPr>
        <w:t>it</w:t>
      </w:r>
      <w:r w:rsidR="0009783D">
        <w:rPr>
          <w:lang w:val="es-MX"/>
        </w:rPr>
        <w:t>eral</w:t>
      </w:r>
      <w:r>
        <w:rPr>
          <w:lang w:val="es-MX"/>
        </w:rPr>
        <w:t xml:space="preserve"> </w:t>
      </w:r>
      <w:r w:rsidR="0009783D">
        <w:rPr>
          <w:lang w:val="es-MX"/>
        </w:rPr>
        <w:t>C</w:t>
      </w:r>
      <w:r>
        <w:rPr>
          <w:lang w:val="es-MX"/>
        </w:rPr>
        <w:t xml:space="preserve">) </w:t>
      </w:r>
      <w:r w:rsidR="0009783D">
        <w:rPr>
          <w:lang w:val="es-MX"/>
        </w:rPr>
        <w:t>A</w:t>
      </w:r>
      <w:r>
        <w:rPr>
          <w:lang w:val="es-MX"/>
        </w:rPr>
        <w:t>rt</w:t>
      </w:r>
      <w:r w:rsidR="0009783D">
        <w:rPr>
          <w:lang w:val="es-MX"/>
        </w:rPr>
        <w:t>ículo</w:t>
      </w:r>
      <w:r>
        <w:rPr>
          <w:lang w:val="es-MX"/>
        </w:rPr>
        <w:t xml:space="preserve"> 33 del TOCAF;</w:t>
      </w:r>
      <w:r>
        <w:rPr>
          <w:bCs/>
        </w:rPr>
        <w:t xml:space="preserve">       </w:t>
      </w:r>
    </w:p>
    <w:p w:rsidR="002764DB" w:rsidRDefault="00965157" w:rsidP="002764DB">
      <w:pPr>
        <w:pStyle w:val="Sangradetextonormal"/>
        <w:widowControl w:val="0"/>
        <w:tabs>
          <w:tab w:val="left" w:pos="1843"/>
        </w:tabs>
        <w:ind w:firstLine="851"/>
        <w:jc w:val="both"/>
      </w:pPr>
      <w:r>
        <w:rPr>
          <w:rFonts w:cs="Arial"/>
          <w:b/>
          <w:bCs/>
        </w:rPr>
        <w:t xml:space="preserve">ATENTO: </w:t>
      </w:r>
      <w:r>
        <w:rPr>
          <w:rFonts w:cs="Arial"/>
        </w:rPr>
        <w:t xml:space="preserve">a lo precedentemente expuesto y a lo determinado por el </w:t>
      </w:r>
      <w:r w:rsidR="0009783D">
        <w:rPr>
          <w:rFonts w:cs="Arial"/>
        </w:rPr>
        <w:t>A</w:t>
      </w:r>
      <w:r>
        <w:rPr>
          <w:rFonts w:cs="Arial"/>
        </w:rPr>
        <w:t>rt</w:t>
      </w:r>
      <w:r w:rsidR="0009783D">
        <w:rPr>
          <w:rFonts w:cs="Arial"/>
        </w:rPr>
        <w:t>ículo</w:t>
      </w:r>
      <w:r>
        <w:rPr>
          <w:rFonts w:cs="Arial"/>
        </w:rPr>
        <w:t xml:space="preserve"> 211</w:t>
      </w:r>
      <w:r>
        <w:t xml:space="preserve"> </w:t>
      </w:r>
      <w:r w:rsidR="0009783D">
        <w:t>L</w:t>
      </w:r>
      <w:r>
        <w:t>iteral B) de l</w:t>
      </w:r>
      <w:r w:rsidR="002764DB">
        <w:t>a Constitución de la República,</w:t>
      </w:r>
    </w:p>
    <w:p w:rsidR="00965157" w:rsidRPr="002764DB" w:rsidRDefault="00965157" w:rsidP="002764DB">
      <w:pPr>
        <w:pStyle w:val="Sangradetextonormal"/>
        <w:widowControl w:val="0"/>
        <w:tabs>
          <w:tab w:val="left" w:pos="1843"/>
        </w:tabs>
        <w:ind w:firstLine="0"/>
        <w:jc w:val="center"/>
      </w:pPr>
      <w:r>
        <w:rPr>
          <w:rFonts w:cs="Arial"/>
          <w:b/>
          <w:bCs/>
        </w:rPr>
        <w:t>EL TRIBUNAL ACUERDA:</w:t>
      </w:r>
    </w:p>
    <w:p w:rsidR="00965157" w:rsidRDefault="00965157" w:rsidP="002764DB">
      <w:pPr>
        <w:numPr>
          <w:ilvl w:val="0"/>
          <w:numId w:val="1"/>
        </w:numPr>
        <w:tabs>
          <w:tab w:val="clear" w:pos="600"/>
          <w:tab w:val="num" w:pos="284"/>
        </w:tabs>
        <w:spacing w:line="360" w:lineRule="auto"/>
        <w:ind w:left="0" w:firstLine="0"/>
        <w:jc w:val="both"/>
        <w:rPr>
          <w:rFonts w:cs="Arial"/>
        </w:rPr>
      </w:pPr>
      <w:r>
        <w:rPr>
          <w:rFonts w:cs="Arial"/>
        </w:rPr>
        <w:t>No formular observaciones al convenio marco remitido;</w:t>
      </w:r>
    </w:p>
    <w:p w:rsidR="00965157" w:rsidRPr="0009783D" w:rsidRDefault="00965157" w:rsidP="002764DB">
      <w:pPr>
        <w:numPr>
          <w:ilvl w:val="0"/>
          <w:numId w:val="1"/>
        </w:numPr>
        <w:tabs>
          <w:tab w:val="clear" w:pos="600"/>
          <w:tab w:val="num" w:pos="284"/>
        </w:tabs>
        <w:spacing w:line="360" w:lineRule="auto"/>
        <w:ind w:left="284" w:hanging="284"/>
        <w:jc w:val="both"/>
        <w:rPr>
          <w:rFonts w:cs="Arial"/>
        </w:rPr>
      </w:pPr>
      <w:r>
        <w:rPr>
          <w:rFonts w:cs="Arial"/>
        </w:rPr>
        <w:t xml:space="preserve">Señalar que los eventuales gastos que se deriven de acuerdos específicos celebrados en ejecución del presente  convenio, </w:t>
      </w:r>
      <w:r>
        <w:t>deberán ser remitidos  para la intervención de este Tribunal o de su Contador Auditor, según corresponda en función de  su naturaleza y/o monto;</w:t>
      </w:r>
    </w:p>
    <w:p w:rsidR="0009783D" w:rsidRDefault="0009783D" w:rsidP="0009783D">
      <w:pPr>
        <w:spacing w:line="360" w:lineRule="auto"/>
        <w:ind w:left="284"/>
        <w:jc w:val="both"/>
      </w:pPr>
    </w:p>
    <w:p w:rsidR="0009783D" w:rsidRDefault="0009783D" w:rsidP="0009783D">
      <w:pPr>
        <w:spacing w:line="360" w:lineRule="auto"/>
        <w:ind w:left="284"/>
        <w:jc w:val="both"/>
      </w:pPr>
    </w:p>
    <w:p w:rsidR="0009783D" w:rsidRDefault="0009783D" w:rsidP="0009783D">
      <w:pPr>
        <w:spacing w:line="360" w:lineRule="auto"/>
        <w:ind w:left="284"/>
        <w:jc w:val="both"/>
      </w:pPr>
    </w:p>
    <w:p w:rsidR="0009783D" w:rsidRDefault="0009783D" w:rsidP="0009783D">
      <w:pPr>
        <w:spacing w:line="360" w:lineRule="auto"/>
        <w:ind w:left="284"/>
        <w:jc w:val="both"/>
      </w:pPr>
    </w:p>
    <w:p w:rsidR="0009783D" w:rsidRDefault="0009783D" w:rsidP="0009783D">
      <w:pPr>
        <w:spacing w:line="360" w:lineRule="auto"/>
        <w:ind w:left="284"/>
        <w:jc w:val="both"/>
        <w:rPr>
          <w:rFonts w:cs="Arial"/>
        </w:rPr>
      </w:pPr>
    </w:p>
    <w:p w:rsidR="00965157" w:rsidRDefault="00965157" w:rsidP="002764DB">
      <w:pPr>
        <w:numPr>
          <w:ilvl w:val="0"/>
          <w:numId w:val="1"/>
        </w:numPr>
        <w:tabs>
          <w:tab w:val="clear" w:pos="600"/>
          <w:tab w:val="num" w:pos="284"/>
        </w:tabs>
        <w:spacing w:line="360" w:lineRule="auto"/>
        <w:ind w:left="0" w:firstLine="0"/>
        <w:jc w:val="both"/>
        <w:rPr>
          <w:rFonts w:cs="Arial"/>
        </w:rPr>
      </w:pPr>
      <w:r>
        <w:rPr>
          <w:rFonts w:cs="Arial"/>
        </w:rPr>
        <w:t>Comunicar al Contador Auditor;</w:t>
      </w:r>
    </w:p>
    <w:p w:rsidR="00965157" w:rsidRDefault="00965157" w:rsidP="002764DB">
      <w:pPr>
        <w:numPr>
          <w:ilvl w:val="0"/>
          <w:numId w:val="1"/>
        </w:numPr>
        <w:tabs>
          <w:tab w:val="clear" w:pos="600"/>
          <w:tab w:val="num" w:pos="284"/>
        </w:tabs>
        <w:spacing w:line="360" w:lineRule="auto"/>
        <w:ind w:left="0" w:firstLine="0"/>
        <w:jc w:val="both"/>
        <w:rPr>
          <w:rFonts w:cs="Arial"/>
        </w:rPr>
      </w:pPr>
      <w:r>
        <w:rPr>
          <w:rFonts w:cs="Arial"/>
        </w:rPr>
        <w:t>Devolver las actuaciones.</w:t>
      </w:r>
    </w:p>
    <w:p w:rsidR="00965157" w:rsidRDefault="00965157" w:rsidP="002764DB">
      <w:pPr>
        <w:spacing w:line="360" w:lineRule="auto"/>
        <w:jc w:val="both"/>
        <w:rPr>
          <w:rFonts w:cs="Arial"/>
        </w:rPr>
      </w:pPr>
    </w:p>
    <w:p w:rsidR="0009783D" w:rsidRDefault="0009783D" w:rsidP="002764DB">
      <w:pPr>
        <w:spacing w:line="360" w:lineRule="auto"/>
        <w:jc w:val="both"/>
        <w:rPr>
          <w:rFonts w:cs="Arial"/>
        </w:rPr>
      </w:pPr>
    </w:p>
    <w:p w:rsidR="0009783D" w:rsidRDefault="0009783D" w:rsidP="002764DB">
      <w:pPr>
        <w:spacing w:line="360" w:lineRule="auto"/>
        <w:jc w:val="both"/>
        <w:rPr>
          <w:rFonts w:cs="Arial"/>
        </w:rPr>
      </w:pPr>
    </w:p>
    <w:p w:rsidR="00B72D87" w:rsidRDefault="002764DB" w:rsidP="002764DB">
      <w:pPr>
        <w:spacing w:line="360" w:lineRule="auto"/>
        <w:jc w:val="both"/>
      </w:pPr>
      <w:r>
        <w:rPr>
          <w:rFonts w:cs="Arial"/>
        </w:rPr>
        <w:t>bf</w:t>
      </w:r>
    </w:p>
    <w:sectPr w:rsidR="00B72D87" w:rsidSect="004A2A4D">
      <w:footerReference w:type="even" r:id="rId9"/>
      <w:footerReference w:type="default" r:id="rId10"/>
      <w:pgSz w:w="11906" w:h="16838" w:code="9"/>
      <w:pgMar w:top="3402"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DB" w:rsidRDefault="002764DB">
      <w:r>
        <w:separator/>
      </w:r>
    </w:p>
  </w:endnote>
  <w:endnote w:type="continuationSeparator" w:id="0">
    <w:p w:rsidR="002764DB" w:rsidRDefault="0027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DB" w:rsidRDefault="002764D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764DB" w:rsidRDefault="002764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DB" w:rsidRDefault="002764D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2A4D">
      <w:rPr>
        <w:rStyle w:val="Nmerodepgina"/>
        <w:noProof/>
      </w:rPr>
      <w:t>1</w:t>
    </w:r>
    <w:r>
      <w:rPr>
        <w:rStyle w:val="Nmerodepgina"/>
      </w:rPr>
      <w:fldChar w:fldCharType="end"/>
    </w:r>
  </w:p>
  <w:p w:rsidR="002764DB" w:rsidRDefault="002764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DB" w:rsidRDefault="002764DB">
      <w:r>
        <w:separator/>
      </w:r>
    </w:p>
  </w:footnote>
  <w:footnote w:type="continuationSeparator" w:id="0">
    <w:p w:rsidR="002764DB" w:rsidRDefault="00276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BD6C70B6"/>
    <w:lvl w:ilvl="0" w:tplc="5812385A">
      <w:start w:val="1"/>
      <w:numFmt w:val="decimal"/>
      <w:lvlText w:val="%1)"/>
      <w:lvlJc w:val="left"/>
      <w:pPr>
        <w:tabs>
          <w:tab w:val="num" w:pos="600"/>
        </w:tabs>
        <w:ind w:left="60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57"/>
    <w:rsid w:val="0009783D"/>
    <w:rsid w:val="002764DB"/>
    <w:rsid w:val="003C12EF"/>
    <w:rsid w:val="004A2A4D"/>
    <w:rsid w:val="0054524E"/>
    <w:rsid w:val="00965157"/>
    <w:rsid w:val="00B72D87"/>
    <w:rsid w:val="00DC70DC"/>
    <w:rsid w:val="00FC62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5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96515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5157"/>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965157"/>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965157"/>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965157"/>
    <w:pPr>
      <w:spacing w:line="360" w:lineRule="auto"/>
      <w:ind w:firstLine="1134"/>
    </w:pPr>
  </w:style>
  <w:style w:type="character" w:customStyle="1" w:styleId="SangradetextonormalCar">
    <w:name w:val="Sangría de texto normal Car"/>
    <w:basedOn w:val="Fuentedeprrafopredeter"/>
    <w:link w:val="Sangradetextonormal"/>
    <w:semiHidden/>
    <w:rsid w:val="00965157"/>
    <w:rPr>
      <w:rFonts w:ascii="Arial" w:eastAsia="Times New Roman" w:hAnsi="Arial" w:cs="Times New Roman"/>
      <w:sz w:val="24"/>
      <w:szCs w:val="24"/>
      <w:lang w:eastAsia="es-ES"/>
    </w:rPr>
  </w:style>
  <w:style w:type="paragraph" w:styleId="Piedepgina">
    <w:name w:val="footer"/>
    <w:basedOn w:val="Normal"/>
    <w:link w:val="PiedepginaCar"/>
    <w:semiHidden/>
    <w:rsid w:val="00965157"/>
    <w:pPr>
      <w:tabs>
        <w:tab w:val="center" w:pos="4252"/>
        <w:tab w:val="right" w:pos="8504"/>
      </w:tabs>
    </w:pPr>
  </w:style>
  <w:style w:type="character" w:customStyle="1" w:styleId="PiedepginaCar">
    <w:name w:val="Pie de página Car"/>
    <w:basedOn w:val="Fuentedeprrafopredeter"/>
    <w:link w:val="Piedepgina"/>
    <w:semiHidden/>
    <w:rsid w:val="00965157"/>
    <w:rPr>
      <w:rFonts w:ascii="Arial" w:eastAsia="Times New Roman" w:hAnsi="Arial" w:cs="Times New Roman"/>
      <w:sz w:val="24"/>
      <w:szCs w:val="24"/>
      <w:lang w:eastAsia="es-ES"/>
    </w:rPr>
  </w:style>
  <w:style w:type="character" w:styleId="Nmerodepgina">
    <w:name w:val="page number"/>
    <w:basedOn w:val="Fuentedeprrafopredeter"/>
    <w:semiHidden/>
    <w:rsid w:val="00965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5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96515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5157"/>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965157"/>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965157"/>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965157"/>
    <w:pPr>
      <w:spacing w:line="360" w:lineRule="auto"/>
      <w:ind w:firstLine="1134"/>
    </w:pPr>
  </w:style>
  <w:style w:type="character" w:customStyle="1" w:styleId="SangradetextonormalCar">
    <w:name w:val="Sangría de texto normal Car"/>
    <w:basedOn w:val="Fuentedeprrafopredeter"/>
    <w:link w:val="Sangradetextonormal"/>
    <w:semiHidden/>
    <w:rsid w:val="00965157"/>
    <w:rPr>
      <w:rFonts w:ascii="Arial" w:eastAsia="Times New Roman" w:hAnsi="Arial" w:cs="Times New Roman"/>
      <w:sz w:val="24"/>
      <w:szCs w:val="24"/>
      <w:lang w:eastAsia="es-ES"/>
    </w:rPr>
  </w:style>
  <w:style w:type="paragraph" w:styleId="Piedepgina">
    <w:name w:val="footer"/>
    <w:basedOn w:val="Normal"/>
    <w:link w:val="PiedepginaCar"/>
    <w:semiHidden/>
    <w:rsid w:val="00965157"/>
    <w:pPr>
      <w:tabs>
        <w:tab w:val="center" w:pos="4252"/>
        <w:tab w:val="right" w:pos="8504"/>
      </w:tabs>
    </w:pPr>
  </w:style>
  <w:style w:type="character" w:customStyle="1" w:styleId="PiedepginaCar">
    <w:name w:val="Pie de página Car"/>
    <w:basedOn w:val="Fuentedeprrafopredeter"/>
    <w:link w:val="Piedepgina"/>
    <w:semiHidden/>
    <w:rsid w:val="00965157"/>
    <w:rPr>
      <w:rFonts w:ascii="Arial" w:eastAsia="Times New Roman" w:hAnsi="Arial" w:cs="Times New Roman"/>
      <w:sz w:val="24"/>
      <w:szCs w:val="24"/>
      <w:lang w:eastAsia="es-ES"/>
    </w:rPr>
  </w:style>
  <w:style w:type="character" w:styleId="Nmerodepgina">
    <w:name w:val="page number"/>
    <w:basedOn w:val="Fuentedeprrafopredeter"/>
    <w:semiHidden/>
    <w:rsid w:val="0096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F6F9-09A2-48D6-9BA5-8534DF7B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MUCCINELLI</dc:creator>
  <cp:lastModifiedBy>Tribunal1</cp:lastModifiedBy>
  <cp:revision>4</cp:revision>
  <cp:lastPrinted>2016-06-27T18:39:00Z</cp:lastPrinted>
  <dcterms:created xsi:type="dcterms:W3CDTF">2016-06-27T15:52:00Z</dcterms:created>
  <dcterms:modified xsi:type="dcterms:W3CDTF">2016-06-27T18:40:00Z</dcterms:modified>
</cp:coreProperties>
</file>