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12" w:rsidRDefault="00A46212" w:rsidP="009773E7">
      <w:pPr>
        <w:keepNext/>
        <w:tabs>
          <w:tab w:val="center" w:pos="4253"/>
        </w:tabs>
        <w:suppressAutoHyphens w:val="0"/>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2001</w:t>
      </w:r>
      <w:r w:rsidRPr="00786EEB">
        <w:rPr>
          <w:rFonts w:ascii="Arial" w:hAnsi="Arial" w:cs="Arial"/>
          <w:b/>
          <w:sz w:val="28"/>
          <w:szCs w:val="28"/>
          <w:lang w:val="es-ES_tradnl"/>
        </w:rPr>
        <w:t>/16</w:t>
      </w:r>
    </w:p>
    <w:p w:rsidR="007F2905" w:rsidRPr="00786EEB" w:rsidRDefault="007F2905" w:rsidP="009773E7">
      <w:pPr>
        <w:keepNext/>
        <w:tabs>
          <w:tab w:val="center" w:pos="4253"/>
        </w:tabs>
        <w:suppressAutoHyphens w:val="0"/>
        <w:jc w:val="right"/>
        <w:rPr>
          <w:rFonts w:ascii="Arial" w:hAnsi="Arial" w:cs="Arial"/>
          <w:b/>
          <w:sz w:val="28"/>
          <w:szCs w:val="28"/>
          <w:lang w:val="es-ES_tradnl"/>
        </w:rPr>
      </w:pPr>
    </w:p>
    <w:p w:rsidR="00A46212" w:rsidRDefault="00A46212" w:rsidP="009773E7">
      <w:pPr>
        <w:keepNext/>
        <w:tabs>
          <w:tab w:val="center" w:pos="4253"/>
        </w:tabs>
        <w:suppressAutoHyphens w:val="0"/>
        <w:jc w:val="right"/>
        <w:rPr>
          <w:rFonts w:ascii="Arial" w:hAnsi="Arial" w:cs="Arial"/>
          <w:b/>
          <w:lang w:val="es-ES_tradnl"/>
        </w:rPr>
      </w:pPr>
    </w:p>
    <w:p w:rsidR="00A46212" w:rsidRPr="00762B34" w:rsidRDefault="00A46212" w:rsidP="009773E7">
      <w:pPr>
        <w:keepNext/>
        <w:tabs>
          <w:tab w:val="center" w:pos="4253"/>
        </w:tabs>
        <w:suppressAutoHyphens w:val="0"/>
        <w:jc w:val="center"/>
        <w:rPr>
          <w:rFonts w:ascii="Arial" w:hAnsi="Arial" w:cs="Arial"/>
          <w:b/>
          <w:lang w:val="es-ES_tradnl"/>
        </w:rPr>
      </w:pPr>
      <w:r w:rsidRPr="00762B34">
        <w:rPr>
          <w:rFonts w:ascii="Arial" w:hAnsi="Arial" w:cs="Arial"/>
          <w:b/>
          <w:lang w:val="es-ES_tradnl"/>
        </w:rPr>
        <w:t>RESOLUCION ADOPTADA POR EL</w:t>
      </w:r>
    </w:p>
    <w:p w:rsidR="00A46212" w:rsidRPr="00762B34" w:rsidRDefault="00A46212" w:rsidP="009773E7">
      <w:pPr>
        <w:keepNext/>
        <w:tabs>
          <w:tab w:val="left" w:pos="-720"/>
        </w:tabs>
        <w:suppressAutoHyphens w:val="0"/>
        <w:jc w:val="center"/>
        <w:rPr>
          <w:rFonts w:ascii="Arial" w:hAnsi="Arial" w:cs="Arial"/>
          <w:b/>
          <w:lang w:val="es-ES_tradnl"/>
        </w:rPr>
      </w:pPr>
    </w:p>
    <w:p w:rsidR="00A46212" w:rsidRPr="00762B34" w:rsidRDefault="00A46212" w:rsidP="009773E7">
      <w:pPr>
        <w:keepNext/>
        <w:tabs>
          <w:tab w:val="center" w:pos="4253"/>
        </w:tabs>
        <w:suppressAutoHyphens w:val="0"/>
        <w:jc w:val="center"/>
        <w:rPr>
          <w:rFonts w:ascii="Arial" w:hAnsi="Arial" w:cs="Arial"/>
          <w:b/>
          <w:lang w:val="es-ES_tradnl"/>
        </w:rPr>
      </w:pPr>
      <w:r w:rsidRPr="00762B34">
        <w:rPr>
          <w:rFonts w:ascii="Arial" w:hAnsi="Arial" w:cs="Arial"/>
          <w:b/>
          <w:lang w:val="es-ES_tradnl"/>
        </w:rPr>
        <w:t>TRIBUNAL DE CUENTAS</w:t>
      </w:r>
    </w:p>
    <w:p w:rsidR="00A46212" w:rsidRPr="00762B34" w:rsidRDefault="00A46212" w:rsidP="009773E7">
      <w:pPr>
        <w:keepNext/>
        <w:tabs>
          <w:tab w:val="left" w:pos="-720"/>
        </w:tabs>
        <w:suppressAutoHyphens w:val="0"/>
        <w:jc w:val="center"/>
        <w:rPr>
          <w:rFonts w:ascii="Arial" w:hAnsi="Arial" w:cs="Arial"/>
          <w:b/>
          <w:lang w:val="es-ES_tradnl"/>
        </w:rPr>
      </w:pPr>
    </w:p>
    <w:p w:rsidR="00A46212" w:rsidRPr="00762B34" w:rsidRDefault="00A46212" w:rsidP="009773E7">
      <w:pPr>
        <w:keepNext/>
        <w:tabs>
          <w:tab w:val="center" w:pos="4253"/>
        </w:tabs>
        <w:suppressAutoHyphens w:val="0"/>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8</w:t>
      </w:r>
      <w:r>
        <w:rPr>
          <w:rFonts w:ascii="Helvetica" w:hAnsi="Helvetica"/>
          <w:b/>
          <w:lang w:val="es-ES_tradnl"/>
        </w:rPr>
        <w:t xml:space="preserve"> DE JUNIO DE 2016</w:t>
      </w:r>
    </w:p>
    <w:p w:rsidR="00A46212" w:rsidRPr="00762B34" w:rsidRDefault="00A46212" w:rsidP="009773E7">
      <w:pPr>
        <w:keepNext/>
        <w:tabs>
          <w:tab w:val="center" w:pos="4253"/>
        </w:tabs>
        <w:suppressAutoHyphens w:val="0"/>
        <w:jc w:val="center"/>
        <w:rPr>
          <w:rFonts w:ascii="Arial" w:hAnsi="Arial" w:cs="Arial"/>
          <w:b/>
          <w:lang w:val="es-ES_tradnl"/>
        </w:rPr>
      </w:pPr>
    </w:p>
    <w:p w:rsidR="00A46212" w:rsidRPr="00A46212" w:rsidRDefault="00A46212" w:rsidP="009773E7">
      <w:pPr>
        <w:keepNext/>
        <w:tabs>
          <w:tab w:val="center" w:pos="4253"/>
        </w:tabs>
        <w:suppressAutoHyphens w:val="0"/>
        <w:jc w:val="center"/>
        <w:rPr>
          <w:rFonts w:ascii="Arial" w:hAnsi="Arial" w:cs="Arial"/>
          <w:b/>
          <w:lang w:val="es-AR"/>
        </w:rPr>
      </w:pPr>
      <w:r w:rsidRPr="00A46212">
        <w:rPr>
          <w:rFonts w:ascii="Arial" w:hAnsi="Arial" w:cs="Arial"/>
          <w:b/>
          <w:lang w:val="es-AR"/>
        </w:rPr>
        <w:t xml:space="preserve">(E. E. Nº 2016-17-1-0002455, </w:t>
      </w:r>
      <w:proofErr w:type="spellStart"/>
      <w:r w:rsidRPr="00A46212">
        <w:rPr>
          <w:rFonts w:ascii="Arial" w:hAnsi="Arial" w:cs="Arial"/>
          <w:b/>
          <w:lang w:val="es-AR"/>
        </w:rPr>
        <w:t>Ent</w:t>
      </w:r>
      <w:proofErr w:type="spellEnd"/>
      <w:r w:rsidRPr="00A46212">
        <w:rPr>
          <w:rFonts w:ascii="Arial" w:hAnsi="Arial" w:cs="Arial"/>
          <w:b/>
          <w:lang w:val="es-AR"/>
        </w:rPr>
        <w:t>. N° 1804/16)</w:t>
      </w:r>
    </w:p>
    <w:p w:rsidR="00A46212" w:rsidRPr="00A46212" w:rsidRDefault="00A46212" w:rsidP="009773E7">
      <w:pPr>
        <w:keepNext/>
        <w:tabs>
          <w:tab w:val="center" w:pos="4253"/>
        </w:tabs>
        <w:suppressAutoHyphens w:val="0"/>
        <w:jc w:val="center"/>
        <w:rPr>
          <w:rFonts w:ascii="Helvetica" w:hAnsi="Helvetica"/>
          <w:b/>
          <w:lang w:val="es-AR"/>
        </w:rPr>
      </w:pPr>
    </w:p>
    <w:p w:rsidR="00A46212" w:rsidRPr="00A46212" w:rsidRDefault="00A46212" w:rsidP="009773E7">
      <w:pPr>
        <w:keepNext/>
        <w:tabs>
          <w:tab w:val="center" w:pos="4253"/>
        </w:tabs>
        <w:suppressAutoHyphens w:val="0"/>
        <w:jc w:val="right"/>
        <w:rPr>
          <w:rFonts w:ascii="Arial" w:hAnsi="Arial"/>
          <w:spacing w:val="-3"/>
          <w:lang w:val="es-AR"/>
        </w:rPr>
      </w:pPr>
    </w:p>
    <w:p w:rsidR="006301F0" w:rsidRDefault="006301F0" w:rsidP="009773E7">
      <w:pPr>
        <w:keepNext/>
        <w:tabs>
          <w:tab w:val="left" w:pos="-1440"/>
          <w:tab w:val="left" w:pos="-720"/>
          <w:tab w:val="left" w:pos="0"/>
          <w:tab w:val="left" w:pos="720"/>
          <w:tab w:val="left" w:pos="1440"/>
          <w:tab w:val="left" w:pos="2160"/>
          <w:tab w:val="left" w:pos="2448"/>
          <w:tab w:val="left" w:pos="6480"/>
          <w:tab w:val="left" w:pos="7920"/>
        </w:tabs>
        <w:suppressAutoHyphens w:val="0"/>
        <w:spacing w:line="360" w:lineRule="auto"/>
        <w:ind w:firstLine="851"/>
        <w:jc w:val="both"/>
        <w:rPr>
          <w:rFonts w:ascii="Arial" w:hAnsi="Arial" w:cs="Arial"/>
        </w:rPr>
      </w:pPr>
      <w:r>
        <w:rPr>
          <w:rFonts w:ascii="Arial" w:hAnsi="Arial" w:cs="Arial"/>
          <w:b/>
        </w:rPr>
        <w:t xml:space="preserve">VISTO Y CONSIDERANDO: </w:t>
      </w:r>
      <w:r>
        <w:rPr>
          <w:rFonts w:ascii="Arial" w:hAnsi="Arial" w:cs="Arial"/>
        </w:rPr>
        <w:t xml:space="preserve">el Oficio 307/2016 remitido por la Junta Departamental de Canelones, adjunto </w:t>
      </w:r>
      <w:r w:rsidR="00A46212">
        <w:rPr>
          <w:rFonts w:ascii="Arial" w:hAnsi="Arial" w:cs="Arial"/>
        </w:rPr>
        <w:t>al cual se remite Resolución Nº</w:t>
      </w:r>
      <w:r>
        <w:rPr>
          <w:rFonts w:ascii="Arial" w:hAnsi="Arial" w:cs="Arial"/>
        </w:rPr>
        <w:t>16/01343 de fecha 10/03/16 de la Intendencia solicitando anuencia para constituir un fideicomiso financiero, al amparo de lo dispuesto por el Art</w:t>
      </w:r>
      <w:r w:rsidR="00A46212">
        <w:rPr>
          <w:rFonts w:ascii="Arial" w:hAnsi="Arial" w:cs="Arial"/>
        </w:rPr>
        <w:t>ículo 301 I</w:t>
      </w:r>
      <w:r>
        <w:rPr>
          <w:rFonts w:ascii="Arial" w:hAnsi="Arial" w:cs="Arial"/>
        </w:rPr>
        <w:t>nc</w:t>
      </w:r>
      <w:r w:rsidR="00A46212">
        <w:rPr>
          <w:rFonts w:ascii="Arial" w:hAnsi="Arial" w:cs="Arial"/>
        </w:rPr>
        <w:t xml:space="preserve">iso </w:t>
      </w:r>
      <w:r>
        <w:rPr>
          <w:rFonts w:ascii="Arial" w:hAnsi="Arial" w:cs="Arial"/>
        </w:rPr>
        <w:t>2 de l</w:t>
      </w:r>
      <w:r w:rsidR="007F2905">
        <w:rPr>
          <w:rFonts w:ascii="Arial" w:hAnsi="Arial" w:cs="Arial"/>
        </w:rPr>
        <w:t>a Constitución de la República;</w:t>
      </w:r>
    </w:p>
    <w:p w:rsidR="006301F0" w:rsidRDefault="006301F0" w:rsidP="009773E7">
      <w:pPr>
        <w:keepNext/>
        <w:tabs>
          <w:tab w:val="left" w:pos="-1440"/>
          <w:tab w:val="left" w:pos="-720"/>
          <w:tab w:val="left" w:pos="0"/>
          <w:tab w:val="left" w:pos="720"/>
          <w:tab w:val="left" w:pos="1440"/>
          <w:tab w:val="left" w:pos="2160"/>
          <w:tab w:val="left" w:pos="2448"/>
          <w:tab w:val="left" w:pos="6480"/>
          <w:tab w:val="left" w:pos="7920"/>
        </w:tabs>
        <w:suppressAutoHyphens w:val="0"/>
        <w:spacing w:line="360" w:lineRule="auto"/>
        <w:ind w:firstLine="851"/>
        <w:jc w:val="both"/>
        <w:rPr>
          <w:rFonts w:ascii="Arial" w:hAnsi="Arial" w:cs="Arial"/>
        </w:rPr>
      </w:pPr>
      <w:r>
        <w:rPr>
          <w:rFonts w:ascii="Arial" w:hAnsi="Arial" w:cs="Arial"/>
          <w:b/>
        </w:rPr>
        <w:t xml:space="preserve">ATENTO: </w:t>
      </w:r>
      <w:r>
        <w:rPr>
          <w:rFonts w:ascii="Arial" w:hAnsi="Arial" w:cs="Arial"/>
        </w:rPr>
        <w:t>a lo establecido precedentemente;</w:t>
      </w:r>
    </w:p>
    <w:p w:rsidR="006301F0" w:rsidRDefault="006301F0" w:rsidP="009773E7">
      <w:pPr>
        <w:keepNext/>
        <w:tabs>
          <w:tab w:val="left" w:pos="-1440"/>
          <w:tab w:val="left" w:pos="-720"/>
          <w:tab w:val="left" w:pos="0"/>
          <w:tab w:val="left" w:pos="720"/>
          <w:tab w:val="left" w:pos="1440"/>
          <w:tab w:val="left" w:pos="2160"/>
          <w:tab w:val="left" w:pos="2448"/>
          <w:tab w:val="left" w:pos="6480"/>
          <w:tab w:val="left" w:pos="7920"/>
        </w:tabs>
        <w:suppressAutoHyphens w:val="0"/>
        <w:spacing w:line="360" w:lineRule="auto"/>
        <w:ind w:firstLine="851"/>
        <w:jc w:val="center"/>
        <w:rPr>
          <w:rFonts w:ascii="Arial" w:hAnsi="Arial" w:cs="Arial"/>
          <w:b/>
        </w:rPr>
      </w:pPr>
      <w:r>
        <w:rPr>
          <w:rFonts w:ascii="Arial" w:hAnsi="Arial" w:cs="Arial"/>
          <w:b/>
        </w:rPr>
        <w:t>EL TRIBUNAL ACUERDA</w:t>
      </w:r>
    </w:p>
    <w:p w:rsidR="006301F0" w:rsidRDefault="006301F0" w:rsidP="009773E7">
      <w:pPr>
        <w:keepNext/>
        <w:tabs>
          <w:tab w:val="left" w:pos="-1440"/>
          <w:tab w:val="left" w:pos="-720"/>
          <w:tab w:val="left" w:pos="0"/>
          <w:tab w:val="left" w:pos="720"/>
          <w:tab w:val="left" w:pos="1440"/>
          <w:tab w:val="left" w:pos="2160"/>
          <w:tab w:val="left" w:pos="2448"/>
          <w:tab w:val="left" w:pos="6480"/>
          <w:tab w:val="left" w:pos="7920"/>
        </w:tabs>
        <w:suppressAutoHyphens w:val="0"/>
        <w:spacing w:line="360" w:lineRule="auto"/>
        <w:ind w:firstLine="284"/>
        <w:jc w:val="both"/>
        <w:rPr>
          <w:rFonts w:ascii="Arial" w:hAnsi="Arial" w:cs="Arial"/>
        </w:rPr>
      </w:pPr>
      <w:r>
        <w:rPr>
          <w:rFonts w:ascii="Arial" w:hAnsi="Arial" w:cs="Arial"/>
          <w:b/>
        </w:rPr>
        <w:t xml:space="preserve">1)  </w:t>
      </w:r>
      <w:r>
        <w:rPr>
          <w:rFonts w:ascii="Arial" w:hAnsi="Arial" w:cs="Arial"/>
        </w:rPr>
        <w:t>Ap</w:t>
      </w:r>
      <w:r w:rsidR="00A46212">
        <w:rPr>
          <w:rFonts w:ascii="Arial" w:hAnsi="Arial" w:cs="Arial"/>
        </w:rPr>
        <w:t>robar el informe que se adjunta;</w:t>
      </w:r>
    </w:p>
    <w:p w:rsidR="006A7D14" w:rsidRDefault="006301F0" w:rsidP="009773E7">
      <w:pPr>
        <w:keepNext/>
        <w:tabs>
          <w:tab w:val="left" w:pos="-1440"/>
          <w:tab w:val="left" w:pos="-720"/>
          <w:tab w:val="left" w:pos="720"/>
          <w:tab w:val="left" w:pos="1140"/>
          <w:tab w:val="left" w:pos="2160"/>
          <w:tab w:val="left" w:pos="2448"/>
          <w:tab w:val="left" w:pos="6480"/>
          <w:tab w:val="left" w:pos="7920"/>
        </w:tabs>
        <w:suppressAutoHyphens w:val="0"/>
        <w:spacing w:line="360" w:lineRule="auto"/>
        <w:ind w:firstLine="284"/>
        <w:jc w:val="both"/>
        <w:rPr>
          <w:rFonts w:ascii="Arial" w:hAnsi="Arial" w:cs="Arial"/>
        </w:rPr>
      </w:pPr>
      <w:r>
        <w:rPr>
          <w:rFonts w:ascii="Arial" w:hAnsi="Arial" w:cs="Arial"/>
          <w:b/>
        </w:rPr>
        <w:t xml:space="preserve">2) </w:t>
      </w:r>
      <w:r>
        <w:rPr>
          <w:rFonts w:ascii="Arial" w:hAnsi="Arial" w:cs="Arial"/>
        </w:rPr>
        <w:t>Comunicar a la Junta Departamental de Canelones.</w:t>
      </w:r>
    </w:p>
    <w:p w:rsidR="00A46212" w:rsidRDefault="00A46212" w:rsidP="009773E7">
      <w:pPr>
        <w:keepNext/>
        <w:tabs>
          <w:tab w:val="left" w:pos="-1440"/>
          <w:tab w:val="left" w:pos="-720"/>
          <w:tab w:val="left" w:pos="720"/>
          <w:tab w:val="left" w:pos="1140"/>
          <w:tab w:val="left" w:pos="2160"/>
          <w:tab w:val="left" w:pos="2448"/>
          <w:tab w:val="left" w:pos="6480"/>
          <w:tab w:val="left" w:pos="7920"/>
        </w:tabs>
        <w:suppressAutoHyphens w:val="0"/>
        <w:spacing w:line="360" w:lineRule="auto"/>
        <w:ind w:firstLine="870"/>
        <w:jc w:val="both"/>
        <w:rPr>
          <w:rFonts w:ascii="Arial" w:hAnsi="Arial" w:cs="Arial"/>
        </w:rPr>
      </w:pPr>
    </w:p>
    <w:p w:rsidR="007F2905" w:rsidRDefault="007F2905" w:rsidP="009773E7">
      <w:pPr>
        <w:keepNext/>
        <w:tabs>
          <w:tab w:val="left" w:pos="-1440"/>
          <w:tab w:val="left" w:pos="-720"/>
          <w:tab w:val="left" w:pos="720"/>
          <w:tab w:val="left" w:pos="1140"/>
          <w:tab w:val="left" w:pos="2160"/>
          <w:tab w:val="left" w:pos="2448"/>
          <w:tab w:val="left" w:pos="6480"/>
          <w:tab w:val="left" w:pos="7920"/>
        </w:tabs>
        <w:suppressAutoHyphens w:val="0"/>
        <w:spacing w:line="360" w:lineRule="auto"/>
        <w:jc w:val="both"/>
        <w:rPr>
          <w:rFonts w:ascii="Arial" w:hAnsi="Arial" w:cs="Arial"/>
        </w:rPr>
      </w:pPr>
      <w:proofErr w:type="gramStart"/>
      <w:r>
        <w:rPr>
          <w:rFonts w:ascii="Arial" w:hAnsi="Arial" w:cs="Arial"/>
        </w:rPr>
        <w:t>dc</w:t>
      </w:r>
      <w:proofErr w:type="gramEnd"/>
    </w:p>
    <w:p w:rsidR="007F2905" w:rsidRDefault="007F2905" w:rsidP="009773E7">
      <w:pPr>
        <w:keepNext/>
        <w:tabs>
          <w:tab w:val="left" w:pos="-1440"/>
          <w:tab w:val="left" w:pos="-720"/>
          <w:tab w:val="left" w:pos="720"/>
          <w:tab w:val="left" w:pos="1140"/>
          <w:tab w:val="left" w:pos="2160"/>
          <w:tab w:val="left" w:pos="2448"/>
          <w:tab w:val="left" w:pos="6480"/>
          <w:tab w:val="left" w:pos="7920"/>
        </w:tabs>
        <w:suppressAutoHyphens w:val="0"/>
        <w:spacing w:line="360" w:lineRule="auto"/>
        <w:ind w:firstLine="870"/>
        <w:jc w:val="both"/>
        <w:rPr>
          <w:rFonts w:ascii="Arial" w:hAnsi="Arial" w:cs="Arial"/>
        </w:rPr>
      </w:pPr>
    </w:p>
    <w:p w:rsidR="007F2905" w:rsidRDefault="007F2905" w:rsidP="009773E7">
      <w:pPr>
        <w:keepNext/>
        <w:tabs>
          <w:tab w:val="left" w:pos="-1440"/>
          <w:tab w:val="left" w:pos="-720"/>
          <w:tab w:val="left" w:pos="720"/>
          <w:tab w:val="left" w:pos="1140"/>
          <w:tab w:val="left" w:pos="2160"/>
          <w:tab w:val="left" w:pos="2448"/>
          <w:tab w:val="left" w:pos="6480"/>
          <w:tab w:val="left" w:pos="7920"/>
        </w:tabs>
        <w:suppressAutoHyphens w:val="0"/>
        <w:spacing w:line="360" w:lineRule="auto"/>
        <w:ind w:firstLine="870"/>
        <w:jc w:val="both"/>
        <w:rPr>
          <w:rFonts w:ascii="Arial" w:hAnsi="Arial" w:cs="Arial"/>
        </w:rPr>
      </w:pPr>
    </w:p>
    <w:p w:rsidR="007F2905" w:rsidRDefault="007F2905" w:rsidP="009773E7">
      <w:pPr>
        <w:keepNext/>
        <w:tabs>
          <w:tab w:val="left" w:pos="-1440"/>
          <w:tab w:val="left" w:pos="-720"/>
          <w:tab w:val="left" w:pos="720"/>
          <w:tab w:val="left" w:pos="1140"/>
          <w:tab w:val="left" w:pos="2160"/>
          <w:tab w:val="left" w:pos="2448"/>
          <w:tab w:val="left" w:pos="6480"/>
          <w:tab w:val="left" w:pos="7920"/>
        </w:tabs>
        <w:suppressAutoHyphens w:val="0"/>
        <w:spacing w:line="360" w:lineRule="auto"/>
        <w:ind w:firstLine="870"/>
        <w:jc w:val="both"/>
        <w:rPr>
          <w:rFonts w:ascii="Arial" w:hAnsi="Arial" w:cs="Arial"/>
        </w:rPr>
      </w:pPr>
    </w:p>
    <w:p w:rsidR="007F2905" w:rsidRDefault="007F2905" w:rsidP="009773E7">
      <w:pPr>
        <w:keepNext/>
        <w:tabs>
          <w:tab w:val="left" w:pos="-1440"/>
          <w:tab w:val="left" w:pos="-720"/>
          <w:tab w:val="left" w:pos="720"/>
          <w:tab w:val="left" w:pos="1140"/>
          <w:tab w:val="left" w:pos="2160"/>
          <w:tab w:val="left" w:pos="2448"/>
          <w:tab w:val="left" w:pos="6480"/>
          <w:tab w:val="left" w:pos="7920"/>
        </w:tabs>
        <w:suppressAutoHyphens w:val="0"/>
        <w:spacing w:line="360" w:lineRule="auto"/>
        <w:ind w:firstLine="870"/>
        <w:jc w:val="both"/>
        <w:rPr>
          <w:rFonts w:ascii="Arial" w:hAnsi="Arial" w:cs="Arial"/>
        </w:rPr>
      </w:pPr>
    </w:p>
    <w:p w:rsidR="007F2905" w:rsidRDefault="007F2905" w:rsidP="009773E7">
      <w:pPr>
        <w:keepNext/>
        <w:tabs>
          <w:tab w:val="left" w:pos="-1440"/>
          <w:tab w:val="left" w:pos="-720"/>
          <w:tab w:val="left" w:pos="720"/>
          <w:tab w:val="left" w:pos="1140"/>
          <w:tab w:val="left" w:pos="2160"/>
          <w:tab w:val="left" w:pos="2448"/>
          <w:tab w:val="left" w:pos="6480"/>
          <w:tab w:val="left" w:pos="7920"/>
        </w:tabs>
        <w:suppressAutoHyphens w:val="0"/>
        <w:spacing w:line="360" w:lineRule="auto"/>
        <w:ind w:firstLine="870"/>
        <w:jc w:val="both"/>
        <w:rPr>
          <w:rFonts w:ascii="Arial" w:hAnsi="Arial" w:cs="Arial"/>
        </w:rPr>
      </w:pPr>
    </w:p>
    <w:p w:rsidR="007F2905" w:rsidRDefault="007F2905" w:rsidP="009773E7">
      <w:pPr>
        <w:keepNext/>
        <w:tabs>
          <w:tab w:val="left" w:pos="-1440"/>
          <w:tab w:val="left" w:pos="-720"/>
          <w:tab w:val="left" w:pos="720"/>
          <w:tab w:val="left" w:pos="1140"/>
          <w:tab w:val="left" w:pos="2160"/>
          <w:tab w:val="left" w:pos="2448"/>
          <w:tab w:val="left" w:pos="6480"/>
          <w:tab w:val="left" w:pos="7920"/>
        </w:tabs>
        <w:suppressAutoHyphens w:val="0"/>
        <w:spacing w:line="360" w:lineRule="auto"/>
        <w:ind w:firstLine="870"/>
        <w:jc w:val="both"/>
        <w:rPr>
          <w:rFonts w:ascii="Arial" w:hAnsi="Arial" w:cs="Arial"/>
        </w:rPr>
      </w:pPr>
    </w:p>
    <w:p w:rsidR="007F2905" w:rsidRDefault="007F2905" w:rsidP="009773E7">
      <w:pPr>
        <w:keepNext/>
        <w:tabs>
          <w:tab w:val="left" w:pos="-1440"/>
          <w:tab w:val="left" w:pos="-720"/>
          <w:tab w:val="left" w:pos="720"/>
          <w:tab w:val="left" w:pos="1140"/>
          <w:tab w:val="left" w:pos="2160"/>
          <w:tab w:val="left" w:pos="2448"/>
          <w:tab w:val="left" w:pos="6480"/>
          <w:tab w:val="left" w:pos="7920"/>
        </w:tabs>
        <w:suppressAutoHyphens w:val="0"/>
        <w:spacing w:line="360" w:lineRule="auto"/>
        <w:ind w:firstLine="870"/>
        <w:jc w:val="both"/>
        <w:rPr>
          <w:rFonts w:ascii="Arial" w:hAnsi="Arial" w:cs="Arial"/>
        </w:rPr>
      </w:pPr>
    </w:p>
    <w:p w:rsidR="007F2905" w:rsidRDefault="007F2905" w:rsidP="009773E7">
      <w:pPr>
        <w:keepNext/>
        <w:tabs>
          <w:tab w:val="left" w:pos="-1440"/>
          <w:tab w:val="left" w:pos="-720"/>
          <w:tab w:val="left" w:pos="720"/>
          <w:tab w:val="left" w:pos="1140"/>
          <w:tab w:val="left" w:pos="2160"/>
          <w:tab w:val="left" w:pos="2448"/>
          <w:tab w:val="left" w:pos="6480"/>
          <w:tab w:val="left" w:pos="7920"/>
        </w:tabs>
        <w:suppressAutoHyphens w:val="0"/>
        <w:spacing w:line="360" w:lineRule="auto"/>
        <w:ind w:firstLine="870"/>
        <w:jc w:val="both"/>
        <w:rPr>
          <w:rFonts w:ascii="Arial" w:hAnsi="Arial" w:cs="Arial"/>
        </w:rPr>
      </w:pPr>
    </w:p>
    <w:p w:rsidR="007F2905" w:rsidRDefault="007F2905" w:rsidP="009773E7">
      <w:pPr>
        <w:keepNext/>
        <w:tabs>
          <w:tab w:val="left" w:pos="-1440"/>
          <w:tab w:val="left" w:pos="-720"/>
          <w:tab w:val="left" w:pos="720"/>
          <w:tab w:val="left" w:pos="1140"/>
          <w:tab w:val="left" w:pos="2160"/>
          <w:tab w:val="left" w:pos="2448"/>
          <w:tab w:val="left" w:pos="6480"/>
          <w:tab w:val="left" w:pos="7920"/>
        </w:tabs>
        <w:suppressAutoHyphens w:val="0"/>
        <w:spacing w:line="360" w:lineRule="auto"/>
        <w:ind w:firstLine="870"/>
        <w:jc w:val="both"/>
        <w:rPr>
          <w:rFonts w:ascii="Arial" w:hAnsi="Arial" w:cs="Arial"/>
        </w:rPr>
      </w:pPr>
    </w:p>
    <w:p w:rsidR="007F2905" w:rsidRDefault="00E37BB3" w:rsidP="009773E7">
      <w:pPr>
        <w:keepNext/>
        <w:tabs>
          <w:tab w:val="left" w:pos="-1701"/>
          <w:tab w:val="left" w:pos="-426"/>
        </w:tabs>
        <w:suppressAutoHyphens w:val="0"/>
        <w:spacing w:line="360" w:lineRule="auto"/>
        <w:jc w:val="center"/>
        <w:rPr>
          <w:rFonts w:ascii="Arial" w:hAnsi="Arial"/>
          <w:b/>
        </w:rPr>
      </w:pPr>
      <w:r>
        <w:rPr>
          <w:rFonts w:ascii="Arial" w:hAnsi="Arial"/>
          <w:b/>
        </w:rPr>
        <w:lastRenderedPageBreak/>
        <w:t>INFORME</w:t>
      </w:r>
    </w:p>
    <w:p w:rsidR="007F2905" w:rsidRDefault="007F2905" w:rsidP="009773E7">
      <w:pPr>
        <w:keepNext/>
        <w:tabs>
          <w:tab w:val="left" w:pos="-1701"/>
          <w:tab w:val="left" w:pos="-426"/>
        </w:tabs>
        <w:suppressAutoHyphens w:val="0"/>
        <w:spacing w:line="360" w:lineRule="auto"/>
        <w:rPr>
          <w:rFonts w:ascii="Arial" w:hAnsi="Arial"/>
          <w:b/>
        </w:rPr>
      </w:pPr>
    </w:p>
    <w:p w:rsidR="007F2905" w:rsidRDefault="007F2905" w:rsidP="009773E7">
      <w:pPr>
        <w:keepNext/>
        <w:numPr>
          <w:ilvl w:val="0"/>
          <w:numId w:val="1"/>
        </w:numPr>
        <w:tabs>
          <w:tab w:val="left" w:pos="-951"/>
          <w:tab w:val="left" w:pos="324"/>
          <w:tab w:val="left" w:pos="1680"/>
        </w:tabs>
        <w:suppressAutoHyphens w:val="0"/>
        <w:spacing w:line="360" w:lineRule="auto"/>
        <w:ind w:hanging="720"/>
        <w:rPr>
          <w:rFonts w:ascii="Arial" w:hAnsi="Arial"/>
          <w:b/>
        </w:rPr>
      </w:pPr>
      <w:r>
        <w:rPr>
          <w:rFonts w:ascii="Arial" w:hAnsi="Arial"/>
          <w:b/>
        </w:rPr>
        <w:t>OBJETO</w:t>
      </w:r>
    </w:p>
    <w:p w:rsidR="005A5989" w:rsidRDefault="005A5989" w:rsidP="009773E7">
      <w:pPr>
        <w:keepNext/>
        <w:tabs>
          <w:tab w:val="left" w:pos="-951"/>
          <w:tab w:val="left" w:pos="324"/>
          <w:tab w:val="left" w:pos="1680"/>
        </w:tabs>
        <w:suppressAutoHyphens w:val="0"/>
        <w:spacing w:line="360" w:lineRule="auto"/>
        <w:ind w:left="720"/>
        <w:rPr>
          <w:rFonts w:ascii="Arial" w:hAnsi="Arial"/>
          <w:b/>
        </w:rPr>
      </w:pPr>
    </w:p>
    <w:p w:rsidR="007F2905" w:rsidRDefault="007F2905" w:rsidP="009773E7">
      <w:pPr>
        <w:keepNext/>
        <w:tabs>
          <w:tab w:val="left" w:pos="1701"/>
        </w:tabs>
        <w:suppressAutoHyphens w:val="0"/>
        <w:spacing w:line="360" w:lineRule="auto"/>
        <w:jc w:val="both"/>
        <w:rPr>
          <w:rFonts w:ascii="Arial" w:hAnsi="Arial"/>
          <w:spacing w:val="-3"/>
          <w:lang w:val="es-ES_tradnl"/>
        </w:rPr>
      </w:pPr>
      <w:r>
        <w:rPr>
          <w:rFonts w:ascii="Arial" w:hAnsi="Arial"/>
          <w:spacing w:val="-3"/>
          <w:lang w:val="es-ES_tradnl"/>
        </w:rPr>
        <w:t>El presente informe se emite en ejercicio de la atribución asignada al Tribunal de Cuentas por el Artículo 301 Inciso 2º de la Constitución de la República;</w:t>
      </w:r>
    </w:p>
    <w:p w:rsidR="007F2905" w:rsidRPr="005A5989" w:rsidRDefault="007F2905" w:rsidP="009773E7">
      <w:pPr>
        <w:keepNext/>
        <w:tabs>
          <w:tab w:val="left" w:pos="1701"/>
        </w:tabs>
        <w:suppressAutoHyphens w:val="0"/>
        <w:spacing w:line="360" w:lineRule="auto"/>
        <w:jc w:val="both"/>
        <w:rPr>
          <w:lang w:val="es-ES_tradnl"/>
        </w:rPr>
      </w:pPr>
    </w:p>
    <w:p w:rsidR="007F2905" w:rsidRDefault="007F2905" w:rsidP="009773E7">
      <w:pPr>
        <w:keepNext/>
        <w:numPr>
          <w:ilvl w:val="0"/>
          <w:numId w:val="1"/>
        </w:numPr>
        <w:tabs>
          <w:tab w:val="left" w:pos="-951"/>
          <w:tab w:val="left" w:pos="324"/>
          <w:tab w:val="left" w:pos="1680"/>
        </w:tabs>
        <w:suppressAutoHyphens w:val="0"/>
        <w:spacing w:line="360" w:lineRule="auto"/>
        <w:ind w:hanging="720"/>
        <w:rPr>
          <w:rFonts w:ascii="Arial" w:hAnsi="Arial"/>
          <w:b/>
        </w:rPr>
      </w:pPr>
      <w:r>
        <w:rPr>
          <w:rFonts w:ascii="Arial" w:hAnsi="Arial"/>
          <w:b/>
        </w:rPr>
        <w:t>ANTECEDENTES</w:t>
      </w:r>
    </w:p>
    <w:p w:rsidR="007F2905" w:rsidRDefault="007F2905" w:rsidP="009773E7">
      <w:pPr>
        <w:keepNext/>
        <w:tabs>
          <w:tab w:val="left" w:pos="1701"/>
        </w:tabs>
        <w:suppressAutoHyphens w:val="0"/>
        <w:spacing w:before="240" w:line="360" w:lineRule="auto"/>
        <w:jc w:val="both"/>
        <w:rPr>
          <w:rFonts w:ascii="Arial" w:hAnsi="Arial"/>
          <w:spacing w:val="-3"/>
          <w:lang w:val="es-ES_tradnl"/>
        </w:rPr>
      </w:pPr>
      <w:r>
        <w:rPr>
          <w:rFonts w:ascii="Arial" w:hAnsi="Arial"/>
          <w:b/>
          <w:bCs/>
          <w:spacing w:val="-3"/>
          <w:lang w:val="es-ES_tradnl"/>
        </w:rPr>
        <w:t>2.1)</w:t>
      </w:r>
      <w:r>
        <w:rPr>
          <w:rFonts w:ascii="Arial" w:hAnsi="Arial"/>
          <w:spacing w:val="-3"/>
          <w:lang w:val="es-ES_tradnl"/>
        </w:rPr>
        <w:t xml:space="preserve"> Por Resolución Nº 16/01343 de fecha 10/03/16, el Intendente de Canelones solicitó anuencia a la Junta Departamental para la constitución de un Fideicomiso Financiero de Tributos Departamentales para la realización de obras viales, de infraestructura y adquisición de equipamiento urbano.</w:t>
      </w:r>
    </w:p>
    <w:p w:rsidR="007F2905" w:rsidRDefault="007F2905" w:rsidP="009773E7">
      <w:pPr>
        <w:keepNext/>
        <w:tabs>
          <w:tab w:val="left" w:pos="1701"/>
        </w:tabs>
        <w:suppressAutoHyphens w:val="0"/>
        <w:spacing w:before="240" w:line="360" w:lineRule="auto"/>
        <w:jc w:val="both"/>
        <w:rPr>
          <w:rFonts w:ascii="Arial" w:hAnsi="Arial"/>
          <w:spacing w:val="-3"/>
          <w:lang w:val="es-ES_tradnl"/>
        </w:rPr>
      </w:pPr>
      <w:r>
        <w:rPr>
          <w:rFonts w:ascii="Arial" w:hAnsi="Arial"/>
          <w:b/>
          <w:bCs/>
          <w:spacing w:val="-3"/>
          <w:lang w:val="es-ES_tradnl"/>
        </w:rPr>
        <w:t xml:space="preserve">2.2) </w:t>
      </w:r>
      <w:r>
        <w:rPr>
          <w:rFonts w:ascii="Arial" w:hAnsi="Arial"/>
          <w:spacing w:val="-3"/>
          <w:lang w:val="es-ES_tradnl"/>
        </w:rPr>
        <w:t>La Junta Departamental por Resolución Nº 187/16 de fecha 29/03/16, por 26 votos en 31 Ediles, concedió anuencia para constituir el fideicomiso financiero, condicionada al previo informe de este Tribunal.</w:t>
      </w:r>
    </w:p>
    <w:p w:rsidR="007F2905" w:rsidRDefault="007F2905" w:rsidP="009773E7">
      <w:pPr>
        <w:keepNext/>
        <w:tabs>
          <w:tab w:val="left" w:pos="1701"/>
        </w:tabs>
        <w:suppressAutoHyphens w:val="0"/>
        <w:spacing w:before="240" w:line="360" w:lineRule="auto"/>
        <w:jc w:val="both"/>
        <w:rPr>
          <w:rFonts w:ascii="Arial" w:hAnsi="Arial"/>
          <w:spacing w:val="-3"/>
          <w:lang w:val="es-ES_tradnl"/>
        </w:rPr>
      </w:pPr>
      <w:r>
        <w:rPr>
          <w:rFonts w:ascii="Arial" w:hAnsi="Arial"/>
          <w:b/>
          <w:bCs/>
          <w:spacing w:val="-3"/>
          <w:lang w:val="es-ES_tradnl"/>
        </w:rPr>
        <w:t xml:space="preserve">2.3) </w:t>
      </w:r>
      <w:r>
        <w:rPr>
          <w:rFonts w:ascii="Arial" w:hAnsi="Arial"/>
          <w:spacing w:val="-3"/>
          <w:lang w:val="es-ES_tradnl"/>
        </w:rPr>
        <w:t>Por Oficio Nº 307/2016 la Junta Departamental de Canelones, resolvió remitir a este Tribunal las presentes actuaciones.</w:t>
      </w:r>
    </w:p>
    <w:p w:rsidR="007F2905" w:rsidRPr="00A34A05" w:rsidRDefault="007F2905" w:rsidP="009773E7">
      <w:pPr>
        <w:keepNext/>
        <w:tabs>
          <w:tab w:val="left" w:pos="1701"/>
        </w:tabs>
        <w:suppressAutoHyphens w:val="0"/>
        <w:spacing w:line="360" w:lineRule="auto"/>
        <w:jc w:val="both"/>
        <w:rPr>
          <w:lang w:val="es-ES_tradnl"/>
        </w:rPr>
      </w:pPr>
    </w:p>
    <w:p w:rsidR="007F2905" w:rsidRDefault="007F2905" w:rsidP="009773E7">
      <w:pPr>
        <w:keepNext/>
        <w:numPr>
          <w:ilvl w:val="0"/>
          <w:numId w:val="1"/>
        </w:numPr>
        <w:tabs>
          <w:tab w:val="left" w:pos="-981"/>
          <w:tab w:val="left" w:pos="294"/>
          <w:tab w:val="left" w:pos="1650"/>
        </w:tabs>
        <w:suppressAutoHyphens w:val="0"/>
        <w:spacing w:line="360" w:lineRule="auto"/>
        <w:ind w:hanging="720"/>
        <w:rPr>
          <w:rFonts w:ascii="Arial" w:hAnsi="Arial"/>
          <w:b/>
        </w:rPr>
      </w:pPr>
      <w:r>
        <w:rPr>
          <w:rFonts w:ascii="Arial" w:hAnsi="Arial"/>
          <w:b/>
        </w:rPr>
        <w:t>RESULTANCIAS DEL TRÁMITE</w:t>
      </w:r>
    </w:p>
    <w:p w:rsidR="007F2905" w:rsidRDefault="007F2905" w:rsidP="009773E7">
      <w:pPr>
        <w:pStyle w:val="Textoindependiente"/>
        <w:keepNext/>
        <w:tabs>
          <w:tab w:val="left" w:pos="1695"/>
        </w:tabs>
        <w:suppressAutoHyphens w:val="0"/>
        <w:spacing w:before="240" w:line="360" w:lineRule="auto"/>
        <w:jc w:val="both"/>
        <w:rPr>
          <w:rFonts w:ascii="Arial" w:hAnsi="Arial"/>
        </w:rPr>
      </w:pPr>
      <w:r>
        <w:rPr>
          <w:rFonts w:ascii="Arial" w:hAnsi="Arial"/>
          <w:b/>
          <w:bCs/>
        </w:rPr>
        <w:t xml:space="preserve">3.1) </w:t>
      </w:r>
      <w:r>
        <w:rPr>
          <w:rFonts w:ascii="Arial" w:hAnsi="Arial"/>
        </w:rPr>
        <w:t xml:space="preserve">El fideicomiso proyectado es por </w:t>
      </w:r>
      <w:r>
        <w:rPr>
          <w:rFonts w:ascii="Arial" w:hAnsi="Arial"/>
          <w:spacing w:val="-3"/>
          <w:lang w:val="es-ES_tradnl"/>
        </w:rPr>
        <w:t xml:space="preserve">un importe de $ 2.550.000.000 más </w:t>
      </w:r>
      <w:r>
        <w:rPr>
          <w:rFonts w:ascii="Arial" w:hAnsi="Arial"/>
        </w:rPr>
        <w:t>intereses a pagar en UI, convertidos a la fecha de materialización del financiamiento, con una tasa de interés máxima del 7,5%, un plazo de amortización de 20 años y un período de gracia de 2 años.</w:t>
      </w:r>
    </w:p>
    <w:p w:rsidR="007F2905" w:rsidRDefault="007F2905" w:rsidP="009773E7">
      <w:pPr>
        <w:pStyle w:val="Textoindependiente"/>
        <w:keepNext/>
        <w:suppressAutoHyphens w:val="0"/>
        <w:spacing w:before="240" w:line="360" w:lineRule="auto"/>
        <w:ind w:left="15"/>
        <w:jc w:val="both"/>
        <w:rPr>
          <w:rFonts w:ascii="Arial" w:hAnsi="Arial"/>
        </w:rPr>
      </w:pPr>
      <w:r>
        <w:rPr>
          <w:rFonts w:ascii="Arial" w:hAnsi="Arial"/>
          <w:b/>
          <w:bCs/>
        </w:rPr>
        <w:t xml:space="preserve">3.2) </w:t>
      </w:r>
      <w:r>
        <w:rPr>
          <w:rFonts w:ascii="Arial" w:hAnsi="Arial"/>
        </w:rPr>
        <w:t>Surge de informes adjuntos a la iniciativa, que el fideicomiso se celebraría con República AFISA.</w:t>
      </w:r>
    </w:p>
    <w:p w:rsidR="007F2905" w:rsidRDefault="007F2905" w:rsidP="009773E7">
      <w:pPr>
        <w:pStyle w:val="Textoindependiente"/>
        <w:keepNext/>
        <w:suppressAutoHyphens w:val="0"/>
        <w:spacing w:before="240" w:after="0" w:line="360" w:lineRule="auto"/>
        <w:ind w:left="17"/>
        <w:jc w:val="both"/>
        <w:rPr>
          <w:rFonts w:ascii="Arial" w:hAnsi="Arial"/>
        </w:rPr>
      </w:pPr>
      <w:r>
        <w:rPr>
          <w:rFonts w:ascii="Arial" w:hAnsi="Arial"/>
          <w:b/>
          <w:bCs/>
        </w:rPr>
        <w:t>3.3)</w:t>
      </w:r>
      <w:r>
        <w:rPr>
          <w:rFonts w:ascii="Arial" w:hAnsi="Arial"/>
        </w:rPr>
        <w:t xml:space="preserve"> Se informa que el fiduciario emitirá en Bolsa de Valores con el fin de obtener de terceros interesados, los fondos futuros que ingresen al fideicomiso, con los que se pagarán las obras contratadas por la Intendencia. Dichos fondos provenientes de terceros, con sus intereses, gastos y costos, se amortizarán  periódicamente  con  fondos  provenientes de la cobranza descentralizada </w:t>
      </w:r>
      <w:proofErr w:type="spellStart"/>
      <w:r>
        <w:rPr>
          <w:rFonts w:ascii="Arial" w:hAnsi="Arial"/>
        </w:rPr>
        <w:t>securitizada</w:t>
      </w:r>
      <w:proofErr w:type="spellEnd"/>
      <w:r>
        <w:rPr>
          <w:rFonts w:ascii="Arial" w:hAnsi="Arial"/>
        </w:rPr>
        <w:t>, comprometiéndose un porcentaje menor del total (2,8%) de la recaudación estimada de la Comuna.</w:t>
      </w:r>
    </w:p>
    <w:p w:rsidR="007F2905" w:rsidRDefault="007F2905" w:rsidP="009773E7">
      <w:pPr>
        <w:pStyle w:val="Textoindependiente"/>
        <w:keepNext/>
        <w:suppressAutoHyphens w:val="0"/>
        <w:spacing w:line="360" w:lineRule="auto"/>
        <w:ind w:hanging="15"/>
        <w:jc w:val="both"/>
        <w:rPr>
          <w:rFonts w:ascii="Arial" w:hAnsi="Arial"/>
          <w:b/>
          <w:bCs/>
        </w:rPr>
      </w:pPr>
    </w:p>
    <w:p w:rsidR="007F2905" w:rsidRDefault="007F2905" w:rsidP="009773E7">
      <w:pPr>
        <w:keepNext/>
        <w:numPr>
          <w:ilvl w:val="0"/>
          <w:numId w:val="1"/>
        </w:numPr>
        <w:tabs>
          <w:tab w:val="left" w:pos="-981"/>
          <w:tab w:val="left" w:pos="294"/>
          <w:tab w:val="left" w:pos="1650"/>
        </w:tabs>
        <w:suppressAutoHyphens w:val="0"/>
        <w:spacing w:line="360" w:lineRule="auto"/>
        <w:ind w:hanging="720"/>
        <w:rPr>
          <w:rFonts w:ascii="Arial" w:hAnsi="Arial"/>
          <w:b/>
          <w:bCs/>
        </w:rPr>
      </w:pPr>
      <w:r>
        <w:rPr>
          <w:rFonts w:ascii="Arial" w:hAnsi="Arial"/>
          <w:b/>
          <w:bCs/>
        </w:rPr>
        <w:t>SITUACIÓN FINANCIERA</w:t>
      </w:r>
    </w:p>
    <w:p w:rsidR="007F2905" w:rsidRDefault="007F2905" w:rsidP="009773E7">
      <w:pPr>
        <w:pStyle w:val="Textoindependiente"/>
        <w:keepNext/>
        <w:suppressAutoHyphens w:val="0"/>
        <w:spacing w:before="240" w:after="0" w:line="360" w:lineRule="auto"/>
        <w:jc w:val="both"/>
        <w:rPr>
          <w:rFonts w:ascii="Arial" w:hAnsi="Arial" w:cs="Arial"/>
          <w:color w:val="000000"/>
        </w:rPr>
      </w:pPr>
      <w:r>
        <w:rPr>
          <w:rFonts w:ascii="Arial" w:hAnsi="Arial" w:cs="Arial"/>
          <w:color w:val="000000"/>
        </w:rPr>
        <w:t>De acuerdo con las Rendiciones de Cuentas presentadas por la Intendencia correspondientes a los Ejercicios 2011 a 2014, esta presenta una situación financiera que se resume de la siguiente forma (expresada en miles de pesos uruguayos):</w:t>
      </w:r>
    </w:p>
    <w:tbl>
      <w:tblPr>
        <w:tblW w:w="0" w:type="auto"/>
        <w:tblInd w:w="747" w:type="dxa"/>
        <w:tblLayout w:type="fixed"/>
        <w:tblCellMar>
          <w:left w:w="70" w:type="dxa"/>
          <w:right w:w="70" w:type="dxa"/>
        </w:tblCellMar>
        <w:tblLook w:val="0000" w:firstRow="0" w:lastRow="0" w:firstColumn="0" w:lastColumn="0" w:noHBand="0" w:noVBand="0"/>
      </w:tblPr>
      <w:tblGrid>
        <w:gridCol w:w="1080"/>
        <w:gridCol w:w="2430"/>
        <w:gridCol w:w="1680"/>
        <w:gridCol w:w="2325"/>
      </w:tblGrid>
      <w:tr w:rsidR="007F2905">
        <w:trPr>
          <w:trHeight w:val="810"/>
        </w:trPr>
        <w:tc>
          <w:tcPr>
            <w:tcW w:w="1080" w:type="dxa"/>
            <w:tcBorders>
              <w:top w:val="single" w:sz="4" w:space="0" w:color="000000"/>
              <w:left w:val="single" w:sz="4" w:space="0" w:color="000000"/>
              <w:bottom w:val="single" w:sz="4" w:space="0" w:color="000000"/>
            </w:tcBorders>
            <w:shd w:val="clear" w:color="auto" w:fill="auto"/>
            <w:vAlign w:val="center"/>
          </w:tcPr>
          <w:p w:rsidR="007F2905" w:rsidRDefault="007F2905" w:rsidP="009773E7">
            <w:pPr>
              <w:keepNext/>
              <w:suppressAutoHyphens w:val="0"/>
              <w:snapToGrid w:val="0"/>
              <w:spacing w:before="240"/>
              <w:jc w:val="center"/>
              <w:rPr>
                <w:rFonts w:ascii="Arial" w:hAnsi="Arial"/>
                <w:b/>
                <w:color w:val="000000"/>
                <w:sz w:val="20"/>
                <w:szCs w:val="20"/>
              </w:rPr>
            </w:pPr>
            <w:r>
              <w:rPr>
                <w:rFonts w:ascii="Arial" w:hAnsi="Arial"/>
                <w:b/>
                <w:color w:val="000000"/>
                <w:sz w:val="20"/>
                <w:szCs w:val="20"/>
              </w:rPr>
              <w:t>AÑO</w:t>
            </w:r>
          </w:p>
        </w:tc>
        <w:tc>
          <w:tcPr>
            <w:tcW w:w="2430" w:type="dxa"/>
            <w:tcBorders>
              <w:top w:val="single" w:sz="4" w:space="0" w:color="000000"/>
              <w:left w:val="single" w:sz="4" w:space="0" w:color="000000"/>
              <w:bottom w:val="single" w:sz="4" w:space="0" w:color="000000"/>
            </w:tcBorders>
            <w:shd w:val="clear" w:color="auto" w:fill="auto"/>
            <w:vAlign w:val="center"/>
          </w:tcPr>
          <w:p w:rsidR="007F2905" w:rsidRDefault="007F2905" w:rsidP="009773E7">
            <w:pPr>
              <w:keepNext/>
              <w:suppressAutoHyphens w:val="0"/>
              <w:snapToGrid w:val="0"/>
              <w:spacing w:before="240"/>
              <w:jc w:val="center"/>
              <w:rPr>
                <w:rFonts w:ascii="Arial" w:hAnsi="Arial"/>
                <w:b/>
                <w:color w:val="000000"/>
                <w:sz w:val="20"/>
                <w:szCs w:val="20"/>
              </w:rPr>
            </w:pPr>
            <w:r>
              <w:rPr>
                <w:rFonts w:ascii="Arial" w:hAnsi="Arial"/>
                <w:b/>
                <w:color w:val="000000"/>
                <w:sz w:val="20"/>
                <w:szCs w:val="20"/>
              </w:rPr>
              <w:t>DÉFICIT ACUMULADO</w:t>
            </w:r>
          </w:p>
        </w:tc>
        <w:tc>
          <w:tcPr>
            <w:tcW w:w="1680" w:type="dxa"/>
            <w:tcBorders>
              <w:top w:val="single" w:sz="4" w:space="0" w:color="000000"/>
              <w:left w:val="single" w:sz="4" w:space="0" w:color="000000"/>
              <w:bottom w:val="single" w:sz="4" w:space="0" w:color="000000"/>
            </w:tcBorders>
            <w:shd w:val="clear" w:color="auto" w:fill="auto"/>
            <w:vAlign w:val="center"/>
          </w:tcPr>
          <w:p w:rsidR="007F2905" w:rsidRDefault="007F2905" w:rsidP="009773E7">
            <w:pPr>
              <w:keepNext/>
              <w:suppressAutoHyphens w:val="0"/>
              <w:snapToGrid w:val="0"/>
              <w:spacing w:before="240"/>
              <w:jc w:val="center"/>
              <w:rPr>
                <w:rFonts w:ascii="Arial" w:hAnsi="Arial"/>
                <w:b/>
                <w:color w:val="000000"/>
                <w:sz w:val="20"/>
                <w:szCs w:val="20"/>
              </w:rPr>
            </w:pPr>
            <w:r>
              <w:rPr>
                <w:rFonts w:ascii="Arial" w:hAnsi="Arial"/>
                <w:b/>
                <w:color w:val="000000"/>
                <w:sz w:val="20"/>
                <w:szCs w:val="20"/>
              </w:rPr>
              <w:t>RECAUDACIÓN</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2905" w:rsidRDefault="007F2905" w:rsidP="009773E7">
            <w:pPr>
              <w:keepNext/>
              <w:suppressAutoHyphens w:val="0"/>
              <w:snapToGrid w:val="0"/>
              <w:spacing w:before="240"/>
              <w:jc w:val="center"/>
              <w:rPr>
                <w:rFonts w:ascii="Arial" w:hAnsi="Arial"/>
                <w:b/>
                <w:color w:val="000000"/>
                <w:sz w:val="20"/>
                <w:szCs w:val="20"/>
              </w:rPr>
            </w:pPr>
            <w:r>
              <w:rPr>
                <w:rFonts w:ascii="Arial" w:hAnsi="Arial"/>
                <w:b/>
                <w:color w:val="000000"/>
                <w:sz w:val="20"/>
                <w:szCs w:val="20"/>
              </w:rPr>
              <w:t>DEF.ACUM/RECAUD.</w:t>
            </w:r>
          </w:p>
        </w:tc>
      </w:tr>
      <w:tr w:rsidR="007F2905">
        <w:trPr>
          <w:trHeight w:val="300"/>
        </w:trPr>
        <w:tc>
          <w:tcPr>
            <w:tcW w:w="1080" w:type="dxa"/>
            <w:tcBorders>
              <w:left w:val="single" w:sz="4" w:space="0" w:color="000000"/>
              <w:bottom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2011</w:t>
            </w:r>
          </w:p>
        </w:tc>
        <w:tc>
          <w:tcPr>
            <w:tcW w:w="2430" w:type="dxa"/>
            <w:tcBorders>
              <w:left w:val="single" w:sz="4" w:space="0" w:color="000000"/>
              <w:bottom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2.562.254</w:t>
            </w:r>
          </w:p>
        </w:tc>
        <w:tc>
          <w:tcPr>
            <w:tcW w:w="1680" w:type="dxa"/>
            <w:tcBorders>
              <w:left w:val="single" w:sz="4" w:space="0" w:color="000000"/>
              <w:bottom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2.447.035</w:t>
            </w:r>
          </w:p>
        </w:tc>
        <w:tc>
          <w:tcPr>
            <w:tcW w:w="2325" w:type="dxa"/>
            <w:tcBorders>
              <w:left w:val="single" w:sz="4" w:space="0" w:color="000000"/>
              <w:bottom w:val="single" w:sz="4" w:space="0" w:color="000000"/>
              <w:right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104.71%</w:t>
            </w:r>
          </w:p>
        </w:tc>
      </w:tr>
      <w:tr w:rsidR="007F2905">
        <w:trPr>
          <w:trHeight w:val="300"/>
        </w:trPr>
        <w:tc>
          <w:tcPr>
            <w:tcW w:w="1080" w:type="dxa"/>
            <w:tcBorders>
              <w:left w:val="single" w:sz="4" w:space="0" w:color="000000"/>
              <w:bottom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2012</w:t>
            </w:r>
          </w:p>
        </w:tc>
        <w:tc>
          <w:tcPr>
            <w:tcW w:w="2430" w:type="dxa"/>
            <w:tcBorders>
              <w:left w:val="single" w:sz="4" w:space="0" w:color="000000"/>
              <w:bottom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2.890.289</w:t>
            </w:r>
          </w:p>
        </w:tc>
        <w:tc>
          <w:tcPr>
            <w:tcW w:w="1680" w:type="dxa"/>
            <w:tcBorders>
              <w:left w:val="single" w:sz="4" w:space="0" w:color="000000"/>
              <w:bottom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3.073.675</w:t>
            </w:r>
          </w:p>
        </w:tc>
        <w:tc>
          <w:tcPr>
            <w:tcW w:w="2325" w:type="dxa"/>
            <w:tcBorders>
              <w:left w:val="single" w:sz="4" w:space="0" w:color="000000"/>
              <w:bottom w:val="single" w:sz="4" w:space="0" w:color="000000"/>
              <w:right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94.00%</w:t>
            </w:r>
          </w:p>
        </w:tc>
      </w:tr>
      <w:tr w:rsidR="007F2905">
        <w:trPr>
          <w:trHeight w:val="300"/>
        </w:trPr>
        <w:tc>
          <w:tcPr>
            <w:tcW w:w="1080" w:type="dxa"/>
            <w:tcBorders>
              <w:left w:val="single" w:sz="4" w:space="0" w:color="000000"/>
              <w:bottom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2013</w:t>
            </w:r>
          </w:p>
        </w:tc>
        <w:tc>
          <w:tcPr>
            <w:tcW w:w="2430" w:type="dxa"/>
            <w:tcBorders>
              <w:left w:val="single" w:sz="4" w:space="0" w:color="000000"/>
              <w:bottom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2.708.728</w:t>
            </w:r>
          </w:p>
        </w:tc>
        <w:tc>
          <w:tcPr>
            <w:tcW w:w="1680" w:type="dxa"/>
            <w:tcBorders>
              <w:left w:val="single" w:sz="4" w:space="0" w:color="000000"/>
              <w:bottom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3.884.728</w:t>
            </w:r>
          </w:p>
        </w:tc>
        <w:tc>
          <w:tcPr>
            <w:tcW w:w="2325" w:type="dxa"/>
            <w:tcBorders>
              <w:left w:val="single" w:sz="4" w:space="0" w:color="000000"/>
              <w:bottom w:val="single" w:sz="4" w:space="0" w:color="000000"/>
              <w:right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69.73%</w:t>
            </w:r>
          </w:p>
        </w:tc>
      </w:tr>
      <w:tr w:rsidR="007F2905">
        <w:trPr>
          <w:trHeight w:val="300"/>
        </w:trPr>
        <w:tc>
          <w:tcPr>
            <w:tcW w:w="1080" w:type="dxa"/>
            <w:tcBorders>
              <w:left w:val="single" w:sz="4" w:space="0" w:color="000000"/>
              <w:bottom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2014</w:t>
            </w:r>
          </w:p>
        </w:tc>
        <w:tc>
          <w:tcPr>
            <w:tcW w:w="2430" w:type="dxa"/>
            <w:tcBorders>
              <w:left w:val="single" w:sz="4" w:space="0" w:color="000000"/>
              <w:bottom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2.700.666</w:t>
            </w:r>
          </w:p>
        </w:tc>
        <w:tc>
          <w:tcPr>
            <w:tcW w:w="1680" w:type="dxa"/>
            <w:tcBorders>
              <w:left w:val="single" w:sz="4" w:space="0" w:color="000000"/>
              <w:bottom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4.027.177</w:t>
            </w:r>
          </w:p>
        </w:tc>
        <w:tc>
          <w:tcPr>
            <w:tcW w:w="2325" w:type="dxa"/>
            <w:tcBorders>
              <w:left w:val="single" w:sz="4" w:space="0" w:color="000000"/>
              <w:bottom w:val="single" w:sz="4" w:space="0" w:color="000000"/>
              <w:right w:val="single" w:sz="4" w:space="0" w:color="000000"/>
            </w:tcBorders>
            <w:shd w:val="clear" w:color="auto" w:fill="auto"/>
            <w:vAlign w:val="bottom"/>
          </w:tcPr>
          <w:p w:rsidR="007F2905" w:rsidRDefault="007F2905" w:rsidP="009773E7">
            <w:pPr>
              <w:keepNext/>
              <w:suppressAutoHyphens w:val="0"/>
              <w:snapToGrid w:val="0"/>
              <w:spacing w:before="240"/>
              <w:jc w:val="center"/>
              <w:rPr>
                <w:rFonts w:ascii="Calibri" w:hAnsi="Calibri"/>
                <w:color w:val="000000"/>
                <w:sz w:val="22"/>
                <w:szCs w:val="22"/>
              </w:rPr>
            </w:pPr>
            <w:r>
              <w:rPr>
                <w:rFonts w:ascii="Calibri" w:hAnsi="Calibri"/>
                <w:color w:val="000000"/>
                <w:sz w:val="22"/>
                <w:szCs w:val="22"/>
              </w:rPr>
              <w:t>67.06%</w:t>
            </w:r>
          </w:p>
        </w:tc>
      </w:tr>
    </w:tbl>
    <w:p w:rsidR="007F2905" w:rsidRDefault="007F2905" w:rsidP="009773E7">
      <w:pPr>
        <w:pStyle w:val="Textoindependiente"/>
        <w:keepNext/>
        <w:shd w:val="clear" w:color="auto" w:fill="FFFFFF"/>
        <w:suppressAutoHyphens w:val="0"/>
        <w:spacing w:before="240" w:after="0" w:line="360" w:lineRule="auto"/>
        <w:jc w:val="both"/>
        <w:rPr>
          <w:rFonts w:ascii="Arial" w:hAnsi="Arial" w:cs="Arial"/>
        </w:rPr>
      </w:pPr>
      <w:r>
        <w:rPr>
          <w:rFonts w:ascii="Arial" w:hAnsi="Arial" w:cs="Arial"/>
        </w:rPr>
        <w:t>En la instancia del Presupuesto Quinquenal 2016-2020, la Intendencia proporcionó información en la cual se proyectaba un superávit anual y el pago de cuotas del nuevo fideicomiso de obras por valores de $ 250 millones anuales, entre 2018 y 2020. Si bien dichos pagos no fueron previstos en el objeto correspondiente, en los cuadros resúmenes del Presupuesto se informó el criterio para el uso del superávit y en ese concepto se incluyeron los pagos del servicio de la deuda correspondientes.</w:t>
      </w:r>
    </w:p>
    <w:p w:rsidR="007F2905" w:rsidRDefault="007F2905" w:rsidP="009773E7">
      <w:pPr>
        <w:pStyle w:val="Textoindependiente"/>
        <w:keepNext/>
        <w:shd w:val="clear" w:color="auto" w:fill="FFFFFF"/>
        <w:suppressAutoHyphens w:val="0"/>
        <w:spacing w:before="240" w:after="0" w:line="360" w:lineRule="auto"/>
        <w:ind w:left="15"/>
        <w:jc w:val="both"/>
        <w:rPr>
          <w:rFonts w:ascii="Arial" w:hAnsi="Arial" w:cs="Arial"/>
        </w:rPr>
      </w:pPr>
      <w:r>
        <w:rPr>
          <w:rFonts w:ascii="Arial" w:hAnsi="Arial" w:cs="Arial"/>
        </w:rPr>
        <w:t>De acuerdo con las condiciones previstas para la contratación del Fideicomiso que se expresaron en el apartado 3), los pagos por concepto de amortizaciones e intereses comenzarían a partir del 2019.</w:t>
      </w:r>
    </w:p>
    <w:p w:rsidR="007F2905" w:rsidRDefault="007F2905" w:rsidP="009773E7">
      <w:pPr>
        <w:pStyle w:val="Textoindependiente"/>
        <w:keepNext/>
        <w:shd w:val="clear" w:color="auto" w:fill="FFFFFF"/>
        <w:suppressAutoHyphens w:val="0"/>
        <w:spacing w:before="240" w:after="0" w:line="360" w:lineRule="auto"/>
        <w:ind w:left="15"/>
        <w:jc w:val="both"/>
        <w:rPr>
          <w:rFonts w:ascii="Arial" w:hAnsi="Arial" w:cs="Arial"/>
        </w:rPr>
      </w:pPr>
      <w:r>
        <w:rPr>
          <w:rFonts w:ascii="Arial" w:hAnsi="Arial" w:cs="Arial"/>
        </w:rPr>
        <w:t xml:space="preserve">Tomando en cuenta lo informado, el monto disponible en el Presupuesto vigente no alcanzaría a cubrir la totalidad de pagos que se generarían entre el 2019 y 2020 en  $ 556. </w:t>
      </w:r>
      <w:proofErr w:type="gramStart"/>
      <w:r>
        <w:rPr>
          <w:rFonts w:ascii="Arial" w:hAnsi="Arial" w:cs="Arial"/>
        </w:rPr>
        <w:t>millones</w:t>
      </w:r>
      <w:proofErr w:type="gramEnd"/>
      <w:r>
        <w:rPr>
          <w:rFonts w:ascii="Arial" w:hAnsi="Arial" w:cs="Arial"/>
        </w:rPr>
        <w:t xml:space="preserve"> aproximadamente.</w:t>
      </w:r>
    </w:p>
    <w:p w:rsidR="007F2905" w:rsidRDefault="007F2905" w:rsidP="009773E7">
      <w:pPr>
        <w:pStyle w:val="Textoindependiente"/>
        <w:keepNext/>
        <w:shd w:val="clear" w:color="auto" w:fill="FFFFFF"/>
        <w:suppressAutoHyphens w:val="0"/>
        <w:spacing w:before="240" w:after="0" w:line="360" w:lineRule="auto"/>
        <w:ind w:left="15"/>
        <w:jc w:val="both"/>
        <w:rPr>
          <w:rFonts w:ascii="Arial" w:hAnsi="Arial" w:cs="Arial"/>
        </w:rPr>
      </w:pPr>
      <w:r>
        <w:rPr>
          <w:rFonts w:ascii="Arial" w:hAnsi="Arial" w:cs="Arial"/>
        </w:rPr>
        <w:t>Esto se debe a que, por disposición constitucional, la Intendencia debería absorber el déficit acumulado al 2014 de $ 1.620 millones, 60% del déficit acumulado al 31/12/2014, aspecto que se tomó en cuenta en el Dictamen del Tribunal de Cuentas relativo al referido Presupuesto, aprobado en Sesión de 27/04/2016. En dicho dictamen se informó que el superávit previsto no sería suficiente para financiar en el quinquenio la totalidad del déficit acumulado. Dicho déficit no financiado ascendería a $ 580 millones, suponiendo que el resultado del Ejercicio 2015, aún no determinado, sea cero.</w:t>
      </w:r>
    </w:p>
    <w:p w:rsidR="007F2905" w:rsidRDefault="007F2905" w:rsidP="009773E7">
      <w:pPr>
        <w:pStyle w:val="Textoindependiente"/>
        <w:keepNext/>
        <w:shd w:val="clear" w:color="auto" w:fill="FFFFFF"/>
        <w:suppressAutoHyphens w:val="0"/>
        <w:spacing w:before="240" w:after="0" w:line="360" w:lineRule="auto"/>
        <w:ind w:left="15"/>
        <w:jc w:val="both"/>
        <w:rPr>
          <w:rFonts w:ascii="Arial" w:hAnsi="Arial" w:cs="Arial"/>
        </w:rPr>
      </w:pPr>
      <w:r>
        <w:rPr>
          <w:rFonts w:ascii="Arial" w:hAnsi="Arial" w:cs="Arial"/>
        </w:rPr>
        <w:t>Dado que los gastos en Intereses y Amortizaciones para el presente quinquenio no superan a las previsiones en $ 24 millones, eso disminuiría al déficit a financiar ya previsto presupuestalmente, lo que implicaría $ 556 millones de déficit acumulado proyectado al final del período quinquenal. Se adjunta Anexo con cuadro explicativo.</w:t>
      </w:r>
    </w:p>
    <w:p w:rsidR="007F2905" w:rsidRDefault="007F2905" w:rsidP="009773E7">
      <w:pPr>
        <w:pStyle w:val="Textoindependiente"/>
        <w:keepNext/>
        <w:shd w:val="clear" w:color="auto" w:fill="FFFFFF"/>
        <w:suppressAutoHyphens w:val="0"/>
        <w:spacing w:before="240" w:after="0" w:line="360" w:lineRule="auto"/>
        <w:ind w:left="15"/>
        <w:jc w:val="both"/>
        <w:rPr>
          <w:rFonts w:ascii="Arial" w:hAnsi="Arial" w:cs="Arial"/>
        </w:rPr>
      </w:pPr>
      <w:r>
        <w:rPr>
          <w:rFonts w:ascii="Arial" w:hAnsi="Arial" w:cs="Arial"/>
        </w:rPr>
        <w:t>Esto significa, que la Intendencia deberá reestructurar su presupuesto de gastos, disminuir el endeudamiento previsto, o incrementar sus ingresos a los efectos de absorber el faltante de $ 556 millones aproximadamente en el quinquenio.</w:t>
      </w:r>
    </w:p>
    <w:p w:rsidR="007F2905" w:rsidRDefault="007F2905" w:rsidP="009773E7">
      <w:pPr>
        <w:pStyle w:val="Textoindependiente"/>
        <w:keepNext/>
        <w:shd w:val="clear" w:color="auto" w:fill="FFFFFF"/>
        <w:suppressAutoHyphens w:val="0"/>
        <w:spacing w:after="0" w:line="360" w:lineRule="auto"/>
        <w:ind w:left="15"/>
        <w:jc w:val="both"/>
        <w:rPr>
          <w:rFonts w:ascii="Arial" w:hAnsi="Arial" w:cs="Arial"/>
        </w:rPr>
      </w:pPr>
      <w:r>
        <w:rPr>
          <w:rFonts w:ascii="Arial" w:hAnsi="Arial" w:cs="Arial"/>
        </w:rPr>
        <w:t xml:space="preserve"> </w:t>
      </w:r>
    </w:p>
    <w:p w:rsidR="007F2905" w:rsidRDefault="007F2905" w:rsidP="009773E7">
      <w:pPr>
        <w:pStyle w:val="Textoindependiente"/>
        <w:keepNext/>
        <w:shd w:val="clear" w:color="auto" w:fill="FFFFFF"/>
        <w:suppressAutoHyphens w:val="0"/>
        <w:spacing w:line="360" w:lineRule="auto"/>
        <w:ind w:left="15" w:firstLine="690"/>
        <w:jc w:val="both"/>
        <w:rPr>
          <w:rFonts w:ascii="Arial" w:hAnsi="Arial" w:cs="Arial"/>
        </w:rPr>
      </w:pPr>
    </w:p>
    <w:p w:rsidR="007F2905" w:rsidRDefault="007F2905" w:rsidP="009773E7">
      <w:pPr>
        <w:pStyle w:val="Textoindependiente"/>
        <w:keepNext/>
        <w:shd w:val="clear" w:color="auto" w:fill="FFFFFF"/>
        <w:suppressAutoHyphens w:val="0"/>
        <w:spacing w:line="360" w:lineRule="auto"/>
        <w:ind w:left="15" w:firstLine="690"/>
        <w:jc w:val="both"/>
        <w:rPr>
          <w:rFonts w:ascii="Arial" w:hAnsi="Arial" w:cs="Arial"/>
        </w:rPr>
      </w:pPr>
    </w:p>
    <w:p w:rsidR="007F2905" w:rsidRDefault="007F2905" w:rsidP="009773E7">
      <w:pPr>
        <w:keepNext/>
        <w:numPr>
          <w:ilvl w:val="0"/>
          <w:numId w:val="1"/>
        </w:numPr>
        <w:tabs>
          <w:tab w:val="left" w:pos="-981"/>
          <w:tab w:val="left" w:pos="294"/>
          <w:tab w:val="left" w:pos="1650"/>
        </w:tabs>
        <w:suppressAutoHyphens w:val="0"/>
        <w:spacing w:line="360" w:lineRule="auto"/>
        <w:ind w:hanging="720"/>
        <w:rPr>
          <w:rFonts w:ascii="Arial" w:hAnsi="Arial"/>
          <w:b/>
          <w:bCs/>
        </w:rPr>
      </w:pPr>
      <w:r>
        <w:rPr>
          <w:rFonts w:ascii="Arial" w:hAnsi="Arial"/>
          <w:b/>
          <w:bCs/>
        </w:rPr>
        <w:t>NORMAS Y CRITERIOS APLICABLES</w:t>
      </w:r>
    </w:p>
    <w:p w:rsidR="007F2905" w:rsidRDefault="007F2905" w:rsidP="009773E7">
      <w:pPr>
        <w:keepNext/>
        <w:suppressAutoHyphens w:val="0"/>
        <w:spacing w:before="240" w:line="360" w:lineRule="auto"/>
        <w:jc w:val="both"/>
        <w:rPr>
          <w:rFonts w:ascii="Arial" w:hAnsi="Arial"/>
          <w:spacing w:val="-3"/>
          <w:lang w:val="es-ES_tradnl"/>
        </w:rPr>
      </w:pPr>
      <w:r>
        <w:rPr>
          <w:rFonts w:ascii="Arial" w:hAnsi="Arial"/>
          <w:b/>
          <w:spacing w:val="-3"/>
          <w:lang w:val="es-ES_tradnl"/>
        </w:rPr>
        <w:t xml:space="preserve">5.1)  </w:t>
      </w:r>
      <w:r>
        <w:rPr>
          <w:rFonts w:ascii="Arial" w:hAnsi="Arial"/>
          <w:spacing w:val="-3"/>
          <w:lang w:val="es-ES_tradnl"/>
        </w:rPr>
        <w:t>De  conformidad  con  el  Artículo  301  Inciso  2º  de  la Constitución de la  República, los Gobiernos Departamentales requieren para contratar préstamos “la iniciativa del Intendente y la aprobación de la mayoría absoluta de votos del total de componentes de la Junta Departamental, previo informe del Tribunal de Cuentas. Si el plazo de los préstamos excediera el período  de  gobierno  del  Intendente  proponente,  se  requerirá  para  su aprobación, los dos tercios de votos del total de componentes de la Junta Departamental”.</w:t>
      </w:r>
    </w:p>
    <w:p w:rsidR="007F2905" w:rsidRDefault="007F2905" w:rsidP="009773E7">
      <w:pPr>
        <w:keepNext/>
        <w:suppressAutoHyphens w:val="0"/>
        <w:spacing w:before="240" w:line="360" w:lineRule="auto"/>
        <w:jc w:val="both"/>
        <w:rPr>
          <w:rFonts w:ascii="Arial" w:hAnsi="Arial"/>
          <w:spacing w:val="-3"/>
          <w:lang w:val="es-ES_tradnl"/>
        </w:rPr>
      </w:pPr>
      <w:r>
        <w:rPr>
          <w:rFonts w:ascii="Arial" w:hAnsi="Arial"/>
          <w:b/>
          <w:spacing w:val="-3"/>
          <w:lang w:val="es-ES_tradnl"/>
        </w:rPr>
        <w:t xml:space="preserve">5.2) </w:t>
      </w:r>
      <w:r>
        <w:rPr>
          <w:rFonts w:ascii="Arial" w:hAnsi="Arial"/>
          <w:spacing w:val="-3"/>
          <w:lang w:val="es-ES_tradnl"/>
        </w:rPr>
        <w:t>El informe del Tribunal tiene por objeto el control de los aspectos  legales  de  la  contratación  proyectada,  proporcionando  asimismo  la información que dispone sobre la evolución de la situación financiera en relación a los recursos del Organismo. Dicho informe, de acuerdo con la norma precitada, debe ser previo al pronunciamiento de la Junta.</w:t>
      </w:r>
    </w:p>
    <w:p w:rsidR="007F2905" w:rsidRDefault="007F2905" w:rsidP="009773E7">
      <w:pPr>
        <w:keepNext/>
        <w:suppressAutoHyphens w:val="0"/>
        <w:spacing w:before="240" w:line="360" w:lineRule="auto"/>
        <w:jc w:val="both"/>
        <w:rPr>
          <w:rFonts w:ascii="Arial" w:hAnsi="Arial"/>
          <w:spacing w:val="-3"/>
          <w:lang w:val="es-ES_tradnl"/>
        </w:rPr>
      </w:pPr>
      <w:r>
        <w:rPr>
          <w:rFonts w:ascii="Arial" w:hAnsi="Arial"/>
          <w:b/>
          <w:bCs/>
          <w:spacing w:val="-3"/>
          <w:lang w:val="es-ES_tradnl"/>
        </w:rPr>
        <w:t>5.3)</w:t>
      </w:r>
      <w:r>
        <w:rPr>
          <w:rFonts w:ascii="Arial" w:hAnsi="Arial"/>
          <w:spacing w:val="-3"/>
          <w:lang w:val="es-ES_tradnl"/>
        </w:rPr>
        <w:t xml:space="preserve">  Resulta de aplicación lo dispuesto por el Artículo 3º de la Ley Nº 17.703 en tanto establece que cuando el Fideicomiso tenga por fin la realización de una obra pública municipal, las Intendencias podrán constituirlo mediante  la  cesión  de  derechos  de  créditos  de  tributos  departamentales, dándose cuenta a la Junta Departamental.</w:t>
      </w:r>
    </w:p>
    <w:p w:rsidR="007F2905" w:rsidRDefault="007F2905" w:rsidP="009773E7">
      <w:pPr>
        <w:keepNext/>
        <w:suppressAutoHyphens w:val="0"/>
        <w:spacing w:before="240" w:line="360" w:lineRule="auto"/>
        <w:jc w:val="both"/>
        <w:rPr>
          <w:rFonts w:ascii="Arial" w:hAnsi="Arial"/>
          <w:spacing w:val="-3"/>
          <w:lang w:val="es-ES_tradnl"/>
        </w:rPr>
      </w:pPr>
      <w:r>
        <w:rPr>
          <w:rFonts w:ascii="Arial" w:hAnsi="Arial"/>
          <w:b/>
          <w:bCs/>
          <w:spacing w:val="-3"/>
          <w:lang w:val="es-ES_tradnl"/>
        </w:rPr>
        <w:t xml:space="preserve">5.4) </w:t>
      </w:r>
      <w:r>
        <w:rPr>
          <w:rFonts w:ascii="Arial" w:hAnsi="Arial"/>
          <w:spacing w:val="-3"/>
          <w:lang w:val="es-ES_tradnl"/>
        </w:rPr>
        <w:t>La elección de República AFISA como fiduciaria en forma directa, se encuentra amparada en lo previsto en el Artículo 33 Literal C) Numeral 1 del TOCAF, dado que República AFISA es una Sociedad Anónima cuyo capital accionario es 100% estatal.</w:t>
      </w:r>
    </w:p>
    <w:p w:rsidR="007F2905" w:rsidRPr="00A34A05" w:rsidRDefault="007F2905" w:rsidP="009773E7">
      <w:pPr>
        <w:keepNext/>
        <w:suppressAutoHyphens w:val="0"/>
        <w:spacing w:line="360" w:lineRule="auto"/>
        <w:jc w:val="both"/>
        <w:rPr>
          <w:lang w:val="es-ES_tradnl"/>
        </w:rPr>
      </w:pPr>
    </w:p>
    <w:p w:rsidR="007F2905" w:rsidRDefault="007F2905" w:rsidP="009773E7">
      <w:pPr>
        <w:keepNext/>
        <w:tabs>
          <w:tab w:val="left" w:pos="-501"/>
          <w:tab w:val="left" w:pos="774"/>
          <w:tab w:val="left" w:pos="2130"/>
        </w:tabs>
        <w:suppressAutoHyphens w:val="0"/>
        <w:spacing w:line="360" w:lineRule="auto"/>
        <w:ind w:left="1200" w:hanging="1200"/>
        <w:rPr>
          <w:rFonts w:ascii="Arial" w:hAnsi="Arial"/>
          <w:b/>
          <w:bCs/>
          <w:spacing w:val="-3"/>
          <w:lang w:val="es-ES_tradnl"/>
        </w:rPr>
      </w:pPr>
    </w:p>
    <w:p w:rsidR="007F2905" w:rsidRDefault="007F2905" w:rsidP="009773E7">
      <w:pPr>
        <w:keepNext/>
        <w:tabs>
          <w:tab w:val="left" w:pos="-501"/>
          <w:tab w:val="left" w:pos="774"/>
          <w:tab w:val="left" w:pos="2130"/>
        </w:tabs>
        <w:suppressAutoHyphens w:val="0"/>
        <w:spacing w:line="360" w:lineRule="auto"/>
        <w:ind w:left="1200" w:hanging="1200"/>
        <w:rPr>
          <w:rFonts w:ascii="Arial" w:hAnsi="Arial"/>
          <w:b/>
          <w:bCs/>
          <w:spacing w:val="-3"/>
          <w:lang w:val="es-ES_tradnl"/>
        </w:rPr>
      </w:pPr>
    </w:p>
    <w:p w:rsidR="007F2905" w:rsidRDefault="007F2905" w:rsidP="009773E7">
      <w:pPr>
        <w:keepNext/>
        <w:tabs>
          <w:tab w:val="left" w:pos="-501"/>
          <w:tab w:val="left" w:pos="774"/>
          <w:tab w:val="left" w:pos="2130"/>
        </w:tabs>
        <w:suppressAutoHyphens w:val="0"/>
        <w:spacing w:line="360" w:lineRule="auto"/>
        <w:ind w:left="1200" w:hanging="1200"/>
        <w:rPr>
          <w:rFonts w:ascii="Arial" w:hAnsi="Arial"/>
          <w:b/>
          <w:bCs/>
          <w:spacing w:val="-3"/>
          <w:lang w:val="es-ES_tradnl"/>
        </w:rPr>
      </w:pPr>
    </w:p>
    <w:p w:rsidR="007F2905" w:rsidRDefault="007F2905" w:rsidP="009773E7">
      <w:pPr>
        <w:keepNext/>
        <w:tabs>
          <w:tab w:val="left" w:pos="-501"/>
          <w:tab w:val="left" w:pos="774"/>
          <w:tab w:val="left" w:pos="2130"/>
        </w:tabs>
        <w:suppressAutoHyphens w:val="0"/>
        <w:spacing w:line="360" w:lineRule="auto"/>
        <w:ind w:left="1200" w:hanging="1200"/>
        <w:rPr>
          <w:rFonts w:ascii="Arial" w:hAnsi="Arial"/>
          <w:b/>
          <w:bCs/>
          <w:spacing w:val="-3"/>
          <w:lang w:val="es-ES_tradnl"/>
        </w:rPr>
      </w:pPr>
      <w:r>
        <w:rPr>
          <w:rFonts w:ascii="Arial" w:hAnsi="Arial"/>
          <w:b/>
          <w:bCs/>
          <w:spacing w:val="-3"/>
          <w:lang w:val="es-ES_tradnl"/>
        </w:rPr>
        <w:t>6) CONCLUSIONES</w:t>
      </w:r>
    </w:p>
    <w:p w:rsidR="007F2905" w:rsidRDefault="007F2905" w:rsidP="009773E7">
      <w:pPr>
        <w:keepNext/>
        <w:suppressAutoHyphens w:val="0"/>
        <w:spacing w:before="240" w:line="360" w:lineRule="auto"/>
        <w:jc w:val="both"/>
        <w:rPr>
          <w:rFonts w:ascii="Arial" w:hAnsi="Arial"/>
          <w:spacing w:val="-3"/>
          <w:lang w:val="es-ES_tradnl"/>
        </w:rPr>
      </w:pPr>
      <w:r>
        <w:rPr>
          <w:rFonts w:ascii="Arial" w:hAnsi="Arial"/>
          <w:b/>
          <w:bCs/>
          <w:spacing w:val="-3"/>
          <w:lang w:val="es-ES_tradnl"/>
        </w:rPr>
        <w:t>6.1)</w:t>
      </w:r>
      <w:r>
        <w:rPr>
          <w:rFonts w:ascii="Arial" w:hAnsi="Arial"/>
          <w:spacing w:val="-3"/>
          <w:lang w:val="es-ES_tradnl"/>
        </w:rPr>
        <w:t xml:space="preserve"> Se ha dado cumplimiento con lo dispuesto por el Artículo 301 Inciso 2º de la Constitución de la República al otorgar el Legislativo Departamental la anuencia condicionada en su eficacia a las resultancias del informe que compete a este Tribunal y en forma previa a la suscripción del contrato.</w:t>
      </w:r>
    </w:p>
    <w:p w:rsidR="007F2905" w:rsidRDefault="007F2905" w:rsidP="009773E7">
      <w:pPr>
        <w:keepNext/>
        <w:suppressAutoHyphens w:val="0"/>
        <w:spacing w:before="240" w:line="360" w:lineRule="auto"/>
        <w:jc w:val="both"/>
        <w:rPr>
          <w:rFonts w:ascii="Arial" w:hAnsi="Arial"/>
          <w:spacing w:val="-3"/>
          <w:lang w:val="es-ES_tradnl"/>
        </w:rPr>
      </w:pPr>
      <w:r>
        <w:rPr>
          <w:rFonts w:ascii="Arial" w:hAnsi="Arial"/>
          <w:b/>
          <w:bCs/>
          <w:spacing w:val="-3"/>
          <w:lang w:val="es-ES_tradnl"/>
        </w:rPr>
        <w:t>6.2)</w:t>
      </w:r>
      <w:r>
        <w:rPr>
          <w:rFonts w:ascii="Arial" w:hAnsi="Arial"/>
          <w:spacing w:val="-3"/>
          <w:lang w:val="es-ES_tradnl"/>
        </w:rPr>
        <w:t xml:space="preserve"> El presente informe se emite en el entendido de que se proyecta exclusivamente un Fideicomiso Financiero y no de Administración que incluya la contratación y ejecución de las obras.</w:t>
      </w:r>
    </w:p>
    <w:p w:rsidR="007F2905" w:rsidRDefault="007F2905" w:rsidP="009773E7">
      <w:pPr>
        <w:keepNext/>
        <w:suppressAutoHyphens w:val="0"/>
        <w:spacing w:before="240" w:line="360" w:lineRule="auto"/>
        <w:jc w:val="both"/>
        <w:rPr>
          <w:rFonts w:ascii="Arial" w:hAnsi="Arial"/>
          <w:spacing w:val="-3"/>
          <w:lang w:val="es-ES_tradnl"/>
        </w:rPr>
      </w:pPr>
      <w:r>
        <w:rPr>
          <w:rFonts w:ascii="Arial" w:hAnsi="Arial"/>
          <w:b/>
          <w:bCs/>
          <w:spacing w:val="-3"/>
          <w:lang w:val="es-ES_tradnl"/>
        </w:rPr>
        <w:t>6.3)</w:t>
      </w:r>
      <w:r>
        <w:rPr>
          <w:rFonts w:ascii="Arial" w:hAnsi="Arial"/>
          <w:spacing w:val="-3"/>
          <w:lang w:val="es-ES_tradnl"/>
        </w:rPr>
        <w:t xml:space="preserve">  Se deberá hacer la previsión presupuestal de fondos para el pago de las obras, así como de los gastos e intereses derivados del Fideicomiso proyectado.</w:t>
      </w:r>
    </w:p>
    <w:p w:rsidR="007F2905" w:rsidRDefault="007F2905" w:rsidP="009773E7">
      <w:pPr>
        <w:keepNext/>
        <w:suppressAutoHyphens w:val="0"/>
        <w:spacing w:before="240" w:line="360" w:lineRule="auto"/>
        <w:jc w:val="both"/>
        <w:rPr>
          <w:rFonts w:ascii="Arial" w:hAnsi="Arial"/>
          <w:spacing w:val="-3"/>
          <w:lang w:val="es-ES_tradnl"/>
        </w:rPr>
      </w:pPr>
      <w:r>
        <w:rPr>
          <w:rFonts w:ascii="Arial" w:hAnsi="Arial"/>
          <w:b/>
          <w:bCs/>
          <w:spacing w:val="-3"/>
          <w:lang w:val="es-ES_tradnl"/>
        </w:rPr>
        <w:t>6.4)</w:t>
      </w:r>
      <w:r>
        <w:rPr>
          <w:rFonts w:ascii="Arial" w:hAnsi="Arial"/>
          <w:spacing w:val="-3"/>
          <w:lang w:val="es-ES_tradnl"/>
        </w:rPr>
        <w:t xml:space="preserve"> Se considera necesario </w:t>
      </w:r>
      <w:r>
        <w:rPr>
          <w:rFonts w:ascii="Arial" w:hAnsi="Arial" w:cs="Arial"/>
        </w:rPr>
        <w:t>reestructurar el presupuesto de gastos o incrementar los ingresos a los efectos de absorber el faltante estimado en el quinquenio  de $ 556 millones.</w:t>
      </w:r>
    </w:p>
    <w:p w:rsidR="007F2905" w:rsidRDefault="007F2905" w:rsidP="009773E7">
      <w:pPr>
        <w:keepNext/>
        <w:suppressAutoHyphens w:val="0"/>
        <w:spacing w:before="240" w:line="360" w:lineRule="auto"/>
        <w:jc w:val="both"/>
        <w:rPr>
          <w:rFonts w:ascii="Arial" w:hAnsi="Arial"/>
          <w:spacing w:val="-3"/>
          <w:lang w:val="es-ES_tradnl"/>
        </w:rPr>
      </w:pPr>
      <w:r>
        <w:rPr>
          <w:rFonts w:ascii="Arial" w:hAnsi="Arial"/>
          <w:b/>
          <w:bCs/>
          <w:spacing w:val="-3"/>
          <w:lang w:val="es-ES_tradnl"/>
        </w:rPr>
        <w:t xml:space="preserve">6.5) </w:t>
      </w:r>
      <w:r>
        <w:rPr>
          <w:rFonts w:ascii="Arial" w:hAnsi="Arial"/>
          <w:spacing w:val="-3"/>
          <w:lang w:val="es-ES_tradnl"/>
        </w:rPr>
        <w:t xml:space="preserve">Otorgada  eficacia  a  la  anuencia  y  culminado  el procedimiento legal de contratación que corresponda, deberá ser éste sometido por la Intendencia actuante, junto con el contrato proyectado o suscrito ad </w:t>
      </w:r>
      <w:proofErr w:type="spellStart"/>
      <w:r>
        <w:rPr>
          <w:rFonts w:ascii="Arial" w:hAnsi="Arial"/>
          <w:spacing w:val="-3"/>
          <w:lang w:val="es-ES_tradnl"/>
        </w:rPr>
        <w:t>referendum</w:t>
      </w:r>
      <w:proofErr w:type="spellEnd"/>
      <w:r>
        <w:rPr>
          <w:rFonts w:ascii="Arial" w:hAnsi="Arial"/>
          <w:spacing w:val="-3"/>
          <w:lang w:val="es-ES_tradnl"/>
        </w:rPr>
        <w:t>, a la intervención preventiva que compete a este Tribunal.</w:t>
      </w:r>
    </w:p>
    <w:p w:rsidR="007F2905" w:rsidRDefault="007F2905" w:rsidP="009773E7">
      <w:pPr>
        <w:keepNext/>
        <w:suppressAutoHyphens w:val="0"/>
        <w:spacing w:before="240" w:line="360" w:lineRule="auto"/>
        <w:jc w:val="both"/>
        <w:rPr>
          <w:rFonts w:ascii="Arial" w:hAnsi="Arial"/>
          <w:spacing w:val="-3"/>
          <w:lang w:val="es-ES_tradnl"/>
        </w:rPr>
      </w:pPr>
    </w:p>
    <w:p w:rsidR="00A46212" w:rsidRPr="007F2905" w:rsidRDefault="007F2905" w:rsidP="009773E7">
      <w:pPr>
        <w:keepNext/>
        <w:suppressAutoHyphens w:val="0"/>
        <w:spacing w:before="240" w:line="360" w:lineRule="auto"/>
        <w:ind w:hanging="426"/>
        <w:jc w:val="both"/>
        <w:rPr>
          <w:rFonts w:ascii="Arial" w:hAnsi="Arial"/>
          <w:spacing w:val="-3"/>
          <w:lang w:val="es-ES_tradnl"/>
        </w:rPr>
      </w:pPr>
      <w:proofErr w:type="gramStart"/>
      <w:r>
        <w:rPr>
          <w:rFonts w:ascii="Arial" w:hAnsi="Arial"/>
          <w:spacing w:val="-3"/>
          <w:lang w:val="es-ES_tradnl"/>
        </w:rPr>
        <w:t>dc</w:t>
      </w:r>
      <w:proofErr w:type="gramEnd"/>
    </w:p>
    <w:sectPr w:rsidR="00A46212" w:rsidRPr="007F2905" w:rsidSect="00B954C3">
      <w:pgSz w:w="11906" w:h="16838" w:code="9"/>
      <w:pgMar w:top="3402" w:right="1701" w:bottom="1701" w:left="1701"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90839"/>
    <w:multiLevelType w:val="hybridMultilevel"/>
    <w:tmpl w:val="4C90825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1F0"/>
    <w:rsid w:val="005A5989"/>
    <w:rsid w:val="005F536F"/>
    <w:rsid w:val="00603657"/>
    <w:rsid w:val="006301F0"/>
    <w:rsid w:val="006A7D14"/>
    <w:rsid w:val="007573F0"/>
    <w:rsid w:val="007F2905"/>
    <w:rsid w:val="00926687"/>
    <w:rsid w:val="009773E7"/>
    <w:rsid w:val="00A46212"/>
    <w:rsid w:val="00B2166F"/>
    <w:rsid w:val="00B954C3"/>
    <w:rsid w:val="00E37B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1F0"/>
    <w:pPr>
      <w:widowControl w:val="0"/>
      <w:suppressAutoHyphens/>
      <w:spacing w:after="0" w:line="240" w:lineRule="auto"/>
    </w:pPr>
    <w:rPr>
      <w:rFonts w:ascii="Times New Roman" w:eastAsia="Lucida Sans Unicode" w:hAnsi="Times New Roman" w:cs="Mangal"/>
      <w:kern w:val="1"/>
      <w:sz w:val="24"/>
      <w:szCs w:val="24"/>
      <w:lang w:val="es-UY"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F2905"/>
    <w:pPr>
      <w:spacing w:after="120"/>
    </w:pPr>
  </w:style>
  <w:style w:type="character" w:customStyle="1" w:styleId="TextoindependienteCar">
    <w:name w:val="Texto independiente Car"/>
    <w:basedOn w:val="Fuentedeprrafopredeter"/>
    <w:link w:val="Textoindependiente"/>
    <w:rsid w:val="007F2905"/>
    <w:rPr>
      <w:rFonts w:ascii="Times New Roman" w:eastAsia="Lucida Sans Unicode" w:hAnsi="Times New Roman" w:cs="Mangal"/>
      <w:kern w:val="1"/>
      <w:sz w:val="24"/>
      <w:szCs w:val="24"/>
      <w:lang w:val="es-UY"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1F0"/>
    <w:pPr>
      <w:widowControl w:val="0"/>
      <w:suppressAutoHyphens/>
      <w:spacing w:after="0" w:line="240" w:lineRule="auto"/>
    </w:pPr>
    <w:rPr>
      <w:rFonts w:ascii="Times New Roman" w:eastAsia="Lucida Sans Unicode" w:hAnsi="Times New Roman" w:cs="Mangal"/>
      <w:kern w:val="1"/>
      <w:sz w:val="24"/>
      <w:szCs w:val="24"/>
      <w:lang w:val="es-UY"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F2905"/>
    <w:pPr>
      <w:spacing w:after="120"/>
    </w:pPr>
  </w:style>
  <w:style w:type="character" w:customStyle="1" w:styleId="TextoindependienteCar">
    <w:name w:val="Texto independiente Car"/>
    <w:basedOn w:val="Fuentedeprrafopredeter"/>
    <w:link w:val="Textoindependiente"/>
    <w:rsid w:val="007F2905"/>
    <w:rPr>
      <w:rFonts w:ascii="Times New Roman" w:eastAsia="Lucida Sans Unicode" w:hAnsi="Times New Roman" w:cs="Mangal"/>
      <w:kern w:val="1"/>
      <w:sz w:val="24"/>
      <w:szCs w:val="24"/>
      <w:lang w:val="es-UY"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23AB9-D828-4835-9C21-F16E84F8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1154</Words>
  <Characters>6348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7</cp:revision>
  <cp:lastPrinted>2016-09-02T20:36:00Z</cp:lastPrinted>
  <dcterms:created xsi:type="dcterms:W3CDTF">2016-06-13T19:40:00Z</dcterms:created>
  <dcterms:modified xsi:type="dcterms:W3CDTF">2016-09-06T20:54:00Z</dcterms:modified>
</cp:coreProperties>
</file>