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74E" w:rsidRPr="00786EEB" w:rsidRDefault="0081274E" w:rsidP="00543E26">
      <w:pPr>
        <w:tabs>
          <w:tab w:val="center" w:pos="4253"/>
        </w:tabs>
        <w:suppressAutoHyphens/>
        <w:jc w:val="right"/>
        <w:rPr>
          <w:rFonts w:ascii="Arial" w:hAnsi="Arial" w:cs="Arial"/>
          <w:b/>
          <w:sz w:val="28"/>
          <w:szCs w:val="28"/>
          <w:lang w:val="es-ES_tradnl"/>
        </w:rPr>
      </w:pPr>
      <w:bookmarkStart w:id="0" w:name="_GoBack"/>
      <w:bookmarkEnd w:id="0"/>
      <w:r w:rsidRPr="00786EEB">
        <w:rPr>
          <w:rFonts w:ascii="Arial" w:hAnsi="Arial" w:cs="Arial"/>
          <w:b/>
          <w:sz w:val="28"/>
          <w:szCs w:val="28"/>
          <w:lang w:val="es-ES_tradnl"/>
        </w:rPr>
        <w:t xml:space="preserve">RES. </w:t>
      </w:r>
      <w:r>
        <w:rPr>
          <w:rFonts w:ascii="Arial" w:hAnsi="Arial" w:cs="Arial"/>
          <w:b/>
          <w:sz w:val="28"/>
          <w:szCs w:val="28"/>
          <w:lang w:val="es-ES_tradnl"/>
        </w:rPr>
        <w:t>2008</w:t>
      </w:r>
      <w:r w:rsidRPr="00786EEB">
        <w:rPr>
          <w:rFonts w:ascii="Arial" w:hAnsi="Arial" w:cs="Arial"/>
          <w:b/>
          <w:sz w:val="28"/>
          <w:szCs w:val="28"/>
          <w:lang w:val="es-ES_tradnl"/>
        </w:rPr>
        <w:t>/16</w:t>
      </w:r>
    </w:p>
    <w:p w:rsidR="0081274E" w:rsidRPr="0081274E" w:rsidRDefault="0081274E" w:rsidP="0081274E">
      <w:pPr>
        <w:tabs>
          <w:tab w:val="center" w:pos="4253"/>
        </w:tabs>
        <w:suppressAutoHyphens/>
        <w:spacing w:after="0" w:line="240" w:lineRule="auto"/>
        <w:jc w:val="center"/>
        <w:rPr>
          <w:rFonts w:ascii="Arial" w:hAnsi="Arial" w:cs="Arial"/>
          <w:b/>
          <w:sz w:val="24"/>
          <w:szCs w:val="24"/>
          <w:lang w:val="es-ES_tradnl"/>
        </w:rPr>
      </w:pPr>
      <w:r w:rsidRPr="0081274E">
        <w:rPr>
          <w:rFonts w:ascii="Arial" w:hAnsi="Arial" w:cs="Arial"/>
          <w:b/>
          <w:sz w:val="24"/>
          <w:szCs w:val="24"/>
          <w:lang w:val="es-ES_tradnl"/>
        </w:rPr>
        <w:t>RESOLUCION ADOPTADA POR EL</w:t>
      </w:r>
    </w:p>
    <w:p w:rsidR="0081274E" w:rsidRPr="0081274E" w:rsidRDefault="0081274E" w:rsidP="0081274E">
      <w:pPr>
        <w:tabs>
          <w:tab w:val="left" w:pos="-720"/>
        </w:tabs>
        <w:suppressAutoHyphens/>
        <w:spacing w:after="0" w:line="240" w:lineRule="auto"/>
        <w:jc w:val="center"/>
        <w:rPr>
          <w:rFonts w:ascii="Arial" w:hAnsi="Arial" w:cs="Arial"/>
          <w:b/>
          <w:sz w:val="24"/>
          <w:szCs w:val="24"/>
          <w:lang w:val="es-ES_tradnl"/>
        </w:rPr>
      </w:pPr>
    </w:p>
    <w:p w:rsidR="0081274E" w:rsidRPr="0081274E" w:rsidRDefault="0081274E" w:rsidP="0081274E">
      <w:pPr>
        <w:tabs>
          <w:tab w:val="center" w:pos="4253"/>
        </w:tabs>
        <w:suppressAutoHyphens/>
        <w:spacing w:after="0" w:line="240" w:lineRule="auto"/>
        <w:jc w:val="center"/>
        <w:rPr>
          <w:rFonts w:ascii="Arial" w:hAnsi="Arial" w:cs="Arial"/>
          <w:b/>
          <w:sz w:val="24"/>
          <w:szCs w:val="24"/>
          <w:lang w:val="es-ES_tradnl"/>
        </w:rPr>
      </w:pPr>
      <w:r w:rsidRPr="0081274E">
        <w:rPr>
          <w:rFonts w:ascii="Arial" w:hAnsi="Arial" w:cs="Arial"/>
          <w:b/>
          <w:sz w:val="24"/>
          <w:szCs w:val="24"/>
          <w:lang w:val="es-ES_tradnl"/>
        </w:rPr>
        <w:t>TRIBUNAL DE CUENTAS</w:t>
      </w:r>
    </w:p>
    <w:p w:rsidR="0081274E" w:rsidRPr="0081274E" w:rsidRDefault="0081274E" w:rsidP="0081274E">
      <w:pPr>
        <w:tabs>
          <w:tab w:val="left" w:pos="-720"/>
        </w:tabs>
        <w:suppressAutoHyphens/>
        <w:spacing w:after="0" w:line="240" w:lineRule="auto"/>
        <w:jc w:val="center"/>
        <w:rPr>
          <w:rFonts w:ascii="Arial" w:hAnsi="Arial" w:cs="Arial"/>
          <w:b/>
          <w:sz w:val="24"/>
          <w:szCs w:val="24"/>
          <w:lang w:val="es-ES_tradnl"/>
        </w:rPr>
      </w:pPr>
    </w:p>
    <w:p w:rsidR="0081274E" w:rsidRPr="0081274E" w:rsidRDefault="0081274E" w:rsidP="0081274E">
      <w:pPr>
        <w:tabs>
          <w:tab w:val="center" w:pos="4253"/>
        </w:tabs>
        <w:suppressAutoHyphens/>
        <w:spacing w:after="0" w:line="240" w:lineRule="auto"/>
        <w:jc w:val="center"/>
        <w:rPr>
          <w:rFonts w:ascii="Arial" w:hAnsi="Arial" w:cs="Arial"/>
          <w:b/>
          <w:sz w:val="24"/>
          <w:szCs w:val="24"/>
          <w:lang w:val="es-ES_tradnl"/>
        </w:rPr>
      </w:pPr>
      <w:r w:rsidRPr="0081274E">
        <w:rPr>
          <w:rFonts w:ascii="Arial" w:hAnsi="Arial" w:cs="Arial"/>
          <w:b/>
          <w:sz w:val="24"/>
          <w:szCs w:val="24"/>
          <w:lang w:val="es-ES_tradnl"/>
        </w:rPr>
        <w:t>EN SESION DE FECHA 8</w:t>
      </w:r>
      <w:r w:rsidRPr="0081274E">
        <w:rPr>
          <w:rFonts w:ascii="Helvetica" w:hAnsi="Helvetica"/>
          <w:b/>
          <w:sz w:val="24"/>
          <w:szCs w:val="24"/>
          <w:lang w:val="es-ES_tradnl"/>
        </w:rPr>
        <w:t xml:space="preserve"> DE JUNIO DE 2016</w:t>
      </w:r>
    </w:p>
    <w:p w:rsidR="0081274E" w:rsidRPr="0081274E" w:rsidRDefault="0081274E" w:rsidP="0081274E">
      <w:pPr>
        <w:tabs>
          <w:tab w:val="center" w:pos="4253"/>
        </w:tabs>
        <w:suppressAutoHyphens/>
        <w:spacing w:after="0" w:line="240" w:lineRule="auto"/>
        <w:jc w:val="center"/>
        <w:rPr>
          <w:rFonts w:ascii="Arial" w:hAnsi="Arial" w:cs="Arial"/>
          <w:b/>
          <w:sz w:val="24"/>
          <w:szCs w:val="24"/>
          <w:lang w:val="es-ES_tradnl"/>
        </w:rPr>
      </w:pPr>
    </w:p>
    <w:p w:rsidR="0081274E" w:rsidRPr="0081274E" w:rsidRDefault="0081274E" w:rsidP="0081274E">
      <w:pPr>
        <w:tabs>
          <w:tab w:val="center" w:pos="4253"/>
        </w:tabs>
        <w:suppressAutoHyphens/>
        <w:spacing w:after="0" w:line="240" w:lineRule="auto"/>
        <w:jc w:val="center"/>
        <w:rPr>
          <w:rFonts w:ascii="Arial" w:hAnsi="Arial" w:cs="Arial"/>
          <w:b/>
          <w:sz w:val="24"/>
          <w:szCs w:val="24"/>
          <w:lang w:val="es-AR"/>
        </w:rPr>
      </w:pPr>
      <w:r w:rsidRPr="0081274E">
        <w:rPr>
          <w:rFonts w:ascii="Arial" w:hAnsi="Arial" w:cs="Arial"/>
          <w:b/>
          <w:sz w:val="24"/>
          <w:szCs w:val="24"/>
          <w:lang w:val="es-AR"/>
        </w:rPr>
        <w:t xml:space="preserve">(E. E. Nº 2016-17-1-0002977, </w:t>
      </w:r>
      <w:proofErr w:type="spellStart"/>
      <w:r w:rsidRPr="0081274E">
        <w:rPr>
          <w:rFonts w:ascii="Arial" w:hAnsi="Arial" w:cs="Arial"/>
          <w:b/>
          <w:sz w:val="24"/>
          <w:szCs w:val="24"/>
          <w:lang w:val="es-AR"/>
        </w:rPr>
        <w:t>Ents</w:t>
      </w:r>
      <w:proofErr w:type="spellEnd"/>
      <w:r w:rsidRPr="0081274E">
        <w:rPr>
          <w:rFonts w:ascii="Arial" w:hAnsi="Arial" w:cs="Arial"/>
          <w:b/>
          <w:sz w:val="24"/>
          <w:szCs w:val="24"/>
          <w:lang w:val="es-AR"/>
        </w:rPr>
        <w:t xml:space="preserve">. </w:t>
      </w:r>
      <w:r>
        <w:rPr>
          <w:rFonts w:ascii="Arial" w:hAnsi="Arial" w:cs="Arial"/>
          <w:b/>
          <w:sz w:val="24"/>
          <w:szCs w:val="24"/>
          <w:lang w:val="es-AR"/>
        </w:rPr>
        <w:t>2242/16 y 2592/16</w:t>
      </w:r>
      <w:r w:rsidRPr="0081274E">
        <w:rPr>
          <w:rFonts w:ascii="Arial" w:hAnsi="Arial" w:cs="Arial"/>
          <w:b/>
          <w:sz w:val="24"/>
          <w:szCs w:val="24"/>
          <w:lang w:val="es-AR"/>
        </w:rPr>
        <w:t>)</w:t>
      </w:r>
    </w:p>
    <w:p w:rsidR="0081274E" w:rsidRPr="0081274E" w:rsidRDefault="0081274E">
      <w:pPr>
        <w:tabs>
          <w:tab w:val="center" w:pos="4253"/>
        </w:tabs>
        <w:suppressAutoHyphens/>
        <w:jc w:val="center"/>
        <w:rPr>
          <w:rFonts w:ascii="Helvetica" w:hAnsi="Helvetica"/>
          <w:b/>
          <w:lang w:val="es-AR"/>
        </w:rPr>
      </w:pPr>
    </w:p>
    <w:p w:rsidR="0081274E" w:rsidRDefault="005E68FF" w:rsidP="0081274E">
      <w:pPr>
        <w:autoSpaceDE w:val="0"/>
        <w:autoSpaceDN w:val="0"/>
        <w:adjustRightInd w:val="0"/>
        <w:spacing w:after="0" w:line="360" w:lineRule="auto"/>
        <w:ind w:firstLine="851"/>
        <w:jc w:val="both"/>
        <w:rPr>
          <w:rFonts w:ascii="Arial" w:hAnsi="Arial" w:cs="Arial"/>
          <w:bCs/>
          <w:sz w:val="24"/>
          <w:szCs w:val="24"/>
        </w:rPr>
      </w:pPr>
      <w:r w:rsidRPr="00ED1A02">
        <w:rPr>
          <w:rFonts w:ascii="Arial" w:hAnsi="Arial" w:cs="Arial"/>
          <w:b/>
          <w:bCs/>
          <w:sz w:val="24"/>
          <w:szCs w:val="24"/>
        </w:rPr>
        <w:t xml:space="preserve">VISTO: </w:t>
      </w:r>
      <w:r w:rsidRPr="00ED1A02">
        <w:rPr>
          <w:rFonts w:ascii="Arial" w:hAnsi="Arial" w:cs="Arial"/>
          <w:bCs/>
          <w:sz w:val="24"/>
          <w:szCs w:val="24"/>
        </w:rPr>
        <w:t>las Notas de fecha 02/05/2016 y 20/05/2016 remitidas por la Universidad Tecnológica (UTEC) por las cuales se solicita prórroga para presentar los Estados Contables al 31/12/2013, 31/12/2014 y al 31/12/2015 y se consulta sobre el marco normativo aplicable;</w:t>
      </w:r>
    </w:p>
    <w:p w:rsidR="0081274E" w:rsidRDefault="005E68FF" w:rsidP="0081274E">
      <w:pPr>
        <w:autoSpaceDE w:val="0"/>
        <w:autoSpaceDN w:val="0"/>
        <w:adjustRightInd w:val="0"/>
        <w:spacing w:after="0" w:line="360" w:lineRule="auto"/>
        <w:ind w:firstLine="851"/>
        <w:jc w:val="both"/>
        <w:rPr>
          <w:rFonts w:ascii="Arial" w:hAnsi="Arial" w:cs="Arial"/>
          <w:bCs/>
          <w:sz w:val="24"/>
          <w:szCs w:val="24"/>
        </w:rPr>
      </w:pPr>
      <w:r w:rsidRPr="00ED1A02">
        <w:rPr>
          <w:rFonts w:ascii="Arial" w:hAnsi="Arial" w:cs="Arial"/>
          <w:b/>
          <w:bCs/>
          <w:sz w:val="24"/>
          <w:szCs w:val="24"/>
        </w:rPr>
        <w:t xml:space="preserve">RESULTANDO: 1) </w:t>
      </w:r>
      <w:r w:rsidRPr="00ED1A02">
        <w:rPr>
          <w:rFonts w:ascii="Arial" w:hAnsi="Arial" w:cs="Arial"/>
          <w:bCs/>
          <w:sz w:val="24"/>
          <w:szCs w:val="24"/>
        </w:rPr>
        <w:t>que</w:t>
      </w:r>
      <w:r w:rsidR="00E27583">
        <w:rPr>
          <w:rFonts w:ascii="Arial" w:hAnsi="Arial" w:cs="Arial"/>
          <w:bCs/>
          <w:sz w:val="24"/>
          <w:szCs w:val="24"/>
        </w:rPr>
        <w:t xml:space="preserve"> se expresa que </w:t>
      </w:r>
      <w:r w:rsidRPr="00ED1A02">
        <w:rPr>
          <w:rFonts w:ascii="Arial" w:hAnsi="Arial" w:cs="Arial"/>
          <w:sz w:val="24"/>
          <w:szCs w:val="24"/>
        </w:rPr>
        <w:t xml:space="preserve">los mencionados </w:t>
      </w:r>
      <w:r w:rsidRPr="00ED1A02">
        <w:rPr>
          <w:rFonts w:ascii="Arial" w:hAnsi="Arial" w:cs="Arial"/>
          <w:bCs/>
          <w:sz w:val="24"/>
          <w:szCs w:val="24"/>
        </w:rPr>
        <w:t xml:space="preserve">estados están siendo auditados por una firma de auditores externos y </w:t>
      </w:r>
      <w:r w:rsidR="00E27583">
        <w:rPr>
          <w:rFonts w:ascii="Arial" w:hAnsi="Arial" w:cs="Arial"/>
          <w:bCs/>
          <w:sz w:val="24"/>
          <w:szCs w:val="24"/>
        </w:rPr>
        <w:t>se solicita una pró</w:t>
      </w:r>
      <w:r w:rsidRPr="00ED1A02">
        <w:rPr>
          <w:rFonts w:ascii="Arial" w:hAnsi="Arial" w:cs="Arial"/>
          <w:bCs/>
          <w:sz w:val="24"/>
          <w:szCs w:val="24"/>
        </w:rPr>
        <w:t>rroga hasta el 31/07/2016 para su presentación;</w:t>
      </w:r>
    </w:p>
    <w:p w:rsidR="005E68FF" w:rsidRPr="00ED1A02" w:rsidRDefault="005E68FF" w:rsidP="0081274E">
      <w:pPr>
        <w:autoSpaceDE w:val="0"/>
        <w:autoSpaceDN w:val="0"/>
        <w:adjustRightInd w:val="0"/>
        <w:spacing w:after="0" w:line="360" w:lineRule="auto"/>
        <w:ind w:firstLine="2694"/>
        <w:jc w:val="both"/>
        <w:rPr>
          <w:rFonts w:ascii="Arial" w:hAnsi="Arial" w:cs="Arial"/>
          <w:sz w:val="24"/>
          <w:szCs w:val="24"/>
        </w:rPr>
      </w:pPr>
      <w:r w:rsidRPr="00ED1A02">
        <w:rPr>
          <w:rFonts w:ascii="Arial" w:hAnsi="Arial" w:cs="Arial"/>
          <w:b/>
          <w:sz w:val="24"/>
          <w:szCs w:val="24"/>
        </w:rPr>
        <w:t xml:space="preserve">2) </w:t>
      </w:r>
      <w:r w:rsidRPr="00ED1A02">
        <w:rPr>
          <w:rFonts w:ascii="Arial" w:hAnsi="Arial" w:cs="Arial"/>
          <w:sz w:val="24"/>
          <w:szCs w:val="24"/>
        </w:rPr>
        <w:t>que</w:t>
      </w:r>
      <w:r w:rsidR="00E27583">
        <w:rPr>
          <w:rFonts w:ascii="Arial" w:hAnsi="Arial" w:cs="Arial"/>
          <w:sz w:val="24"/>
          <w:szCs w:val="24"/>
        </w:rPr>
        <w:t>,</w:t>
      </w:r>
      <w:r w:rsidRPr="00ED1A02">
        <w:rPr>
          <w:rFonts w:ascii="Arial" w:hAnsi="Arial" w:cs="Arial"/>
          <w:sz w:val="24"/>
          <w:szCs w:val="24"/>
        </w:rPr>
        <w:t xml:space="preserve"> además</w:t>
      </w:r>
      <w:r w:rsidR="00E27583">
        <w:rPr>
          <w:rFonts w:ascii="Arial" w:hAnsi="Arial" w:cs="Arial"/>
          <w:sz w:val="24"/>
          <w:szCs w:val="24"/>
        </w:rPr>
        <w:t>,</w:t>
      </w:r>
      <w:r w:rsidRPr="00ED1A02">
        <w:rPr>
          <w:rFonts w:ascii="Arial" w:hAnsi="Arial" w:cs="Arial"/>
          <w:sz w:val="24"/>
          <w:szCs w:val="24"/>
        </w:rPr>
        <w:t xml:space="preserve"> se consulta si resulta aplicable el marco normativo de NIIF para Pymes para la elaboración de los mismos;</w:t>
      </w:r>
    </w:p>
    <w:p w:rsidR="0081274E" w:rsidRDefault="005E68FF" w:rsidP="0081274E">
      <w:pPr>
        <w:autoSpaceDE w:val="0"/>
        <w:autoSpaceDN w:val="0"/>
        <w:adjustRightInd w:val="0"/>
        <w:spacing w:after="0" w:line="360" w:lineRule="auto"/>
        <w:ind w:firstLine="851"/>
        <w:jc w:val="both"/>
        <w:rPr>
          <w:rFonts w:ascii="Arial" w:hAnsi="Arial" w:cs="Arial"/>
          <w:sz w:val="24"/>
          <w:szCs w:val="24"/>
        </w:rPr>
      </w:pPr>
      <w:r w:rsidRPr="00ED1A02">
        <w:rPr>
          <w:rFonts w:ascii="Arial" w:hAnsi="Arial" w:cs="Arial"/>
          <w:b/>
          <w:sz w:val="24"/>
          <w:szCs w:val="24"/>
        </w:rPr>
        <w:t>CONSIDERANDO: 1</w:t>
      </w:r>
      <w:r w:rsidRPr="00ED1A02">
        <w:rPr>
          <w:rFonts w:ascii="Arial" w:hAnsi="Arial" w:cs="Arial"/>
          <w:b/>
          <w:bCs/>
          <w:sz w:val="24"/>
          <w:szCs w:val="24"/>
        </w:rPr>
        <w:t xml:space="preserve">) </w:t>
      </w:r>
      <w:r w:rsidR="0081274E">
        <w:rPr>
          <w:rFonts w:ascii="Arial" w:hAnsi="Arial" w:cs="Arial"/>
          <w:sz w:val="24"/>
          <w:szCs w:val="24"/>
        </w:rPr>
        <w:t>que el A</w:t>
      </w:r>
      <w:r w:rsidRPr="00ED1A02">
        <w:rPr>
          <w:rFonts w:ascii="Arial" w:hAnsi="Arial" w:cs="Arial"/>
          <w:sz w:val="24"/>
          <w:szCs w:val="24"/>
        </w:rPr>
        <w:t>rtículo 32 de la Ordenanza Nº 81</w:t>
      </w:r>
      <w:r w:rsidR="00E47783">
        <w:rPr>
          <w:rFonts w:ascii="Arial" w:hAnsi="Arial" w:cs="Arial"/>
          <w:sz w:val="24"/>
          <w:szCs w:val="24"/>
        </w:rPr>
        <w:t xml:space="preserve"> </w:t>
      </w:r>
      <w:r w:rsidRPr="00ED1A02">
        <w:rPr>
          <w:rFonts w:ascii="Arial" w:hAnsi="Arial" w:cs="Arial"/>
          <w:sz w:val="24"/>
          <w:szCs w:val="24"/>
        </w:rPr>
        <w:t xml:space="preserve">de 17/12/2002 establece que los </w:t>
      </w:r>
      <w:r w:rsidR="00E27583">
        <w:rPr>
          <w:rFonts w:ascii="Arial" w:hAnsi="Arial" w:cs="Arial"/>
          <w:sz w:val="24"/>
          <w:szCs w:val="24"/>
        </w:rPr>
        <w:t>e</w:t>
      </w:r>
      <w:r w:rsidRPr="00ED1A02">
        <w:rPr>
          <w:rFonts w:ascii="Arial" w:hAnsi="Arial" w:cs="Arial"/>
          <w:sz w:val="24"/>
          <w:szCs w:val="24"/>
        </w:rPr>
        <w:t xml:space="preserve">stados </w:t>
      </w:r>
      <w:r w:rsidR="00E27583">
        <w:rPr>
          <w:rFonts w:ascii="Arial" w:hAnsi="Arial" w:cs="Arial"/>
          <w:sz w:val="24"/>
          <w:szCs w:val="24"/>
        </w:rPr>
        <w:t xml:space="preserve">contables deben ser presentados </w:t>
      </w:r>
      <w:r w:rsidRPr="00ED1A02">
        <w:rPr>
          <w:rFonts w:ascii="Arial" w:hAnsi="Arial" w:cs="Arial"/>
          <w:sz w:val="24"/>
          <w:szCs w:val="24"/>
        </w:rPr>
        <w:t>ante el Tribunal de Cuentas dentro de los noventa</w:t>
      </w:r>
      <w:r w:rsidR="0081274E">
        <w:rPr>
          <w:rFonts w:ascii="Arial" w:hAnsi="Arial" w:cs="Arial"/>
          <w:sz w:val="24"/>
          <w:szCs w:val="24"/>
        </w:rPr>
        <w:t xml:space="preserve"> días siguientes al cierre del E</w:t>
      </w:r>
      <w:r w:rsidRPr="00ED1A02">
        <w:rPr>
          <w:rFonts w:ascii="Arial" w:hAnsi="Arial" w:cs="Arial"/>
          <w:sz w:val="24"/>
          <w:szCs w:val="24"/>
        </w:rPr>
        <w:t>jercicio;</w:t>
      </w:r>
    </w:p>
    <w:p w:rsidR="005E68FF" w:rsidRPr="00ED1A02" w:rsidRDefault="00543E26" w:rsidP="00543E26">
      <w:pPr>
        <w:autoSpaceDE w:val="0"/>
        <w:autoSpaceDN w:val="0"/>
        <w:adjustRightInd w:val="0"/>
        <w:spacing w:after="0" w:line="360" w:lineRule="auto"/>
        <w:ind w:firstLine="2977"/>
        <w:jc w:val="both"/>
        <w:rPr>
          <w:rFonts w:ascii="Arial" w:hAnsi="Arial" w:cs="Arial"/>
          <w:sz w:val="24"/>
          <w:szCs w:val="24"/>
        </w:rPr>
      </w:pPr>
      <w:r>
        <w:rPr>
          <w:rFonts w:ascii="Arial" w:hAnsi="Arial" w:cs="Arial"/>
          <w:b/>
          <w:sz w:val="24"/>
          <w:szCs w:val="24"/>
        </w:rPr>
        <w:t xml:space="preserve"> </w:t>
      </w:r>
      <w:r w:rsidR="00E47783">
        <w:rPr>
          <w:rFonts w:ascii="Arial" w:hAnsi="Arial" w:cs="Arial"/>
          <w:b/>
          <w:sz w:val="24"/>
          <w:szCs w:val="24"/>
        </w:rPr>
        <w:t>2</w:t>
      </w:r>
      <w:r w:rsidR="005E68FF" w:rsidRPr="00ED1A02">
        <w:rPr>
          <w:rFonts w:ascii="Arial" w:hAnsi="Arial" w:cs="Arial"/>
          <w:b/>
          <w:sz w:val="24"/>
          <w:szCs w:val="24"/>
        </w:rPr>
        <w:t>)</w:t>
      </w:r>
      <w:r w:rsidR="005E68FF" w:rsidRPr="00ED1A02">
        <w:rPr>
          <w:rFonts w:ascii="Arial" w:hAnsi="Arial" w:cs="Arial"/>
          <w:sz w:val="24"/>
          <w:szCs w:val="24"/>
        </w:rPr>
        <w:t xml:space="preserve"> que </w:t>
      </w:r>
      <w:r w:rsidR="00E47783">
        <w:rPr>
          <w:rFonts w:ascii="Arial" w:hAnsi="Arial" w:cs="Arial"/>
          <w:sz w:val="24"/>
          <w:szCs w:val="24"/>
        </w:rPr>
        <w:t>dicha</w:t>
      </w:r>
      <w:r w:rsidR="005E68FF" w:rsidRPr="00ED1A02">
        <w:rPr>
          <w:rFonts w:ascii="Arial" w:hAnsi="Arial" w:cs="Arial"/>
          <w:sz w:val="24"/>
          <w:szCs w:val="24"/>
        </w:rPr>
        <w:t xml:space="preserve"> Ordenanza N° 81, que tiene por finalidad la presentación y formulación uniforme de los estado</w:t>
      </w:r>
      <w:r w:rsidR="0081274E">
        <w:rPr>
          <w:rFonts w:ascii="Arial" w:hAnsi="Arial" w:cs="Arial"/>
          <w:sz w:val="24"/>
          <w:szCs w:val="24"/>
        </w:rPr>
        <w:t>s financieros, establece en su N</w:t>
      </w:r>
      <w:r w:rsidR="005E68FF" w:rsidRPr="00ED1A02">
        <w:rPr>
          <w:rFonts w:ascii="Arial" w:hAnsi="Arial" w:cs="Arial"/>
          <w:sz w:val="24"/>
          <w:szCs w:val="24"/>
        </w:rPr>
        <w:t>umeral 21 las normas contables que deberán ap</w:t>
      </w:r>
      <w:r w:rsidR="0081274E">
        <w:rPr>
          <w:rFonts w:ascii="Arial" w:hAnsi="Arial" w:cs="Arial"/>
          <w:sz w:val="24"/>
          <w:szCs w:val="24"/>
        </w:rPr>
        <w:t>licar los O</w:t>
      </w:r>
      <w:r w:rsidR="005E68FF" w:rsidRPr="00ED1A02">
        <w:rPr>
          <w:rFonts w:ascii="Arial" w:hAnsi="Arial" w:cs="Arial"/>
          <w:sz w:val="24"/>
          <w:szCs w:val="24"/>
        </w:rPr>
        <w:t>rganismos públicos para presentar sus estados financieros ante el Tribunal, según el siguiente orden de prioridad:</w:t>
      </w:r>
    </w:p>
    <w:p w:rsidR="005E68FF" w:rsidRPr="00ED1A02" w:rsidRDefault="005E68FF" w:rsidP="005E68FF">
      <w:pPr>
        <w:pStyle w:val="Prrafodelista"/>
        <w:numPr>
          <w:ilvl w:val="0"/>
          <w:numId w:val="1"/>
        </w:numPr>
        <w:autoSpaceDE w:val="0"/>
        <w:autoSpaceDN w:val="0"/>
        <w:adjustRightInd w:val="0"/>
        <w:spacing w:after="0" w:line="360" w:lineRule="auto"/>
        <w:jc w:val="both"/>
        <w:rPr>
          <w:rFonts w:ascii="Arial" w:hAnsi="Arial" w:cs="Arial"/>
          <w:sz w:val="24"/>
          <w:szCs w:val="24"/>
        </w:rPr>
      </w:pPr>
      <w:r w:rsidRPr="00ED1A02">
        <w:rPr>
          <w:rFonts w:ascii="Arial" w:hAnsi="Arial" w:cs="Arial"/>
          <w:sz w:val="24"/>
          <w:szCs w:val="24"/>
        </w:rPr>
        <w:t xml:space="preserve"> “Las establecidas por la presente Ordenanza del Tribunal de Cuentas y las que se dicten en el futuro.</w:t>
      </w:r>
    </w:p>
    <w:p w:rsidR="005E68FF" w:rsidRPr="00ED1A02" w:rsidRDefault="005E68FF" w:rsidP="005E68FF">
      <w:pPr>
        <w:pStyle w:val="Prrafodelista"/>
        <w:numPr>
          <w:ilvl w:val="0"/>
          <w:numId w:val="1"/>
        </w:numPr>
        <w:autoSpaceDE w:val="0"/>
        <w:autoSpaceDN w:val="0"/>
        <w:adjustRightInd w:val="0"/>
        <w:spacing w:after="0" w:line="360" w:lineRule="auto"/>
        <w:jc w:val="both"/>
        <w:rPr>
          <w:rFonts w:ascii="Arial" w:hAnsi="Arial" w:cs="Arial"/>
          <w:sz w:val="24"/>
          <w:szCs w:val="24"/>
        </w:rPr>
      </w:pPr>
      <w:r w:rsidRPr="00ED1A02">
        <w:rPr>
          <w:rFonts w:ascii="Arial" w:hAnsi="Arial" w:cs="Arial"/>
          <w:sz w:val="24"/>
          <w:szCs w:val="24"/>
        </w:rPr>
        <w:lastRenderedPageBreak/>
        <w:t>El Decreto 103/91 de 27 de febrero de 1991.</w:t>
      </w:r>
    </w:p>
    <w:p w:rsidR="005E68FF" w:rsidRPr="00ED1A02" w:rsidRDefault="005E68FF" w:rsidP="005E68FF">
      <w:pPr>
        <w:pStyle w:val="Prrafodelista"/>
        <w:numPr>
          <w:ilvl w:val="0"/>
          <w:numId w:val="1"/>
        </w:numPr>
        <w:tabs>
          <w:tab w:val="left" w:pos="993"/>
        </w:tabs>
        <w:autoSpaceDE w:val="0"/>
        <w:autoSpaceDN w:val="0"/>
        <w:adjustRightInd w:val="0"/>
        <w:spacing w:after="0" w:line="360" w:lineRule="auto"/>
        <w:ind w:left="0" w:firstLine="709"/>
        <w:jc w:val="both"/>
        <w:rPr>
          <w:rFonts w:ascii="Arial" w:hAnsi="Arial" w:cs="Arial"/>
          <w:sz w:val="24"/>
          <w:szCs w:val="24"/>
        </w:rPr>
      </w:pPr>
      <w:r w:rsidRPr="00ED1A02">
        <w:rPr>
          <w:rFonts w:ascii="Arial" w:hAnsi="Arial" w:cs="Arial"/>
          <w:sz w:val="24"/>
          <w:szCs w:val="24"/>
        </w:rPr>
        <w:t>Las Normas Internacionales de Contabilidad (NIC) emitidas por el Consejo de Normas Internacionales de Contabilidad (IASB) o las Normas Internacionales de Contabilidad del Sector Público (NICSP) emitidas por la Federación Internacional de Contadores (IFAC), de acuerdo a la unidad contable de que se trate.”;</w:t>
      </w:r>
    </w:p>
    <w:p w:rsidR="00405DC1" w:rsidRDefault="007724E5" w:rsidP="00543E26">
      <w:pPr>
        <w:autoSpaceDE w:val="0"/>
        <w:autoSpaceDN w:val="0"/>
        <w:adjustRightInd w:val="0"/>
        <w:spacing w:after="0" w:line="360" w:lineRule="auto"/>
        <w:ind w:firstLine="2977"/>
        <w:jc w:val="both"/>
        <w:rPr>
          <w:rFonts w:ascii="Arial" w:hAnsi="Arial" w:cs="Arial"/>
          <w:sz w:val="24"/>
          <w:szCs w:val="24"/>
        </w:rPr>
      </w:pPr>
      <w:r>
        <w:rPr>
          <w:rFonts w:ascii="Arial" w:hAnsi="Arial" w:cs="Arial"/>
          <w:b/>
          <w:sz w:val="24"/>
          <w:szCs w:val="24"/>
        </w:rPr>
        <w:t xml:space="preserve"> </w:t>
      </w:r>
      <w:r w:rsidR="00E47783">
        <w:rPr>
          <w:rFonts w:ascii="Arial" w:hAnsi="Arial" w:cs="Arial"/>
          <w:b/>
          <w:sz w:val="24"/>
          <w:szCs w:val="24"/>
        </w:rPr>
        <w:t>3</w:t>
      </w:r>
      <w:r w:rsidR="005E68FF" w:rsidRPr="00ED1A02">
        <w:rPr>
          <w:rFonts w:ascii="Arial" w:hAnsi="Arial" w:cs="Arial"/>
          <w:b/>
          <w:sz w:val="24"/>
          <w:szCs w:val="24"/>
        </w:rPr>
        <w:t>)</w:t>
      </w:r>
      <w:r w:rsidR="005E68FF" w:rsidRPr="00ED1A02">
        <w:rPr>
          <w:rFonts w:ascii="Arial" w:hAnsi="Arial" w:cs="Arial"/>
          <w:sz w:val="24"/>
          <w:szCs w:val="24"/>
        </w:rPr>
        <w:t xml:space="preserve"> que por Resolución del Tribunal de Cuentas de fecha 13 de abril de 2005, las Normas Internacionales de Contabilidad aprobadas por el IASB referidas en la Ordenanza citada, son aquellas vigentes a la fecha de presentación de los estados financieros y traducidas al español;</w:t>
      </w:r>
    </w:p>
    <w:p w:rsidR="00405DC1" w:rsidRDefault="007724E5" w:rsidP="007724E5">
      <w:pPr>
        <w:autoSpaceDE w:val="0"/>
        <w:autoSpaceDN w:val="0"/>
        <w:adjustRightInd w:val="0"/>
        <w:spacing w:after="0" w:line="360" w:lineRule="auto"/>
        <w:ind w:firstLine="2977"/>
        <w:jc w:val="both"/>
        <w:rPr>
          <w:rFonts w:ascii="Arial" w:hAnsi="Arial" w:cs="Arial"/>
          <w:sz w:val="24"/>
          <w:szCs w:val="24"/>
        </w:rPr>
      </w:pPr>
      <w:r>
        <w:rPr>
          <w:rFonts w:ascii="Arial" w:hAnsi="Arial" w:cs="Arial"/>
          <w:b/>
          <w:sz w:val="24"/>
          <w:szCs w:val="24"/>
        </w:rPr>
        <w:t xml:space="preserve"> </w:t>
      </w:r>
      <w:r w:rsidR="00E47783" w:rsidRPr="00405DC1">
        <w:rPr>
          <w:rFonts w:ascii="Arial" w:hAnsi="Arial" w:cs="Arial"/>
          <w:b/>
          <w:sz w:val="24"/>
          <w:szCs w:val="24"/>
        </w:rPr>
        <w:t>4</w:t>
      </w:r>
      <w:r w:rsidR="005E68FF" w:rsidRPr="00405DC1">
        <w:rPr>
          <w:rFonts w:ascii="Arial" w:hAnsi="Arial" w:cs="Arial"/>
          <w:b/>
          <w:sz w:val="24"/>
          <w:szCs w:val="24"/>
        </w:rPr>
        <w:t>)</w:t>
      </w:r>
      <w:r w:rsidR="00E47783" w:rsidRPr="00405DC1">
        <w:rPr>
          <w:rFonts w:ascii="Arial" w:hAnsi="Arial" w:cs="Arial"/>
          <w:b/>
          <w:sz w:val="24"/>
          <w:szCs w:val="24"/>
        </w:rPr>
        <w:t xml:space="preserve"> </w:t>
      </w:r>
      <w:r w:rsidR="00E47783" w:rsidRPr="00405DC1">
        <w:rPr>
          <w:rFonts w:ascii="Arial" w:hAnsi="Arial" w:cs="Arial"/>
          <w:sz w:val="24"/>
          <w:szCs w:val="24"/>
        </w:rPr>
        <w:t>que las NICSP son de aplicación para todas las entidades del sector público excepto para las Empresas Públicas</w:t>
      </w:r>
      <w:r w:rsidR="000A0029" w:rsidRPr="00405DC1">
        <w:rPr>
          <w:rFonts w:ascii="Arial" w:hAnsi="Arial" w:cs="Arial"/>
          <w:sz w:val="24"/>
          <w:szCs w:val="24"/>
        </w:rPr>
        <w:t>,</w:t>
      </w:r>
      <w:r w:rsidR="00E47783" w:rsidRPr="00405DC1">
        <w:rPr>
          <w:rFonts w:ascii="Arial" w:hAnsi="Arial" w:cs="Arial"/>
          <w:sz w:val="24"/>
          <w:szCs w:val="24"/>
        </w:rPr>
        <w:t xml:space="preserve"> según el alcance establecido en dicho cuerpo normativo;</w:t>
      </w:r>
    </w:p>
    <w:p w:rsidR="00405DC1" w:rsidRDefault="007724E5" w:rsidP="007724E5">
      <w:pPr>
        <w:autoSpaceDE w:val="0"/>
        <w:autoSpaceDN w:val="0"/>
        <w:adjustRightInd w:val="0"/>
        <w:spacing w:after="0" w:line="360" w:lineRule="auto"/>
        <w:ind w:firstLine="2977"/>
        <w:jc w:val="both"/>
        <w:rPr>
          <w:rFonts w:ascii="Arial" w:hAnsi="Arial" w:cs="Arial"/>
          <w:sz w:val="24"/>
          <w:szCs w:val="24"/>
        </w:rPr>
      </w:pPr>
      <w:r>
        <w:rPr>
          <w:rFonts w:ascii="Arial" w:hAnsi="Arial" w:cs="Arial"/>
          <w:b/>
          <w:sz w:val="24"/>
          <w:szCs w:val="24"/>
        </w:rPr>
        <w:t xml:space="preserve"> </w:t>
      </w:r>
      <w:r w:rsidR="00E47783">
        <w:rPr>
          <w:rFonts w:ascii="Arial" w:hAnsi="Arial" w:cs="Arial"/>
          <w:b/>
          <w:sz w:val="24"/>
          <w:szCs w:val="24"/>
        </w:rPr>
        <w:t xml:space="preserve">5) </w:t>
      </w:r>
      <w:r w:rsidR="005E68FF" w:rsidRPr="00ED1A02">
        <w:rPr>
          <w:rFonts w:ascii="Arial" w:hAnsi="Arial" w:cs="Arial"/>
          <w:sz w:val="24"/>
          <w:szCs w:val="24"/>
        </w:rPr>
        <w:t>que la UTEC es una entidad del Sector Público y no una Empresa Pública;</w:t>
      </w:r>
    </w:p>
    <w:p w:rsidR="00405DC1" w:rsidRDefault="007724E5" w:rsidP="007724E5">
      <w:pPr>
        <w:autoSpaceDE w:val="0"/>
        <w:autoSpaceDN w:val="0"/>
        <w:adjustRightInd w:val="0"/>
        <w:spacing w:after="0" w:line="360" w:lineRule="auto"/>
        <w:ind w:firstLine="2977"/>
        <w:jc w:val="both"/>
        <w:rPr>
          <w:rFonts w:ascii="Arial" w:hAnsi="Arial" w:cs="Arial"/>
          <w:sz w:val="24"/>
          <w:szCs w:val="24"/>
        </w:rPr>
      </w:pPr>
      <w:r>
        <w:rPr>
          <w:rFonts w:ascii="Arial" w:hAnsi="Arial" w:cs="Arial"/>
          <w:b/>
          <w:sz w:val="24"/>
          <w:szCs w:val="24"/>
        </w:rPr>
        <w:t xml:space="preserve"> </w:t>
      </w:r>
      <w:r w:rsidR="00E47783">
        <w:rPr>
          <w:rFonts w:ascii="Arial" w:hAnsi="Arial" w:cs="Arial"/>
          <w:b/>
          <w:sz w:val="24"/>
          <w:szCs w:val="24"/>
        </w:rPr>
        <w:t>6</w:t>
      </w:r>
      <w:r w:rsidR="005E68FF" w:rsidRPr="00ED1A02">
        <w:rPr>
          <w:rFonts w:ascii="Arial" w:hAnsi="Arial" w:cs="Arial"/>
          <w:b/>
          <w:sz w:val="24"/>
          <w:szCs w:val="24"/>
        </w:rPr>
        <w:t>)</w:t>
      </w:r>
      <w:r w:rsidR="005E68FF" w:rsidRPr="00ED1A02">
        <w:rPr>
          <w:rFonts w:ascii="Arial" w:hAnsi="Arial" w:cs="Arial"/>
          <w:sz w:val="24"/>
          <w:szCs w:val="24"/>
        </w:rPr>
        <w:t xml:space="preserve"> que por lo expresado en los Considerando</w:t>
      </w:r>
      <w:r w:rsidR="00405DC1">
        <w:rPr>
          <w:rFonts w:ascii="Arial" w:hAnsi="Arial" w:cs="Arial"/>
          <w:sz w:val="24"/>
          <w:szCs w:val="24"/>
        </w:rPr>
        <w:t>s</w:t>
      </w:r>
      <w:r w:rsidR="005E68FF" w:rsidRPr="00ED1A02">
        <w:rPr>
          <w:rFonts w:ascii="Arial" w:hAnsi="Arial" w:cs="Arial"/>
          <w:sz w:val="24"/>
          <w:szCs w:val="24"/>
        </w:rPr>
        <w:t xml:space="preserve"> </w:t>
      </w:r>
      <w:r w:rsidR="00E47783">
        <w:rPr>
          <w:rFonts w:ascii="Arial" w:hAnsi="Arial" w:cs="Arial"/>
          <w:sz w:val="24"/>
          <w:szCs w:val="24"/>
        </w:rPr>
        <w:t>2</w:t>
      </w:r>
      <w:r w:rsidR="005E68FF" w:rsidRPr="00ED1A02">
        <w:rPr>
          <w:rFonts w:ascii="Arial" w:hAnsi="Arial" w:cs="Arial"/>
          <w:sz w:val="24"/>
          <w:szCs w:val="24"/>
        </w:rPr>
        <w:t xml:space="preserve">), </w:t>
      </w:r>
      <w:r w:rsidR="00E47783">
        <w:rPr>
          <w:rFonts w:ascii="Arial" w:hAnsi="Arial" w:cs="Arial"/>
          <w:sz w:val="24"/>
          <w:szCs w:val="24"/>
        </w:rPr>
        <w:t xml:space="preserve">3), </w:t>
      </w:r>
      <w:r w:rsidR="005E68FF" w:rsidRPr="00ED1A02">
        <w:rPr>
          <w:rFonts w:ascii="Arial" w:hAnsi="Arial" w:cs="Arial"/>
          <w:sz w:val="24"/>
          <w:szCs w:val="24"/>
        </w:rPr>
        <w:t>4) y 5) el marco normativo aplicable para la elaboración de los Estados Contables es el que surge de la aplicación de la Ordenanza N° 81, el Decreto 103/91 y las Normas Internacionales de Contabilidad del Sector Público (NICSP);</w:t>
      </w:r>
    </w:p>
    <w:p w:rsidR="00E47783" w:rsidRPr="00ED1A02" w:rsidRDefault="007724E5" w:rsidP="007724E5">
      <w:pPr>
        <w:autoSpaceDE w:val="0"/>
        <w:autoSpaceDN w:val="0"/>
        <w:adjustRightInd w:val="0"/>
        <w:spacing w:after="0" w:line="360" w:lineRule="auto"/>
        <w:ind w:firstLine="2977"/>
        <w:jc w:val="both"/>
        <w:rPr>
          <w:rFonts w:ascii="Arial" w:hAnsi="Arial" w:cs="Arial"/>
          <w:sz w:val="24"/>
          <w:szCs w:val="24"/>
        </w:rPr>
      </w:pPr>
      <w:r>
        <w:rPr>
          <w:rFonts w:ascii="Arial" w:hAnsi="Arial" w:cs="Arial"/>
          <w:b/>
          <w:sz w:val="24"/>
          <w:szCs w:val="24"/>
        </w:rPr>
        <w:t xml:space="preserve"> </w:t>
      </w:r>
      <w:r w:rsidR="00E47783">
        <w:rPr>
          <w:rFonts w:ascii="Arial" w:hAnsi="Arial" w:cs="Arial"/>
          <w:b/>
          <w:sz w:val="24"/>
          <w:szCs w:val="24"/>
        </w:rPr>
        <w:t>7</w:t>
      </w:r>
      <w:r w:rsidR="00E47783" w:rsidRPr="00ED1A02">
        <w:rPr>
          <w:rFonts w:ascii="Arial" w:hAnsi="Arial" w:cs="Arial"/>
          <w:b/>
          <w:sz w:val="24"/>
          <w:szCs w:val="24"/>
        </w:rPr>
        <w:t xml:space="preserve">) </w:t>
      </w:r>
      <w:r w:rsidR="00405DC1">
        <w:rPr>
          <w:rFonts w:ascii="Arial" w:hAnsi="Arial" w:cs="Arial"/>
          <w:sz w:val="24"/>
          <w:szCs w:val="24"/>
        </w:rPr>
        <w:t>que el A</w:t>
      </w:r>
      <w:r w:rsidR="00E47783" w:rsidRPr="00ED1A02">
        <w:rPr>
          <w:rFonts w:ascii="Arial" w:hAnsi="Arial" w:cs="Arial"/>
          <w:sz w:val="24"/>
          <w:szCs w:val="24"/>
        </w:rPr>
        <w:t>rtículo 2 de la Ordenanza N° 81 dispone que las normas y criterios establecidos en la misma, son de carácter obligatorio para los Estados Contables que deban presentarse ante el Tribunal de Cuentas, y que, ante solicitud formal de la Unidad Contable, el Tribunal podrá autorizar  en forma excepcional y para cada ejercicio, la no aplicación de las disposiciones de la Ordenanza;</w:t>
      </w:r>
    </w:p>
    <w:p w:rsidR="005E68FF" w:rsidRDefault="005E68FF" w:rsidP="00405DC1">
      <w:pPr>
        <w:autoSpaceDE w:val="0"/>
        <w:autoSpaceDN w:val="0"/>
        <w:adjustRightInd w:val="0"/>
        <w:spacing w:after="0" w:line="360" w:lineRule="auto"/>
        <w:ind w:firstLine="851"/>
        <w:rPr>
          <w:rFonts w:ascii="Arial" w:hAnsi="Arial" w:cs="Arial"/>
          <w:sz w:val="24"/>
          <w:szCs w:val="24"/>
        </w:rPr>
      </w:pPr>
      <w:r w:rsidRPr="00ED1A02">
        <w:rPr>
          <w:rFonts w:ascii="Arial" w:hAnsi="Arial" w:cs="Arial"/>
          <w:b/>
          <w:bCs/>
          <w:sz w:val="24"/>
          <w:szCs w:val="24"/>
        </w:rPr>
        <w:t xml:space="preserve">ATENTO: </w:t>
      </w:r>
      <w:r w:rsidRPr="00ED1A02">
        <w:rPr>
          <w:rFonts w:ascii="Arial" w:hAnsi="Arial" w:cs="Arial"/>
          <w:sz w:val="24"/>
          <w:szCs w:val="24"/>
        </w:rPr>
        <w:t>a lo expresado anteriormente y a lo dispuesto por el Artículo 2 de la</w:t>
      </w:r>
      <w:r w:rsidR="00405DC1">
        <w:rPr>
          <w:rFonts w:ascii="Arial" w:hAnsi="Arial" w:cs="Arial"/>
          <w:sz w:val="24"/>
          <w:szCs w:val="24"/>
        </w:rPr>
        <w:t xml:space="preserve"> </w:t>
      </w:r>
      <w:r w:rsidRPr="00ED1A02">
        <w:rPr>
          <w:rFonts w:ascii="Arial" w:hAnsi="Arial" w:cs="Arial"/>
          <w:sz w:val="24"/>
          <w:szCs w:val="24"/>
        </w:rPr>
        <w:t>Ordenanza N° 81;</w:t>
      </w:r>
    </w:p>
    <w:p w:rsidR="007724E5" w:rsidRPr="00ED1A02" w:rsidRDefault="007724E5" w:rsidP="00405DC1">
      <w:pPr>
        <w:autoSpaceDE w:val="0"/>
        <w:autoSpaceDN w:val="0"/>
        <w:adjustRightInd w:val="0"/>
        <w:spacing w:after="0" w:line="360" w:lineRule="auto"/>
        <w:ind w:firstLine="851"/>
        <w:rPr>
          <w:rFonts w:ascii="Arial" w:hAnsi="Arial" w:cs="Arial"/>
          <w:sz w:val="24"/>
          <w:szCs w:val="24"/>
        </w:rPr>
      </w:pPr>
    </w:p>
    <w:p w:rsidR="005E68FF" w:rsidRPr="00ED1A02" w:rsidRDefault="005E68FF" w:rsidP="00E47783">
      <w:pPr>
        <w:autoSpaceDE w:val="0"/>
        <w:autoSpaceDN w:val="0"/>
        <w:adjustRightInd w:val="0"/>
        <w:spacing w:after="0" w:line="360" w:lineRule="auto"/>
        <w:jc w:val="center"/>
        <w:rPr>
          <w:rFonts w:ascii="Arial" w:hAnsi="Arial" w:cs="Arial"/>
          <w:b/>
          <w:bCs/>
          <w:sz w:val="24"/>
          <w:szCs w:val="24"/>
        </w:rPr>
      </w:pPr>
      <w:r w:rsidRPr="00ED1A02">
        <w:rPr>
          <w:rFonts w:ascii="Arial" w:hAnsi="Arial" w:cs="Arial"/>
          <w:b/>
          <w:bCs/>
          <w:sz w:val="24"/>
          <w:szCs w:val="24"/>
        </w:rPr>
        <w:t>EL TRIBUNAL ACUERDA</w:t>
      </w:r>
    </w:p>
    <w:p w:rsidR="005E68FF" w:rsidRPr="00ED1A02" w:rsidRDefault="005E68FF" w:rsidP="00405DC1">
      <w:pPr>
        <w:pStyle w:val="Prrafodelista"/>
        <w:numPr>
          <w:ilvl w:val="0"/>
          <w:numId w:val="2"/>
        </w:numPr>
        <w:tabs>
          <w:tab w:val="left" w:pos="426"/>
        </w:tabs>
        <w:autoSpaceDE w:val="0"/>
        <w:autoSpaceDN w:val="0"/>
        <w:adjustRightInd w:val="0"/>
        <w:spacing w:after="0" w:line="360" w:lineRule="auto"/>
        <w:ind w:left="426" w:hanging="426"/>
        <w:jc w:val="both"/>
        <w:rPr>
          <w:rFonts w:ascii="Arial" w:hAnsi="Arial" w:cs="Arial"/>
          <w:sz w:val="24"/>
          <w:szCs w:val="24"/>
        </w:rPr>
      </w:pPr>
      <w:r w:rsidRPr="00ED1A02">
        <w:rPr>
          <w:rFonts w:ascii="Arial" w:hAnsi="Arial" w:cs="Arial"/>
          <w:sz w:val="24"/>
          <w:szCs w:val="24"/>
        </w:rPr>
        <w:t>Autorizar en forma excepcional a</w:t>
      </w:r>
      <w:r w:rsidR="00D416AB">
        <w:rPr>
          <w:rFonts w:ascii="Arial" w:hAnsi="Arial" w:cs="Arial"/>
          <w:sz w:val="24"/>
          <w:szCs w:val="24"/>
        </w:rPr>
        <w:t xml:space="preserve"> la</w:t>
      </w:r>
      <w:r w:rsidRPr="00ED1A02">
        <w:rPr>
          <w:rFonts w:ascii="Arial" w:hAnsi="Arial" w:cs="Arial"/>
          <w:sz w:val="24"/>
          <w:szCs w:val="24"/>
        </w:rPr>
        <w:t xml:space="preserve"> Universidad Tecnológica la extensión del plazo para presentar sus </w:t>
      </w:r>
      <w:r w:rsidR="00E27583">
        <w:rPr>
          <w:rFonts w:ascii="Arial" w:hAnsi="Arial" w:cs="Arial"/>
          <w:sz w:val="24"/>
          <w:szCs w:val="24"/>
        </w:rPr>
        <w:t>e</w:t>
      </w:r>
      <w:r w:rsidRPr="00ED1A02">
        <w:rPr>
          <w:rFonts w:ascii="Arial" w:hAnsi="Arial" w:cs="Arial"/>
          <w:sz w:val="24"/>
          <w:szCs w:val="24"/>
        </w:rPr>
        <w:t xml:space="preserve">stados </w:t>
      </w:r>
      <w:r w:rsidR="00E27583">
        <w:rPr>
          <w:rFonts w:ascii="Arial" w:hAnsi="Arial" w:cs="Arial"/>
          <w:sz w:val="24"/>
          <w:szCs w:val="24"/>
        </w:rPr>
        <w:t>c</w:t>
      </w:r>
      <w:r w:rsidRPr="00ED1A02">
        <w:rPr>
          <w:rFonts w:ascii="Arial" w:hAnsi="Arial" w:cs="Arial"/>
          <w:sz w:val="24"/>
          <w:szCs w:val="24"/>
        </w:rPr>
        <w:t>o</w:t>
      </w:r>
      <w:r w:rsidR="00405DC1">
        <w:rPr>
          <w:rFonts w:ascii="Arial" w:hAnsi="Arial" w:cs="Arial"/>
          <w:sz w:val="24"/>
          <w:szCs w:val="24"/>
        </w:rPr>
        <w:t>ntables correspondientes a los E</w:t>
      </w:r>
      <w:r w:rsidRPr="00ED1A02">
        <w:rPr>
          <w:rFonts w:ascii="Arial" w:hAnsi="Arial" w:cs="Arial"/>
          <w:sz w:val="24"/>
          <w:szCs w:val="24"/>
        </w:rPr>
        <w:t>jercicios 2013, 20</w:t>
      </w:r>
      <w:r w:rsidR="00543E26">
        <w:rPr>
          <w:rFonts w:ascii="Arial" w:hAnsi="Arial" w:cs="Arial"/>
          <w:sz w:val="24"/>
          <w:szCs w:val="24"/>
        </w:rPr>
        <w:t>14 y 2015 hasta el 31/07/2016;</w:t>
      </w:r>
    </w:p>
    <w:p w:rsidR="005E68FF" w:rsidRPr="00ED1A02" w:rsidRDefault="005E68FF" w:rsidP="00405DC1">
      <w:pPr>
        <w:pStyle w:val="Prrafodelista"/>
        <w:numPr>
          <w:ilvl w:val="0"/>
          <w:numId w:val="2"/>
        </w:numPr>
        <w:tabs>
          <w:tab w:val="left" w:pos="426"/>
        </w:tabs>
        <w:autoSpaceDE w:val="0"/>
        <w:autoSpaceDN w:val="0"/>
        <w:adjustRightInd w:val="0"/>
        <w:spacing w:after="0" w:line="360" w:lineRule="auto"/>
        <w:ind w:left="426" w:hanging="426"/>
        <w:jc w:val="both"/>
        <w:rPr>
          <w:rFonts w:ascii="Arial" w:hAnsi="Arial" w:cs="Arial"/>
          <w:sz w:val="24"/>
          <w:szCs w:val="24"/>
        </w:rPr>
      </w:pPr>
      <w:r w:rsidRPr="00ED1A02">
        <w:rPr>
          <w:rFonts w:ascii="Arial" w:hAnsi="Arial" w:cs="Arial"/>
          <w:sz w:val="24"/>
          <w:szCs w:val="24"/>
        </w:rPr>
        <w:t xml:space="preserve">Señalar que el marco normativo aplicable para la elaboración de los Estados Contables es </w:t>
      </w:r>
      <w:r w:rsidR="00E27583">
        <w:rPr>
          <w:rFonts w:ascii="Arial" w:hAnsi="Arial" w:cs="Arial"/>
          <w:sz w:val="24"/>
          <w:szCs w:val="24"/>
        </w:rPr>
        <w:t>el referido en el Considerando 6</w:t>
      </w:r>
      <w:r w:rsidR="00543E26">
        <w:rPr>
          <w:rFonts w:ascii="Arial" w:hAnsi="Arial" w:cs="Arial"/>
          <w:sz w:val="24"/>
          <w:szCs w:val="24"/>
        </w:rPr>
        <w:t>); y</w:t>
      </w:r>
    </w:p>
    <w:p w:rsidR="00714CD6" w:rsidRPr="00405DC1" w:rsidRDefault="005E68FF" w:rsidP="00405DC1">
      <w:pPr>
        <w:pStyle w:val="Prrafodelista"/>
        <w:numPr>
          <w:ilvl w:val="0"/>
          <w:numId w:val="2"/>
        </w:numPr>
        <w:autoSpaceDE w:val="0"/>
        <w:autoSpaceDN w:val="0"/>
        <w:adjustRightInd w:val="0"/>
        <w:spacing w:after="0" w:line="360" w:lineRule="auto"/>
        <w:ind w:left="426" w:hanging="426"/>
        <w:rPr>
          <w:rFonts w:ascii="Arial" w:hAnsi="Arial" w:cs="Arial"/>
          <w:sz w:val="24"/>
          <w:szCs w:val="24"/>
        </w:rPr>
      </w:pPr>
      <w:r w:rsidRPr="00405DC1">
        <w:rPr>
          <w:rFonts w:ascii="Arial" w:hAnsi="Arial" w:cs="Arial"/>
          <w:sz w:val="24"/>
          <w:szCs w:val="24"/>
        </w:rPr>
        <w:t>Comunicar al Organismo la presente Resolución.</w:t>
      </w:r>
    </w:p>
    <w:p w:rsidR="00405DC1" w:rsidRDefault="00405DC1" w:rsidP="00405DC1">
      <w:pPr>
        <w:autoSpaceDE w:val="0"/>
        <w:autoSpaceDN w:val="0"/>
        <w:adjustRightInd w:val="0"/>
        <w:spacing w:after="0" w:line="360" w:lineRule="auto"/>
      </w:pPr>
    </w:p>
    <w:p w:rsidR="00405DC1" w:rsidRDefault="00405DC1" w:rsidP="00405DC1">
      <w:pPr>
        <w:autoSpaceDE w:val="0"/>
        <w:autoSpaceDN w:val="0"/>
        <w:adjustRightInd w:val="0"/>
        <w:spacing w:after="0" w:line="360" w:lineRule="auto"/>
      </w:pPr>
    </w:p>
    <w:p w:rsidR="00405DC1" w:rsidRPr="00405DC1" w:rsidRDefault="00405DC1" w:rsidP="00405DC1">
      <w:pPr>
        <w:autoSpaceDE w:val="0"/>
        <w:autoSpaceDN w:val="0"/>
        <w:adjustRightInd w:val="0"/>
        <w:spacing w:after="0" w:line="360" w:lineRule="auto"/>
        <w:ind w:hanging="567"/>
        <w:rPr>
          <w:rFonts w:ascii="Arial" w:hAnsi="Arial" w:cs="Arial"/>
          <w:sz w:val="24"/>
          <w:szCs w:val="24"/>
        </w:rPr>
      </w:pPr>
      <w:proofErr w:type="gramStart"/>
      <w:r w:rsidRPr="00405DC1">
        <w:rPr>
          <w:rFonts w:ascii="Arial" w:hAnsi="Arial" w:cs="Arial"/>
          <w:sz w:val="24"/>
          <w:szCs w:val="24"/>
        </w:rPr>
        <w:t>dc</w:t>
      </w:r>
      <w:proofErr w:type="gramEnd"/>
    </w:p>
    <w:sectPr w:rsidR="00405DC1" w:rsidRPr="00405DC1" w:rsidSect="0081274E">
      <w:footerReference w:type="default" r:id="rId8"/>
      <w:pgSz w:w="11906" w:h="16838" w:code="9"/>
      <w:pgMar w:top="3402"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3E26" w:rsidRDefault="00543E26" w:rsidP="00405DC1">
      <w:pPr>
        <w:spacing w:after="0" w:line="240" w:lineRule="auto"/>
      </w:pPr>
      <w:r>
        <w:separator/>
      </w:r>
    </w:p>
  </w:endnote>
  <w:endnote w:type="continuationSeparator" w:id="0">
    <w:p w:rsidR="00543E26" w:rsidRDefault="00543E26" w:rsidP="00405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Serif-BoldItalic">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LiberationSans-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245904"/>
      <w:docPartObj>
        <w:docPartGallery w:val="Page Numbers (Bottom of Page)"/>
        <w:docPartUnique/>
      </w:docPartObj>
    </w:sdtPr>
    <w:sdtContent>
      <w:p w:rsidR="00543E26" w:rsidRDefault="00543E26">
        <w:pPr>
          <w:pStyle w:val="Piedepgina"/>
          <w:jc w:val="center"/>
        </w:pPr>
        <w:r>
          <w:fldChar w:fldCharType="begin"/>
        </w:r>
        <w:r>
          <w:instrText>PAGE   \* MERGEFORMAT</w:instrText>
        </w:r>
        <w:r>
          <w:fldChar w:fldCharType="separate"/>
        </w:r>
        <w:r w:rsidR="007724E5" w:rsidRPr="007724E5">
          <w:rPr>
            <w:noProof/>
            <w:lang w:val="es-ES"/>
          </w:rPr>
          <w:t>1</w:t>
        </w:r>
        <w:r>
          <w:fldChar w:fldCharType="end"/>
        </w:r>
      </w:p>
    </w:sdtContent>
  </w:sdt>
  <w:p w:rsidR="00543E26" w:rsidRDefault="00543E2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3E26" w:rsidRDefault="00543E26" w:rsidP="00405DC1">
      <w:pPr>
        <w:spacing w:after="0" w:line="240" w:lineRule="auto"/>
      </w:pPr>
      <w:r>
        <w:separator/>
      </w:r>
    </w:p>
  </w:footnote>
  <w:footnote w:type="continuationSeparator" w:id="0">
    <w:p w:rsidR="00543E26" w:rsidRDefault="00543E26" w:rsidP="00405D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FF1BDE"/>
    <w:multiLevelType w:val="hybridMultilevel"/>
    <w:tmpl w:val="4C3CE7DA"/>
    <w:lvl w:ilvl="0" w:tplc="22047978">
      <w:start w:val="1"/>
      <w:numFmt w:val="decimal"/>
      <w:lvlText w:val="%1)"/>
      <w:lvlJc w:val="left"/>
      <w:pPr>
        <w:ind w:left="720" w:hanging="360"/>
      </w:pPr>
      <w:rPr>
        <w:rFonts w:ascii="LiberationSerif-BoldItalic" w:hAnsi="LiberationSerif-BoldItalic" w:cs="LiberationSerif-BoldItalic" w:hint="default"/>
        <w:b/>
        <w:sz w:val="22"/>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
    <w:nsid w:val="57214F67"/>
    <w:multiLevelType w:val="hybridMultilevel"/>
    <w:tmpl w:val="BA001996"/>
    <w:lvl w:ilvl="0" w:tplc="ADA63620">
      <w:start w:val="2"/>
      <w:numFmt w:val="bullet"/>
      <w:lvlText w:val="-"/>
      <w:lvlJc w:val="left"/>
      <w:pPr>
        <w:ind w:left="1004" w:hanging="360"/>
      </w:pPr>
      <w:rPr>
        <w:rFonts w:ascii="LiberationSans-Regular" w:eastAsiaTheme="minorHAnsi" w:hAnsi="LiberationSans-Regular" w:cs="LiberationSans-Regular" w:hint="default"/>
      </w:rPr>
    </w:lvl>
    <w:lvl w:ilvl="1" w:tplc="380A0003" w:tentative="1">
      <w:start w:val="1"/>
      <w:numFmt w:val="bullet"/>
      <w:lvlText w:val="o"/>
      <w:lvlJc w:val="left"/>
      <w:pPr>
        <w:ind w:left="1724" w:hanging="360"/>
      </w:pPr>
      <w:rPr>
        <w:rFonts w:ascii="Courier New" w:hAnsi="Courier New" w:cs="Courier New" w:hint="default"/>
      </w:rPr>
    </w:lvl>
    <w:lvl w:ilvl="2" w:tplc="380A0005" w:tentative="1">
      <w:start w:val="1"/>
      <w:numFmt w:val="bullet"/>
      <w:lvlText w:val=""/>
      <w:lvlJc w:val="left"/>
      <w:pPr>
        <w:ind w:left="2444" w:hanging="360"/>
      </w:pPr>
      <w:rPr>
        <w:rFonts w:ascii="Wingdings" w:hAnsi="Wingdings" w:hint="default"/>
      </w:rPr>
    </w:lvl>
    <w:lvl w:ilvl="3" w:tplc="380A0001" w:tentative="1">
      <w:start w:val="1"/>
      <w:numFmt w:val="bullet"/>
      <w:lvlText w:val=""/>
      <w:lvlJc w:val="left"/>
      <w:pPr>
        <w:ind w:left="3164" w:hanging="360"/>
      </w:pPr>
      <w:rPr>
        <w:rFonts w:ascii="Symbol" w:hAnsi="Symbol" w:hint="default"/>
      </w:rPr>
    </w:lvl>
    <w:lvl w:ilvl="4" w:tplc="380A0003" w:tentative="1">
      <w:start w:val="1"/>
      <w:numFmt w:val="bullet"/>
      <w:lvlText w:val="o"/>
      <w:lvlJc w:val="left"/>
      <w:pPr>
        <w:ind w:left="3884" w:hanging="360"/>
      </w:pPr>
      <w:rPr>
        <w:rFonts w:ascii="Courier New" w:hAnsi="Courier New" w:cs="Courier New" w:hint="default"/>
      </w:rPr>
    </w:lvl>
    <w:lvl w:ilvl="5" w:tplc="380A0005" w:tentative="1">
      <w:start w:val="1"/>
      <w:numFmt w:val="bullet"/>
      <w:lvlText w:val=""/>
      <w:lvlJc w:val="left"/>
      <w:pPr>
        <w:ind w:left="4604" w:hanging="360"/>
      </w:pPr>
      <w:rPr>
        <w:rFonts w:ascii="Wingdings" w:hAnsi="Wingdings" w:hint="default"/>
      </w:rPr>
    </w:lvl>
    <w:lvl w:ilvl="6" w:tplc="380A0001" w:tentative="1">
      <w:start w:val="1"/>
      <w:numFmt w:val="bullet"/>
      <w:lvlText w:val=""/>
      <w:lvlJc w:val="left"/>
      <w:pPr>
        <w:ind w:left="5324" w:hanging="360"/>
      </w:pPr>
      <w:rPr>
        <w:rFonts w:ascii="Symbol" w:hAnsi="Symbol" w:hint="default"/>
      </w:rPr>
    </w:lvl>
    <w:lvl w:ilvl="7" w:tplc="380A0003" w:tentative="1">
      <w:start w:val="1"/>
      <w:numFmt w:val="bullet"/>
      <w:lvlText w:val="o"/>
      <w:lvlJc w:val="left"/>
      <w:pPr>
        <w:ind w:left="6044" w:hanging="360"/>
      </w:pPr>
      <w:rPr>
        <w:rFonts w:ascii="Courier New" w:hAnsi="Courier New" w:cs="Courier New" w:hint="default"/>
      </w:rPr>
    </w:lvl>
    <w:lvl w:ilvl="8" w:tplc="380A0005" w:tentative="1">
      <w:start w:val="1"/>
      <w:numFmt w:val="bullet"/>
      <w:lvlText w:val=""/>
      <w:lvlJc w:val="left"/>
      <w:pPr>
        <w:ind w:left="676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8FF"/>
    <w:rsid w:val="000A0029"/>
    <w:rsid w:val="00392F37"/>
    <w:rsid w:val="00405DC1"/>
    <w:rsid w:val="00543E26"/>
    <w:rsid w:val="005E68FF"/>
    <w:rsid w:val="006F7F36"/>
    <w:rsid w:val="00714CD6"/>
    <w:rsid w:val="007724E5"/>
    <w:rsid w:val="007A2309"/>
    <w:rsid w:val="0081274E"/>
    <w:rsid w:val="00B86E83"/>
    <w:rsid w:val="00D416AB"/>
    <w:rsid w:val="00DE0A0C"/>
    <w:rsid w:val="00E27583"/>
    <w:rsid w:val="00E47783"/>
    <w:rsid w:val="00E756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8FF"/>
    <w:rPr>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68FF"/>
    <w:pPr>
      <w:ind w:left="720"/>
      <w:contextualSpacing/>
    </w:pPr>
  </w:style>
  <w:style w:type="paragraph" w:customStyle="1" w:styleId="Default">
    <w:name w:val="Default"/>
    <w:rsid w:val="00E47783"/>
    <w:pPr>
      <w:autoSpaceDE w:val="0"/>
      <w:autoSpaceDN w:val="0"/>
      <w:adjustRightInd w:val="0"/>
      <w:spacing w:after="0" w:line="240" w:lineRule="auto"/>
    </w:pPr>
    <w:rPr>
      <w:rFonts w:ascii="Times New Roman" w:hAnsi="Times New Roman" w:cs="Times New Roman"/>
      <w:color w:val="000000"/>
      <w:sz w:val="24"/>
      <w:szCs w:val="24"/>
      <w:lang w:val="es-UY"/>
    </w:rPr>
  </w:style>
  <w:style w:type="paragraph" w:styleId="Encabezado">
    <w:name w:val="header"/>
    <w:basedOn w:val="Normal"/>
    <w:link w:val="EncabezadoCar"/>
    <w:uiPriority w:val="99"/>
    <w:unhideWhenUsed/>
    <w:rsid w:val="00405D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5DC1"/>
    <w:rPr>
      <w:lang w:val="es-UY"/>
    </w:rPr>
  </w:style>
  <w:style w:type="paragraph" w:styleId="Piedepgina">
    <w:name w:val="footer"/>
    <w:basedOn w:val="Normal"/>
    <w:link w:val="PiedepginaCar"/>
    <w:uiPriority w:val="99"/>
    <w:unhideWhenUsed/>
    <w:rsid w:val="00405D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5DC1"/>
    <w:rPr>
      <w:lang w:val="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68FF"/>
    <w:rPr>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E68FF"/>
    <w:pPr>
      <w:ind w:left="720"/>
      <w:contextualSpacing/>
    </w:pPr>
  </w:style>
  <w:style w:type="paragraph" w:customStyle="1" w:styleId="Default">
    <w:name w:val="Default"/>
    <w:rsid w:val="00E47783"/>
    <w:pPr>
      <w:autoSpaceDE w:val="0"/>
      <w:autoSpaceDN w:val="0"/>
      <w:adjustRightInd w:val="0"/>
      <w:spacing w:after="0" w:line="240" w:lineRule="auto"/>
    </w:pPr>
    <w:rPr>
      <w:rFonts w:ascii="Times New Roman" w:hAnsi="Times New Roman" w:cs="Times New Roman"/>
      <w:color w:val="000000"/>
      <w:sz w:val="24"/>
      <w:szCs w:val="24"/>
      <w:lang w:val="es-UY"/>
    </w:rPr>
  </w:style>
  <w:style w:type="paragraph" w:styleId="Encabezado">
    <w:name w:val="header"/>
    <w:basedOn w:val="Normal"/>
    <w:link w:val="EncabezadoCar"/>
    <w:uiPriority w:val="99"/>
    <w:unhideWhenUsed/>
    <w:rsid w:val="00405D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05DC1"/>
    <w:rPr>
      <w:lang w:val="es-UY"/>
    </w:rPr>
  </w:style>
  <w:style w:type="paragraph" w:styleId="Piedepgina">
    <w:name w:val="footer"/>
    <w:basedOn w:val="Normal"/>
    <w:link w:val="PiedepginaCar"/>
    <w:uiPriority w:val="99"/>
    <w:unhideWhenUsed/>
    <w:rsid w:val="00405D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05DC1"/>
    <w:rPr>
      <w:lang w:val="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522</Words>
  <Characters>2877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3</cp:revision>
  <cp:lastPrinted>2016-06-14T18:02:00Z</cp:lastPrinted>
  <dcterms:created xsi:type="dcterms:W3CDTF">2016-06-14T18:02:00Z</dcterms:created>
  <dcterms:modified xsi:type="dcterms:W3CDTF">2016-09-02T18:18:00Z</dcterms:modified>
</cp:coreProperties>
</file>