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12B" w:rsidRDefault="006C412B" w:rsidP="006C412B">
      <w:pPr>
        <w:spacing w:after="0" w:line="360" w:lineRule="auto"/>
        <w:ind w:firstLine="851"/>
        <w:jc w:val="both"/>
        <w:rPr>
          <w:rFonts w:ascii="Arial" w:hAnsi="Arial" w:cs="Arial"/>
          <w:sz w:val="24"/>
          <w:lang w:val="es-MX"/>
        </w:rPr>
      </w:pPr>
    </w:p>
    <w:p w:rsidR="008F42FB" w:rsidRPr="001E56A2" w:rsidRDefault="008F42FB" w:rsidP="008F42FB">
      <w:pPr>
        <w:tabs>
          <w:tab w:val="center" w:pos="4253"/>
        </w:tabs>
        <w:suppressAutoHyphens/>
        <w:spacing w:after="0" w:line="360" w:lineRule="auto"/>
        <w:jc w:val="right"/>
        <w:rPr>
          <w:rFonts w:ascii="Arial" w:hAnsi="Arial" w:cs="Arial"/>
          <w:sz w:val="28"/>
          <w:szCs w:val="28"/>
          <w:lang w:val="es-ES_tradnl"/>
        </w:rPr>
      </w:pPr>
      <w:r w:rsidRPr="001E56A2">
        <w:rPr>
          <w:rFonts w:ascii="Arial" w:hAnsi="Arial" w:cs="Arial"/>
          <w:sz w:val="28"/>
          <w:szCs w:val="28"/>
          <w:lang w:val="es-ES_tradnl"/>
        </w:rPr>
        <w:t>RES.  2759/16</w:t>
      </w:r>
    </w:p>
    <w:p w:rsidR="008F42FB" w:rsidRPr="008F42FB" w:rsidRDefault="008F42FB" w:rsidP="008F42FB">
      <w:pPr>
        <w:tabs>
          <w:tab w:val="center" w:pos="4253"/>
        </w:tabs>
        <w:suppressAutoHyphens/>
        <w:spacing w:after="0" w:line="360" w:lineRule="auto"/>
        <w:jc w:val="center"/>
        <w:rPr>
          <w:rFonts w:ascii="Arial" w:hAnsi="Arial" w:cs="Arial"/>
          <w:sz w:val="24"/>
          <w:szCs w:val="24"/>
          <w:lang w:val="es-ES_tradnl"/>
        </w:rPr>
      </w:pPr>
    </w:p>
    <w:p w:rsidR="008F42FB" w:rsidRPr="008F42FB" w:rsidRDefault="008F42FB" w:rsidP="008F42FB">
      <w:pPr>
        <w:tabs>
          <w:tab w:val="center" w:pos="4253"/>
        </w:tabs>
        <w:suppressAutoHyphens/>
        <w:spacing w:after="0" w:line="240" w:lineRule="auto"/>
        <w:jc w:val="center"/>
        <w:rPr>
          <w:rFonts w:ascii="Arial" w:hAnsi="Arial" w:cs="Arial"/>
          <w:sz w:val="24"/>
          <w:szCs w:val="24"/>
          <w:lang w:val="es-ES_tradnl"/>
        </w:rPr>
      </w:pPr>
      <w:r w:rsidRPr="008F42FB">
        <w:rPr>
          <w:rFonts w:ascii="Arial" w:hAnsi="Arial" w:cs="Arial"/>
          <w:sz w:val="24"/>
          <w:szCs w:val="24"/>
          <w:lang w:val="es-ES_tradnl"/>
        </w:rPr>
        <w:t>RESOLUCION ADOPTADA POR EL</w:t>
      </w:r>
    </w:p>
    <w:p w:rsidR="008F42FB" w:rsidRPr="008F42FB" w:rsidRDefault="008F42FB" w:rsidP="008F42FB">
      <w:pPr>
        <w:tabs>
          <w:tab w:val="left" w:pos="-720"/>
        </w:tabs>
        <w:suppressAutoHyphens/>
        <w:spacing w:after="0" w:line="240" w:lineRule="auto"/>
        <w:jc w:val="center"/>
        <w:rPr>
          <w:rFonts w:ascii="Arial" w:hAnsi="Arial" w:cs="Arial"/>
          <w:sz w:val="24"/>
          <w:szCs w:val="24"/>
          <w:lang w:val="es-ES_tradnl"/>
        </w:rPr>
      </w:pPr>
    </w:p>
    <w:p w:rsidR="008F42FB" w:rsidRPr="008F42FB" w:rsidRDefault="008F42FB" w:rsidP="008F42FB">
      <w:pPr>
        <w:tabs>
          <w:tab w:val="center" w:pos="4253"/>
        </w:tabs>
        <w:suppressAutoHyphens/>
        <w:spacing w:after="0" w:line="240" w:lineRule="auto"/>
        <w:jc w:val="center"/>
        <w:rPr>
          <w:rFonts w:ascii="Arial" w:hAnsi="Arial" w:cs="Arial"/>
          <w:sz w:val="24"/>
          <w:szCs w:val="24"/>
          <w:lang w:val="es-ES_tradnl"/>
        </w:rPr>
      </w:pPr>
      <w:r w:rsidRPr="008F42FB">
        <w:rPr>
          <w:rFonts w:ascii="Arial" w:hAnsi="Arial" w:cs="Arial"/>
          <w:sz w:val="24"/>
          <w:szCs w:val="24"/>
          <w:lang w:val="es-ES_tradnl"/>
        </w:rPr>
        <w:t>TRIBUNAL DE CUENTAS</w:t>
      </w:r>
    </w:p>
    <w:p w:rsidR="008F42FB" w:rsidRPr="008F42FB" w:rsidRDefault="008F42FB" w:rsidP="008F42FB">
      <w:pPr>
        <w:tabs>
          <w:tab w:val="left" w:pos="-720"/>
        </w:tabs>
        <w:suppressAutoHyphens/>
        <w:spacing w:after="0" w:line="240" w:lineRule="auto"/>
        <w:jc w:val="center"/>
        <w:rPr>
          <w:rFonts w:ascii="Arial" w:hAnsi="Arial" w:cs="Arial"/>
          <w:sz w:val="24"/>
          <w:szCs w:val="24"/>
          <w:lang w:val="es-ES_tradnl"/>
        </w:rPr>
      </w:pPr>
    </w:p>
    <w:p w:rsidR="008F42FB" w:rsidRPr="008F42FB" w:rsidRDefault="008F42FB" w:rsidP="008F42FB">
      <w:pPr>
        <w:tabs>
          <w:tab w:val="center" w:pos="4253"/>
        </w:tabs>
        <w:suppressAutoHyphens/>
        <w:spacing w:after="0" w:line="240" w:lineRule="auto"/>
        <w:jc w:val="center"/>
        <w:rPr>
          <w:rFonts w:ascii="Arial" w:hAnsi="Arial" w:cs="Arial"/>
          <w:sz w:val="24"/>
          <w:szCs w:val="24"/>
          <w:lang w:val="es-ES_tradnl"/>
        </w:rPr>
      </w:pPr>
      <w:r w:rsidRPr="008F42FB">
        <w:rPr>
          <w:rFonts w:ascii="Arial" w:hAnsi="Arial" w:cs="Arial"/>
          <w:sz w:val="24"/>
          <w:szCs w:val="24"/>
          <w:lang w:val="es-ES_tradnl"/>
        </w:rPr>
        <w:t>EN SESION DE FECHA 10 DE AGOSTO DE 2016</w:t>
      </w:r>
    </w:p>
    <w:p w:rsidR="008F42FB" w:rsidRPr="008F42FB" w:rsidRDefault="008F42FB" w:rsidP="008F42FB">
      <w:pPr>
        <w:tabs>
          <w:tab w:val="center" w:pos="4253"/>
        </w:tabs>
        <w:suppressAutoHyphens/>
        <w:spacing w:after="0" w:line="240" w:lineRule="auto"/>
        <w:jc w:val="center"/>
        <w:rPr>
          <w:rFonts w:ascii="Arial" w:hAnsi="Arial" w:cs="Arial"/>
          <w:sz w:val="24"/>
          <w:szCs w:val="24"/>
          <w:lang w:val="es-ES_tradnl"/>
        </w:rPr>
      </w:pPr>
    </w:p>
    <w:p w:rsidR="008F42FB" w:rsidRPr="008F42FB" w:rsidRDefault="008F42FB" w:rsidP="008F42FB">
      <w:pPr>
        <w:tabs>
          <w:tab w:val="center" w:pos="4253"/>
        </w:tabs>
        <w:suppressAutoHyphens/>
        <w:spacing w:after="0" w:line="240" w:lineRule="auto"/>
        <w:jc w:val="center"/>
        <w:rPr>
          <w:rFonts w:ascii="Arial" w:hAnsi="Arial" w:cs="Arial"/>
          <w:sz w:val="24"/>
          <w:szCs w:val="24"/>
          <w:lang w:val="es-ES_tradnl"/>
        </w:rPr>
      </w:pPr>
      <w:r w:rsidRPr="008F42FB">
        <w:rPr>
          <w:rFonts w:ascii="Arial" w:hAnsi="Arial" w:cs="Arial"/>
          <w:sz w:val="24"/>
          <w:szCs w:val="24"/>
          <w:lang w:val="es-ES_tradnl"/>
        </w:rPr>
        <w:t>(E.E.</w:t>
      </w:r>
      <w:r w:rsidR="00BB19E6">
        <w:rPr>
          <w:rFonts w:ascii="Arial" w:hAnsi="Arial" w:cs="Arial"/>
          <w:sz w:val="24"/>
          <w:szCs w:val="24"/>
          <w:lang w:val="es-ES_tradnl"/>
        </w:rPr>
        <w:t xml:space="preserve"> </w:t>
      </w:r>
      <w:r w:rsidRPr="008F42FB">
        <w:rPr>
          <w:rFonts w:ascii="Arial" w:hAnsi="Arial" w:cs="Arial"/>
          <w:sz w:val="24"/>
          <w:szCs w:val="24"/>
          <w:lang w:val="es-ES_tradnl"/>
        </w:rPr>
        <w:t>Nº</w:t>
      </w:r>
      <w:r>
        <w:rPr>
          <w:rFonts w:ascii="Arial" w:hAnsi="Arial" w:cs="Arial"/>
          <w:sz w:val="24"/>
          <w:szCs w:val="24"/>
          <w:lang w:val="es-ES_tradnl"/>
        </w:rPr>
        <w:t xml:space="preserve"> 2016-17-1-0003291</w:t>
      </w:r>
      <w:r w:rsidRPr="008F42FB">
        <w:rPr>
          <w:rFonts w:ascii="Arial" w:hAnsi="Arial" w:cs="Arial"/>
          <w:sz w:val="24"/>
          <w:szCs w:val="24"/>
          <w:lang w:val="es-ES_tradnl"/>
        </w:rPr>
        <w:t xml:space="preserve">, </w:t>
      </w:r>
      <w:proofErr w:type="spellStart"/>
      <w:r w:rsidRPr="008F42FB">
        <w:rPr>
          <w:rFonts w:ascii="Arial" w:hAnsi="Arial" w:cs="Arial"/>
          <w:sz w:val="24"/>
          <w:szCs w:val="24"/>
          <w:lang w:val="es-ES_tradnl"/>
        </w:rPr>
        <w:t>Ent</w:t>
      </w:r>
      <w:proofErr w:type="spellEnd"/>
      <w:r w:rsidRPr="008F42FB">
        <w:rPr>
          <w:rFonts w:ascii="Arial" w:hAnsi="Arial" w:cs="Arial"/>
          <w:sz w:val="24"/>
          <w:szCs w:val="24"/>
          <w:lang w:val="es-ES_tradnl"/>
        </w:rPr>
        <w:t>.</w:t>
      </w:r>
      <w:r>
        <w:rPr>
          <w:rFonts w:ascii="Arial" w:hAnsi="Arial" w:cs="Arial"/>
          <w:sz w:val="24"/>
          <w:szCs w:val="24"/>
          <w:lang w:val="es-ES_tradnl"/>
        </w:rPr>
        <w:t xml:space="preserve"> </w:t>
      </w:r>
      <w:r w:rsidRPr="008F42FB">
        <w:rPr>
          <w:rFonts w:ascii="Arial" w:hAnsi="Arial" w:cs="Arial"/>
          <w:sz w:val="24"/>
          <w:szCs w:val="24"/>
          <w:lang w:val="es-ES_tradnl"/>
        </w:rPr>
        <w:t>N°</w:t>
      </w:r>
      <w:r>
        <w:rPr>
          <w:rFonts w:ascii="Arial" w:hAnsi="Arial" w:cs="Arial"/>
          <w:sz w:val="24"/>
          <w:szCs w:val="24"/>
          <w:lang w:val="es-ES_tradnl"/>
        </w:rPr>
        <w:t xml:space="preserve"> 3754</w:t>
      </w:r>
      <w:r w:rsidRPr="008F42FB">
        <w:rPr>
          <w:rFonts w:ascii="Arial" w:hAnsi="Arial" w:cs="Arial"/>
          <w:sz w:val="24"/>
          <w:szCs w:val="24"/>
          <w:lang w:val="es-ES_tradnl"/>
        </w:rPr>
        <w:t>/</w:t>
      </w:r>
      <w:r>
        <w:rPr>
          <w:rFonts w:ascii="Arial" w:hAnsi="Arial" w:cs="Arial"/>
          <w:sz w:val="24"/>
          <w:szCs w:val="24"/>
          <w:lang w:val="es-ES_tradnl"/>
        </w:rPr>
        <w:t>16</w:t>
      </w:r>
      <w:r w:rsidRPr="008F42FB">
        <w:rPr>
          <w:rFonts w:ascii="Arial" w:hAnsi="Arial" w:cs="Arial"/>
          <w:sz w:val="24"/>
          <w:szCs w:val="24"/>
          <w:lang w:val="es-ES_tradnl"/>
        </w:rPr>
        <w:t>)</w:t>
      </w:r>
      <w:bookmarkStart w:id="0" w:name="_GoBack"/>
      <w:bookmarkEnd w:id="0"/>
    </w:p>
    <w:p w:rsidR="008F42FB" w:rsidRPr="004746D1" w:rsidRDefault="008F42FB">
      <w:pPr>
        <w:tabs>
          <w:tab w:val="center" w:pos="4253"/>
        </w:tabs>
        <w:suppressAutoHyphens/>
        <w:jc w:val="center"/>
        <w:rPr>
          <w:rFonts w:ascii="Arial" w:hAnsi="Arial" w:cs="Arial"/>
          <w:spacing w:val="-3"/>
          <w:sz w:val="24"/>
          <w:szCs w:val="24"/>
          <w:lang w:val="es-ES_tradnl"/>
        </w:rPr>
      </w:pPr>
    </w:p>
    <w:p w:rsidR="006C412B" w:rsidRDefault="006C412B" w:rsidP="006C412B">
      <w:pPr>
        <w:spacing w:after="0" w:line="360" w:lineRule="auto"/>
        <w:ind w:firstLine="851"/>
        <w:jc w:val="both"/>
        <w:rPr>
          <w:rFonts w:ascii="Arial" w:hAnsi="Arial" w:cs="Arial"/>
          <w:sz w:val="24"/>
          <w:lang w:val="es-MX"/>
        </w:rPr>
      </w:pPr>
    </w:p>
    <w:p w:rsidR="006C412B" w:rsidRDefault="006C412B" w:rsidP="006C412B">
      <w:pPr>
        <w:spacing w:after="0" w:line="360" w:lineRule="auto"/>
        <w:ind w:firstLine="851"/>
        <w:jc w:val="both"/>
        <w:rPr>
          <w:rFonts w:ascii="Arial" w:hAnsi="Arial" w:cs="Arial"/>
          <w:b w:val="0"/>
          <w:bCs w:val="0"/>
          <w:smallCaps w:val="0"/>
          <w:snapToGrid w:val="0"/>
          <w:sz w:val="24"/>
          <w:szCs w:val="24"/>
          <w:lang w:val="es-MX" w:eastAsia="es-ES"/>
        </w:rPr>
      </w:pPr>
      <w:r>
        <w:rPr>
          <w:rFonts w:ascii="Arial" w:hAnsi="Arial" w:cs="Arial"/>
          <w:sz w:val="24"/>
          <w:lang w:val="es-MX"/>
        </w:rPr>
        <w:t xml:space="preserve">VISTO: </w:t>
      </w:r>
      <w:r>
        <w:rPr>
          <w:rFonts w:ascii="Arial" w:hAnsi="Arial" w:cs="Arial"/>
          <w:b w:val="0"/>
          <w:bCs w:val="0"/>
          <w:smallCaps w:val="0"/>
          <w:sz w:val="24"/>
          <w:lang w:val="es-MX"/>
        </w:rPr>
        <w:t xml:space="preserve">las nuevas actuaciones remitidas por la </w:t>
      </w:r>
      <w:r>
        <w:rPr>
          <w:rFonts w:ascii="Arial" w:hAnsi="Arial" w:cs="Arial"/>
          <w:b w:val="0"/>
          <w:bCs w:val="0"/>
          <w:smallCaps w:val="0"/>
          <w:sz w:val="24"/>
        </w:rPr>
        <w:t xml:space="preserve">Administración Nacional de Puertos, relacionadas con </w:t>
      </w:r>
      <w:r>
        <w:rPr>
          <w:rFonts w:ascii="Arial" w:hAnsi="Arial" w:cs="Arial"/>
          <w:b w:val="0"/>
          <w:bCs w:val="0"/>
          <w:smallCaps w:val="0"/>
          <w:sz w:val="24"/>
          <w:lang w:val="es-MX"/>
        </w:rPr>
        <w:t>el otorgamiento de un permiso para la explotación de área para brindar un servicio de frío a contenedores en el pue</w:t>
      </w:r>
      <w:r w:rsidR="008F42FB">
        <w:rPr>
          <w:rFonts w:ascii="Arial" w:hAnsi="Arial" w:cs="Arial"/>
          <w:b w:val="0"/>
          <w:bCs w:val="0"/>
          <w:smallCaps w:val="0"/>
          <w:sz w:val="24"/>
          <w:lang w:val="es-MX"/>
        </w:rPr>
        <w:t>rto de Montevideo</w:t>
      </w:r>
      <w:r>
        <w:rPr>
          <w:rFonts w:ascii="Arial" w:hAnsi="Arial" w:cs="Arial"/>
          <w:b w:val="0"/>
          <w:bCs w:val="0"/>
          <w:smallCaps w:val="0"/>
          <w:sz w:val="24"/>
        </w:rPr>
        <w:t xml:space="preserve"> (Licitación Pública </w:t>
      </w:r>
      <w:r>
        <w:rPr>
          <w:rFonts w:ascii="Arial" w:hAnsi="Arial" w:cs="Arial"/>
          <w:b w:val="0"/>
          <w:bCs w:val="0"/>
          <w:smallCaps w:val="0"/>
          <w:sz w:val="24"/>
          <w:lang w:val="es-MX"/>
        </w:rPr>
        <w:t>Nº 01/16);</w:t>
      </w:r>
    </w:p>
    <w:p w:rsidR="006C412B" w:rsidRDefault="006C412B" w:rsidP="006C412B">
      <w:pPr>
        <w:spacing w:after="0" w:line="360" w:lineRule="auto"/>
        <w:ind w:firstLine="851"/>
        <w:jc w:val="both"/>
        <w:rPr>
          <w:rFonts w:ascii="Arial" w:hAnsi="Arial" w:cs="Arial"/>
          <w:b w:val="0"/>
          <w:bCs w:val="0"/>
          <w:smallCaps w:val="0"/>
          <w:snapToGrid w:val="0"/>
          <w:sz w:val="24"/>
          <w:szCs w:val="24"/>
          <w:lang w:val="es-MX"/>
        </w:rPr>
      </w:pPr>
      <w:r>
        <w:rPr>
          <w:rFonts w:ascii="Arial" w:hAnsi="Arial" w:cs="Arial"/>
          <w:sz w:val="24"/>
          <w:lang w:val="es-MX"/>
        </w:rPr>
        <w:t>RESULTANDO</w:t>
      </w:r>
      <w:proofErr w:type="gramStart"/>
      <w:r>
        <w:rPr>
          <w:rFonts w:ascii="Arial" w:hAnsi="Arial" w:cs="Arial"/>
          <w:sz w:val="24"/>
          <w:lang w:val="es-MX"/>
        </w:rPr>
        <w:t>:  1</w:t>
      </w:r>
      <w:proofErr w:type="gramEnd"/>
      <w:r>
        <w:rPr>
          <w:rFonts w:ascii="Arial" w:hAnsi="Arial" w:cs="Arial"/>
          <w:sz w:val="24"/>
          <w:lang w:val="es-MX"/>
        </w:rPr>
        <w:t xml:space="preserve">) </w:t>
      </w:r>
      <w:r>
        <w:rPr>
          <w:rFonts w:ascii="Arial" w:hAnsi="Arial" w:cs="Arial"/>
          <w:b w:val="0"/>
          <w:bCs w:val="0"/>
          <w:smallCaps w:val="0"/>
          <w:sz w:val="24"/>
          <w:lang w:val="es-MX"/>
        </w:rPr>
        <w:t xml:space="preserve">que </w:t>
      </w:r>
      <w:r>
        <w:rPr>
          <w:rFonts w:ascii="Arial" w:hAnsi="Arial" w:cs="Arial"/>
          <w:b w:val="0"/>
          <w:bCs w:val="0"/>
          <w:smallCaps w:val="0"/>
          <w:snapToGrid w:val="0"/>
          <w:sz w:val="24"/>
          <w:szCs w:val="24"/>
        </w:rPr>
        <w:t xml:space="preserve">por Resolución del Directorio  Nº 176/3.815 de fecha 15/04/16 se adjudicó la </w:t>
      </w:r>
      <w:r w:rsidR="008F42FB">
        <w:rPr>
          <w:rFonts w:ascii="Arial" w:hAnsi="Arial" w:cs="Arial"/>
          <w:b w:val="0"/>
          <w:bCs w:val="0"/>
          <w:smallCaps w:val="0"/>
          <w:snapToGrid w:val="0"/>
          <w:sz w:val="24"/>
          <w:szCs w:val="24"/>
        </w:rPr>
        <w:t>L</w:t>
      </w:r>
      <w:r>
        <w:rPr>
          <w:rFonts w:ascii="Arial" w:hAnsi="Arial" w:cs="Arial"/>
          <w:b w:val="0"/>
          <w:bCs w:val="0"/>
          <w:smallCaps w:val="0"/>
          <w:snapToGrid w:val="0"/>
          <w:sz w:val="24"/>
          <w:szCs w:val="24"/>
        </w:rPr>
        <w:t xml:space="preserve">icitación </w:t>
      </w:r>
      <w:r w:rsidR="008F42FB">
        <w:rPr>
          <w:rFonts w:ascii="Arial" w:hAnsi="Arial" w:cs="Arial"/>
          <w:b w:val="0"/>
          <w:bCs w:val="0"/>
          <w:smallCaps w:val="0"/>
          <w:snapToGrid w:val="0"/>
          <w:sz w:val="24"/>
          <w:szCs w:val="24"/>
        </w:rPr>
        <w:t>P</w:t>
      </w:r>
      <w:r>
        <w:rPr>
          <w:rFonts w:ascii="Arial" w:hAnsi="Arial" w:cs="Arial"/>
          <w:b w:val="0"/>
          <w:bCs w:val="0"/>
          <w:smallCaps w:val="0"/>
          <w:snapToGrid w:val="0"/>
          <w:sz w:val="24"/>
          <w:szCs w:val="24"/>
        </w:rPr>
        <w:t xml:space="preserve">ública, ad referéndum de la intervención preventiva del Tribunal de Cuentas, a la firma </w:t>
      </w:r>
      <w:proofErr w:type="spellStart"/>
      <w:r>
        <w:rPr>
          <w:rFonts w:ascii="Arial" w:hAnsi="Arial" w:cs="Arial"/>
          <w:b w:val="0"/>
          <w:bCs w:val="0"/>
          <w:smallCaps w:val="0"/>
          <w:snapToGrid w:val="0"/>
          <w:sz w:val="24"/>
          <w:szCs w:val="24"/>
        </w:rPr>
        <w:t>Dervalix</w:t>
      </w:r>
      <w:proofErr w:type="spellEnd"/>
      <w:r>
        <w:rPr>
          <w:rFonts w:ascii="Arial" w:hAnsi="Arial" w:cs="Arial"/>
          <w:b w:val="0"/>
          <w:bCs w:val="0"/>
          <w:smallCaps w:val="0"/>
          <w:snapToGrid w:val="0"/>
          <w:sz w:val="24"/>
          <w:szCs w:val="24"/>
        </w:rPr>
        <w:t xml:space="preserve"> S.A., por un canon mensual de U$S 32/M”, por el plazo de un año;</w:t>
      </w:r>
    </w:p>
    <w:p w:rsidR="006C412B" w:rsidRDefault="006C412B" w:rsidP="006C412B">
      <w:pPr>
        <w:spacing w:after="0" w:line="360" w:lineRule="auto"/>
        <w:ind w:firstLine="2694"/>
        <w:jc w:val="both"/>
        <w:rPr>
          <w:rFonts w:ascii="Arial" w:hAnsi="Arial" w:cs="Arial"/>
          <w:b w:val="0"/>
          <w:bCs w:val="0"/>
          <w:smallCaps w:val="0"/>
          <w:snapToGrid w:val="0"/>
          <w:sz w:val="24"/>
          <w:szCs w:val="24"/>
          <w:lang w:val="es-MX"/>
        </w:rPr>
      </w:pPr>
      <w:r>
        <w:rPr>
          <w:rFonts w:ascii="Arial" w:hAnsi="Arial" w:cs="Arial"/>
          <w:bCs w:val="0"/>
          <w:smallCaps w:val="0"/>
          <w:snapToGrid w:val="0"/>
          <w:sz w:val="24"/>
          <w:szCs w:val="24"/>
          <w:lang w:val="es-MX"/>
        </w:rPr>
        <w:t xml:space="preserve"> 2)</w:t>
      </w:r>
      <w:r>
        <w:rPr>
          <w:rFonts w:ascii="Arial" w:hAnsi="Arial" w:cs="Arial"/>
          <w:b w:val="0"/>
          <w:bCs w:val="0"/>
          <w:smallCaps w:val="0"/>
          <w:snapToGrid w:val="0"/>
          <w:sz w:val="24"/>
          <w:szCs w:val="24"/>
          <w:lang w:val="es-MX"/>
        </w:rPr>
        <w:t xml:space="preserve"> que este Tribunal, por Resolución Nº 2155/16 dictada en </w:t>
      </w:r>
      <w:r w:rsidR="008F42FB">
        <w:rPr>
          <w:rFonts w:ascii="Arial" w:hAnsi="Arial" w:cs="Arial"/>
          <w:b w:val="0"/>
          <w:bCs w:val="0"/>
          <w:smallCaps w:val="0"/>
          <w:snapToGrid w:val="0"/>
          <w:sz w:val="24"/>
          <w:szCs w:val="24"/>
          <w:lang w:val="es-MX"/>
        </w:rPr>
        <w:t>S</w:t>
      </w:r>
      <w:r>
        <w:rPr>
          <w:rFonts w:ascii="Arial" w:hAnsi="Arial" w:cs="Arial"/>
          <w:b w:val="0"/>
          <w:bCs w:val="0"/>
          <w:smallCaps w:val="0"/>
          <w:snapToGrid w:val="0"/>
          <w:sz w:val="24"/>
          <w:szCs w:val="24"/>
          <w:lang w:val="es-MX"/>
        </w:rPr>
        <w:t>esión de fecha 22/06/16, observó el procedimiento en razón de que:</w:t>
      </w:r>
    </w:p>
    <w:p w:rsidR="006C412B" w:rsidRDefault="006C412B" w:rsidP="006C412B">
      <w:pPr>
        <w:pStyle w:val="Sangradetextonormal"/>
        <w:rPr>
          <w:bCs/>
          <w:lang w:val="es-UY"/>
        </w:rPr>
      </w:pPr>
      <w:r>
        <w:rPr>
          <w:b/>
          <w:bCs/>
          <w:smallCaps/>
          <w:snapToGrid w:val="0"/>
        </w:rPr>
        <w:t>2.1</w:t>
      </w:r>
      <w:r>
        <w:rPr>
          <w:b/>
        </w:rPr>
        <w:t xml:space="preserve">) </w:t>
      </w:r>
      <w:r>
        <w:t>el A</w:t>
      </w:r>
      <w:proofErr w:type="spellStart"/>
      <w:r>
        <w:rPr>
          <w:bCs/>
          <w:lang w:val="es-UY"/>
        </w:rPr>
        <w:t>rtículo</w:t>
      </w:r>
      <w:proofErr w:type="spellEnd"/>
      <w:r>
        <w:rPr>
          <w:bCs/>
          <w:lang w:val="es-UY"/>
        </w:rPr>
        <w:t xml:space="preserve"> 16.1 del Pliego de Condiciones Particulares al establecer que el oferente deberá adjuntar a la oferta el comprobante que acredite haber adquirido el Pliego de Condiciones Particulares, contravino lo dispuesto por el Artículo 48 del TOCAF, en razón de que tratándose de un requisito formal, únicamente debe exigirse al oferente que resulte adjudicatario;</w:t>
      </w:r>
    </w:p>
    <w:p w:rsidR="006C412B" w:rsidRDefault="006C412B" w:rsidP="006C412B">
      <w:pPr>
        <w:pStyle w:val="Sangradetextonormal"/>
        <w:rPr>
          <w:i/>
        </w:rPr>
      </w:pPr>
      <w:r>
        <w:rPr>
          <w:b/>
          <w:bCs/>
          <w:lang w:val="es-UY"/>
        </w:rPr>
        <w:t>2.2</w:t>
      </w:r>
      <w:r>
        <w:rPr>
          <w:b/>
          <w:bCs/>
          <w:smallCaps/>
          <w:snapToGrid w:val="0"/>
        </w:rPr>
        <w:t xml:space="preserve">) </w:t>
      </w:r>
      <w:r>
        <w:rPr>
          <w:bCs/>
          <w:snapToGrid w:val="0"/>
        </w:rPr>
        <w:t xml:space="preserve">por </w:t>
      </w:r>
      <w:r>
        <w:t>el Artículo 16.2 de</w:t>
      </w:r>
      <w:r>
        <w:rPr>
          <w:lang w:val="es-UY"/>
        </w:rPr>
        <w:t xml:space="preserve">l Pliego de Condiciones Particulares que rigió el </w:t>
      </w:r>
      <w:r w:rsidR="008F42FB">
        <w:rPr>
          <w:lang w:val="es-UY"/>
        </w:rPr>
        <w:t>L</w:t>
      </w:r>
      <w:r>
        <w:rPr>
          <w:lang w:val="es-UY"/>
        </w:rPr>
        <w:t>lamado, los recaudos exigidos conjuntamente con la oferta obran en el Registro Único de Proveedores del Estado, por  lo que s</w:t>
      </w:r>
      <w:r w:rsidR="008F42FB">
        <w:rPr>
          <w:lang w:val="es-UY"/>
        </w:rPr>
        <w:t>u exigencia</w:t>
      </w:r>
      <w:r>
        <w:rPr>
          <w:lang w:val="es-UY"/>
        </w:rPr>
        <w:t xml:space="preserve"> </w:t>
      </w:r>
      <w:r>
        <w:rPr>
          <w:lang w:val="es-UY"/>
        </w:rPr>
        <w:lastRenderedPageBreak/>
        <w:t>contraviene lo dispuesto por el Artículo 9 d</w:t>
      </w:r>
      <w:r>
        <w:t xml:space="preserve">el Pliego Único de Bases y  Condiciones Generales para los Contratos de Suministros y Servicios No Personales, aprobado por Decreto Nº 131/014 de fecha 19/5/14, que establece que </w:t>
      </w:r>
      <w:r>
        <w:rPr>
          <w:i/>
        </w:rPr>
        <w:t>“el Pliego Particular no podrá exigir documentación a la que se pueda acceder a través del RUPE o de cualquier sistema de información de libre acceso”;</w:t>
      </w:r>
    </w:p>
    <w:p w:rsidR="006C412B" w:rsidRDefault="006C412B" w:rsidP="006C412B">
      <w:pPr>
        <w:spacing w:after="0" w:line="360" w:lineRule="auto"/>
        <w:ind w:firstLine="2694"/>
        <w:jc w:val="both"/>
        <w:rPr>
          <w:rFonts w:ascii="Arial" w:hAnsi="Arial" w:cs="Arial"/>
          <w:b w:val="0"/>
          <w:bCs w:val="0"/>
          <w:smallCaps w:val="0"/>
          <w:snapToGrid w:val="0"/>
          <w:sz w:val="24"/>
          <w:szCs w:val="24"/>
        </w:rPr>
      </w:pPr>
      <w:r>
        <w:rPr>
          <w:rFonts w:ascii="Arial" w:hAnsi="Arial" w:cs="Arial"/>
          <w:bCs w:val="0"/>
          <w:smallCaps w:val="0"/>
          <w:snapToGrid w:val="0"/>
          <w:sz w:val="24"/>
          <w:szCs w:val="24"/>
        </w:rPr>
        <w:t xml:space="preserve">3) </w:t>
      </w:r>
      <w:r>
        <w:rPr>
          <w:rFonts w:ascii="Arial" w:hAnsi="Arial" w:cs="Arial"/>
          <w:b w:val="0"/>
          <w:bCs w:val="0"/>
          <w:smallCaps w:val="0"/>
          <w:snapToGrid w:val="0"/>
          <w:sz w:val="24"/>
          <w:szCs w:val="24"/>
        </w:rPr>
        <w:t>que por Resolución N° 364/3.828 de fecha 06/07/16, el Directorio dispuso seguir adelante con el procedimiento expresando que:</w:t>
      </w:r>
    </w:p>
    <w:p w:rsidR="006C412B" w:rsidRDefault="006C412B" w:rsidP="006C412B">
      <w:pPr>
        <w:spacing w:after="0" w:line="360" w:lineRule="auto"/>
        <w:jc w:val="both"/>
        <w:rPr>
          <w:rFonts w:ascii="Arial" w:hAnsi="Arial" w:cs="Arial"/>
          <w:b w:val="0"/>
          <w:bCs w:val="0"/>
          <w:smallCaps w:val="0"/>
          <w:snapToGrid w:val="0"/>
          <w:sz w:val="24"/>
          <w:szCs w:val="24"/>
        </w:rPr>
      </w:pPr>
      <w:r>
        <w:rPr>
          <w:rFonts w:ascii="Arial" w:hAnsi="Arial" w:cs="Arial"/>
          <w:bCs w:val="0"/>
          <w:smallCaps w:val="0"/>
          <w:snapToGrid w:val="0"/>
          <w:sz w:val="24"/>
          <w:szCs w:val="24"/>
        </w:rPr>
        <w:t xml:space="preserve">3.1) </w:t>
      </w:r>
      <w:r>
        <w:rPr>
          <w:rFonts w:ascii="Arial" w:hAnsi="Arial" w:cs="Arial"/>
          <w:b w:val="0"/>
          <w:bCs w:val="0"/>
          <w:smallCaps w:val="0"/>
          <w:snapToGrid w:val="0"/>
          <w:sz w:val="24"/>
          <w:szCs w:val="24"/>
        </w:rPr>
        <w:t>todos los interesados que adquirieron el Pliego de Condiciones Particulares, presentaron sus respectivas ofertas, no habiendo quedado fuera del proceso licitatorio ninguno de ellos;</w:t>
      </w:r>
    </w:p>
    <w:p w:rsidR="006C412B" w:rsidRDefault="006C412B" w:rsidP="006C412B">
      <w:pPr>
        <w:spacing w:after="0" w:line="360" w:lineRule="auto"/>
        <w:jc w:val="both"/>
        <w:rPr>
          <w:rFonts w:ascii="Arial" w:hAnsi="Arial" w:cs="Arial"/>
          <w:b w:val="0"/>
          <w:bCs w:val="0"/>
          <w:smallCaps w:val="0"/>
          <w:snapToGrid w:val="0"/>
          <w:sz w:val="24"/>
          <w:szCs w:val="24"/>
        </w:rPr>
      </w:pPr>
      <w:r>
        <w:rPr>
          <w:rFonts w:ascii="Arial" w:hAnsi="Arial" w:cs="Arial"/>
          <w:bCs w:val="0"/>
          <w:smallCaps w:val="0"/>
          <w:snapToGrid w:val="0"/>
          <w:sz w:val="24"/>
          <w:szCs w:val="24"/>
        </w:rPr>
        <w:t xml:space="preserve">3.2) </w:t>
      </w:r>
      <w:r>
        <w:rPr>
          <w:rFonts w:ascii="Arial" w:hAnsi="Arial" w:cs="Arial"/>
          <w:b w:val="0"/>
          <w:bCs w:val="0"/>
          <w:smallCaps w:val="0"/>
          <w:snapToGrid w:val="0"/>
          <w:sz w:val="24"/>
          <w:szCs w:val="24"/>
        </w:rPr>
        <w:t xml:space="preserve"> se dio cumplimiento a lo dispuesto por el Artículo 48 del TOCAF, resultando que todos los oferentes cumplieron dichos requisitos</w:t>
      </w:r>
      <w:r w:rsidR="00B17915">
        <w:rPr>
          <w:rFonts w:ascii="Arial" w:hAnsi="Arial" w:cs="Arial"/>
          <w:b w:val="0"/>
          <w:bCs w:val="0"/>
          <w:smallCaps w:val="0"/>
          <w:snapToGrid w:val="0"/>
          <w:sz w:val="24"/>
          <w:szCs w:val="24"/>
        </w:rPr>
        <w:t>;</w:t>
      </w:r>
      <w:r>
        <w:rPr>
          <w:rFonts w:ascii="Arial" w:hAnsi="Arial" w:cs="Arial"/>
          <w:b w:val="0"/>
          <w:bCs w:val="0"/>
          <w:smallCaps w:val="0"/>
          <w:snapToGrid w:val="0"/>
          <w:sz w:val="24"/>
          <w:szCs w:val="24"/>
        </w:rPr>
        <w:t xml:space="preserve"> y</w:t>
      </w:r>
    </w:p>
    <w:p w:rsidR="006C412B" w:rsidRDefault="006C412B" w:rsidP="006C412B">
      <w:pPr>
        <w:spacing w:after="0" w:line="360" w:lineRule="auto"/>
        <w:jc w:val="both"/>
        <w:rPr>
          <w:rFonts w:ascii="Arial" w:hAnsi="Arial" w:cs="Arial"/>
          <w:b w:val="0"/>
          <w:bCs w:val="0"/>
          <w:smallCaps w:val="0"/>
          <w:snapToGrid w:val="0"/>
          <w:sz w:val="24"/>
          <w:szCs w:val="24"/>
        </w:rPr>
      </w:pPr>
      <w:r>
        <w:rPr>
          <w:rFonts w:ascii="Arial" w:hAnsi="Arial" w:cs="Arial"/>
          <w:bCs w:val="0"/>
          <w:smallCaps w:val="0"/>
          <w:snapToGrid w:val="0"/>
          <w:sz w:val="24"/>
          <w:szCs w:val="24"/>
        </w:rPr>
        <w:t xml:space="preserve"> 3.3) </w:t>
      </w:r>
      <w:r>
        <w:rPr>
          <w:rFonts w:ascii="Arial" w:hAnsi="Arial" w:cs="Arial"/>
          <w:b w:val="0"/>
          <w:bCs w:val="0"/>
          <w:smallCaps w:val="0"/>
          <w:snapToGrid w:val="0"/>
          <w:sz w:val="24"/>
          <w:szCs w:val="24"/>
        </w:rPr>
        <w:t xml:space="preserve"> todos cumplieron con el Artículo 16.2 que exigía la presentación del Certificado notarial de quien o quienes firman la oferta;</w:t>
      </w:r>
    </w:p>
    <w:p w:rsidR="006C412B" w:rsidRDefault="006C412B" w:rsidP="006C412B">
      <w:pPr>
        <w:spacing w:after="0" w:line="360" w:lineRule="auto"/>
        <w:ind w:firstLine="851"/>
        <w:jc w:val="both"/>
        <w:rPr>
          <w:rFonts w:ascii="Arial" w:hAnsi="Arial" w:cs="Arial"/>
          <w:b w:val="0"/>
          <w:bCs w:val="0"/>
          <w:smallCaps w:val="0"/>
          <w:snapToGrid w:val="0"/>
          <w:sz w:val="24"/>
          <w:szCs w:val="24"/>
        </w:rPr>
      </w:pPr>
      <w:r>
        <w:rPr>
          <w:rFonts w:ascii="Arial" w:hAnsi="Arial" w:cs="Arial"/>
          <w:bCs w:val="0"/>
          <w:smallCaps w:val="0"/>
          <w:snapToGrid w:val="0"/>
          <w:sz w:val="24"/>
          <w:szCs w:val="24"/>
        </w:rPr>
        <w:t>CONSIDERANDO:</w:t>
      </w:r>
      <w:r>
        <w:rPr>
          <w:rFonts w:ascii="Arial" w:hAnsi="Arial" w:cs="Arial"/>
          <w:b w:val="0"/>
          <w:bCs w:val="0"/>
          <w:smallCaps w:val="0"/>
          <w:snapToGrid w:val="0"/>
          <w:sz w:val="24"/>
          <w:szCs w:val="24"/>
        </w:rPr>
        <w:t xml:space="preserve"> </w:t>
      </w:r>
      <w:r>
        <w:rPr>
          <w:rFonts w:ascii="Arial" w:hAnsi="Arial" w:cs="Arial"/>
          <w:bCs w:val="0"/>
          <w:smallCaps w:val="0"/>
          <w:snapToGrid w:val="0"/>
          <w:sz w:val="24"/>
          <w:szCs w:val="24"/>
        </w:rPr>
        <w:t xml:space="preserve">1) </w:t>
      </w:r>
      <w:r>
        <w:rPr>
          <w:rFonts w:ascii="Arial" w:hAnsi="Arial" w:cs="Arial"/>
          <w:b w:val="0"/>
          <w:bCs w:val="0"/>
          <w:smallCaps w:val="0"/>
          <w:snapToGrid w:val="0"/>
          <w:sz w:val="24"/>
          <w:szCs w:val="24"/>
        </w:rPr>
        <w:t xml:space="preserve">que el Artículo 16.1  de las </w:t>
      </w:r>
      <w:r w:rsidR="00B17915">
        <w:rPr>
          <w:rFonts w:ascii="Arial" w:hAnsi="Arial" w:cs="Arial"/>
          <w:b w:val="0"/>
          <w:bCs w:val="0"/>
          <w:smallCaps w:val="0"/>
          <w:snapToGrid w:val="0"/>
          <w:sz w:val="24"/>
          <w:szCs w:val="24"/>
        </w:rPr>
        <w:t>B</w:t>
      </w:r>
      <w:r>
        <w:rPr>
          <w:rFonts w:ascii="Arial" w:hAnsi="Arial" w:cs="Arial"/>
          <w:b w:val="0"/>
          <w:bCs w:val="0"/>
          <w:smallCaps w:val="0"/>
          <w:snapToGrid w:val="0"/>
          <w:sz w:val="24"/>
          <w:szCs w:val="24"/>
        </w:rPr>
        <w:t xml:space="preserve">ases del </w:t>
      </w:r>
      <w:r w:rsidR="00B17915">
        <w:rPr>
          <w:rFonts w:ascii="Arial" w:hAnsi="Arial" w:cs="Arial"/>
          <w:b w:val="0"/>
          <w:bCs w:val="0"/>
          <w:smallCaps w:val="0"/>
          <w:snapToGrid w:val="0"/>
          <w:sz w:val="24"/>
          <w:szCs w:val="24"/>
        </w:rPr>
        <w:t>L</w:t>
      </w:r>
      <w:r>
        <w:rPr>
          <w:rFonts w:ascii="Arial" w:hAnsi="Arial" w:cs="Arial"/>
          <w:b w:val="0"/>
          <w:bCs w:val="0"/>
          <w:smallCaps w:val="0"/>
          <w:snapToGrid w:val="0"/>
          <w:sz w:val="24"/>
          <w:szCs w:val="24"/>
        </w:rPr>
        <w:t>lamado contravino lo dispuesto por el Artículo 48 del TOCAF, en tanto requiere que al momento de la apertura de ofertas se acredite por parte de los oferentes, haber adquirido el Pliego de Condiciones Particulares, cuando ello s</w:t>
      </w:r>
      <w:r w:rsidR="00B17915">
        <w:rPr>
          <w:rFonts w:ascii="Arial" w:hAnsi="Arial" w:cs="Arial"/>
          <w:b w:val="0"/>
          <w:bCs w:val="0"/>
          <w:smallCaps w:val="0"/>
          <w:snapToGrid w:val="0"/>
          <w:sz w:val="24"/>
          <w:szCs w:val="24"/>
        </w:rPr>
        <w:t>ó</w:t>
      </w:r>
      <w:r>
        <w:rPr>
          <w:rFonts w:ascii="Arial" w:hAnsi="Arial" w:cs="Arial"/>
          <w:b w:val="0"/>
          <w:bCs w:val="0"/>
          <w:smallCaps w:val="0"/>
          <w:snapToGrid w:val="0"/>
          <w:sz w:val="24"/>
          <w:szCs w:val="24"/>
        </w:rPr>
        <w:t>lo se l</w:t>
      </w:r>
      <w:r w:rsidR="00B17915">
        <w:rPr>
          <w:rFonts w:ascii="Arial" w:hAnsi="Arial" w:cs="Arial"/>
          <w:b w:val="0"/>
          <w:bCs w:val="0"/>
          <w:smallCaps w:val="0"/>
          <w:snapToGrid w:val="0"/>
          <w:sz w:val="24"/>
          <w:szCs w:val="24"/>
        </w:rPr>
        <w:t>e</w:t>
      </w:r>
      <w:r>
        <w:rPr>
          <w:rFonts w:ascii="Arial" w:hAnsi="Arial" w:cs="Arial"/>
          <w:b w:val="0"/>
          <w:bCs w:val="0"/>
          <w:smallCaps w:val="0"/>
          <w:snapToGrid w:val="0"/>
          <w:sz w:val="24"/>
          <w:szCs w:val="24"/>
        </w:rPr>
        <w:t xml:space="preserve"> puede solicitar al oferente que resulte adjudicatario;</w:t>
      </w:r>
      <w:r>
        <w:rPr>
          <w:rFonts w:ascii="Arial" w:hAnsi="Arial" w:cs="Arial"/>
          <w:b w:val="0"/>
          <w:bCs w:val="0"/>
          <w:smallCaps w:val="0"/>
          <w:snapToGrid w:val="0"/>
          <w:sz w:val="24"/>
          <w:szCs w:val="24"/>
        </w:rPr>
        <w:tab/>
      </w:r>
      <w:r>
        <w:rPr>
          <w:rFonts w:ascii="Arial" w:hAnsi="Arial" w:cs="Arial"/>
          <w:b w:val="0"/>
          <w:bCs w:val="0"/>
          <w:smallCaps w:val="0"/>
          <w:snapToGrid w:val="0"/>
          <w:sz w:val="24"/>
          <w:szCs w:val="24"/>
        </w:rPr>
        <w:tab/>
      </w:r>
      <w:r>
        <w:rPr>
          <w:rFonts w:ascii="Arial" w:hAnsi="Arial" w:cs="Arial"/>
          <w:b w:val="0"/>
          <w:bCs w:val="0"/>
          <w:smallCaps w:val="0"/>
          <w:snapToGrid w:val="0"/>
          <w:sz w:val="24"/>
          <w:szCs w:val="24"/>
        </w:rPr>
        <w:tab/>
        <w:t xml:space="preserve">                       </w:t>
      </w:r>
    </w:p>
    <w:p w:rsidR="006C412B" w:rsidRDefault="006C412B" w:rsidP="006C412B">
      <w:pPr>
        <w:spacing w:after="0" w:line="360" w:lineRule="auto"/>
        <w:ind w:firstLine="3119"/>
        <w:jc w:val="both"/>
        <w:rPr>
          <w:rFonts w:ascii="Arial" w:hAnsi="Arial" w:cs="Arial"/>
          <w:b w:val="0"/>
          <w:smallCaps w:val="0"/>
          <w:snapToGrid w:val="0"/>
          <w:sz w:val="24"/>
          <w:szCs w:val="24"/>
        </w:rPr>
      </w:pPr>
      <w:r>
        <w:rPr>
          <w:rFonts w:ascii="Arial" w:hAnsi="Arial" w:cs="Arial"/>
          <w:bCs w:val="0"/>
          <w:smallCaps w:val="0"/>
          <w:snapToGrid w:val="0"/>
          <w:sz w:val="24"/>
          <w:szCs w:val="24"/>
        </w:rPr>
        <w:t xml:space="preserve">2) </w:t>
      </w:r>
      <w:r>
        <w:rPr>
          <w:rFonts w:ascii="Arial" w:hAnsi="Arial" w:cs="Arial"/>
          <w:b w:val="0"/>
          <w:bCs w:val="0"/>
          <w:smallCaps w:val="0"/>
          <w:snapToGrid w:val="0"/>
          <w:sz w:val="24"/>
          <w:szCs w:val="24"/>
        </w:rPr>
        <w:t xml:space="preserve">que por su parte el Artículo 16.2 del Pliego (certificado notarial de que la sociedad oferente es persona jurídica hábil y vigente, tramite de constitución, objeto plazo) contraviene lo dispuesto por el Artículo 9 del </w:t>
      </w:r>
      <w:r>
        <w:rPr>
          <w:rFonts w:ascii="Arial" w:hAnsi="Arial" w:cs="Arial"/>
          <w:b w:val="0"/>
          <w:smallCaps w:val="0"/>
          <w:snapToGrid w:val="0"/>
          <w:sz w:val="24"/>
          <w:szCs w:val="24"/>
        </w:rPr>
        <w:t xml:space="preserve">Pliego Único de Bases y  Condiciones Generales para los Contratos de Suministros y Servicios No Personales, aprobado por Decreto </w:t>
      </w:r>
      <w:r w:rsidR="00B17915">
        <w:rPr>
          <w:rFonts w:ascii="Arial" w:hAnsi="Arial" w:cs="Arial"/>
          <w:b w:val="0"/>
          <w:smallCaps w:val="0"/>
          <w:snapToGrid w:val="0"/>
          <w:sz w:val="24"/>
          <w:szCs w:val="24"/>
        </w:rPr>
        <w:t xml:space="preserve">   </w:t>
      </w:r>
      <w:r>
        <w:rPr>
          <w:rFonts w:ascii="Arial" w:hAnsi="Arial" w:cs="Arial"/>
          <w:b w:val="0"/>
          <w:smallCaps w:val="0"/>
          <w:snapToGrid w:val="0"/>
          <w:sz w:val="24"/>
          <w:szCs w:val="24"/>
        </w:rPr>
        <w:t xml:space="preserve">Nº 131/014 de fecha 19/5/14, en </w:t>
      </w:r>
      <w:r w:rsidR="00726A56">
        <w:rPr>
          <w:rFonts w:ascii="Arial" w:hAnsi="Arial" w:cs="Arial"/>
          <w:b w:val="0"/>
          <w:smallCaps w:val="0"/>
          <w:snapToGrid w:val="0"/>
          <w:sz w:val="24"/>
          <w:szCs w:val="24"/>
        </w:rPr>
        <w:t xml:space="preserve">razón de que no puede exigirse </w:t>
      </w:r>
      <w:r>
        <w:rPr>
          <w:rFonts w:ascii="Arial" w:hAnsi="Arial" w:cs="Arial"/>
          <w:b w:val="0"/>
          <w:smallCaps w:val="0"/>
          <w:snapToGrid w:val="0"/>
          <w:sz w:val="24"/>
          <w:szCs w:val="24"/>
        </w:rPr>
        <w:t>la presentación de recaudos que obran en el Registro Único de Proveedores del Estado;</w:t>
      </w:r>
    </w:p>
    <w:p w:rsidR="006C412B" w:rsidRDefault="006C412B" w:rsidP="006C412B">
      <w:pPr>
        <w:spacing w:after="0" w:line="360" w:lineRule="auto"/>
        <w:ind w:firstLine="3119"/>
        <w:jc w:val="both"/>
        <w:rPr>
          <w:rFonts w:ascii="Arial" w:hAnsi="Arial" w:cs="Arial"/>
          <w:b w:val="0"/>
          <w:bCs w:val="0"/>
          <w:smallCaps w:val="0"/>
          <w:snapToGrid w:val="0"/>
          <w:sz w:val="24"/>
          <w:szCs w:val="24"/>
        </w:rPr>
      </w:pPr>
      <w:r>
        <w:rPr>
          <w:rFonts w:ascii="Arial" w:hAnsi="Arial" w:cs="Arial"/>
          <w:smallCaps w:val="0"/>
          <w:snapToGrid w:val="0"/>
          <w:sz w:val="24"/>
          <w:szCs w:val="24"/>
        </w:rPr>
        <w:lastRenderedPageBreak/>
        <w:t>3)</w:t>
      </w:r>
      <w:r>
        <w:rPr>
          <w:rFonts w:ascii="Arial" w:hAnsi="Arial" w:cs="Arial"/>
          <w:b w:val="0"/>
          <w:smallCaps w:val="0"/>
          <w:snapToGrid w:val="0"/>
          <w:sz w:val="24"/>
          <w:szCs w:val="24"/>
        </w:rPr>
        <w:t xml:space="preserve"> que en consecuencia, sin perjuicio de la argumentación esgrimida, se mantienen incambiadas las causales que motivaron la observación oportunamente efectuada;</w:t>
      </w:r>
    </w:p>
    <w:p w:rsidR="006C412B" w:rsidRDefault="006C412B" w:rsidP="006C412B">
      <w:pPr>
        <w:spacing w:after="0" w:line="360" w:lineRule="auto"/>
        <w:ind w:firstLine="851"/>
        <w:jc w:val="both"/>
        <w:rPr>
          <w:rFonts w:ascii="Arial" w:hAnsi="Arial" w:cs="Arial"/>
          <w:b w:val="0"/>
          <w:bCs w:val="0"/>
          <w:smallCaps w:val="0"/>
          <w:snapToGrid w:val="0"/>
          <w:sz w:val="24"/>
          <w:szCs w:val="24"/>
        </w:rPr>
      </w:pPr>
      <w:r>
        <w:rPr>
          <w:rFonts w:ascii="Arial" w:hAnsi="Arial" w:cs="Arial"/>
          <w:bCs w:val="0"/>
          <w:smallCaps w:val="0"/>
          <w:snapToGrid w:val="0"/>
          <w:sz w:val="24"/>
          <w:szCs w:val="24"/>
        </w:rPr>
        <w:t xml:space="preserve">ATENTO: </w:t>
      </w:r>
      <w:r>
        <w:rPr>
          <w:rFonts w:ascii="Arial" w:hAnsi="Arial" w:cs="Arial"/>
          <w:b w:val="0"/>
          <w:bCs w:val="0"/>
          <w:smallCaps w:val="0"/>
          <w:snapToGrid w:val="0"/>
          <w:sz w:val="24"/>
          <w:szCs w:val="24"/>
        </w:rPr>
        <w:t>a lo expuesto y a lo dispuesto por el Artículo 211 Literal E) de la Constitución de la República;</w:t>
      </w:r>
    </w:p>
    <w:p w:rsidR="006C412B" w:rsidRDefault="006C412B" w:rsidP="006C412B">
      <w:pPr>
        <w:spacing w:after="0" w:line="360" w:lineRule="auto"/>
        <w:jc w:val="center"/>
        <w:rPr>
          <w:rFonts w:ascii="Arial" w:hAnsi="Arial" w:cs="Arial"/>
          <w:bCs w:val="0"/>
          <w:smallCaps w:val="0"/>
          <w:snapToGrid w:val="0"/>
          <w:sz w:val="24"/>
          <w:szCs w:val="24"/>
        </w:rPr>
      </w:pPr>
      <w:r>
        <w:rPr>
          <w:rFonts w:ascii="Arial" w:hAnsi="Arial" w:cs="Arial"/>
          <w:bCs w:val="0"/>
          <w:smallCaps w:val="0"/>
          <w:snapToGrid w:val="0"/>
          <w:sz w:val="24"/>
          <w:szCs w:val="24"/>
        </w:rPr>
        <w:t>EL TRIBUNAL ACUERDA</w:t>
      </w:r>
    </w:p>
    <w:p w:rsidR="006C412B" w:rsidRDefault="006C412B" w:rsidP="006C412B">
      <w:pPr>
        <w:spacing w:after="0" w:line="360" w:lineRule="auto"/>
        <w:ind w:left="284" w:hanging="284"/>
        <w:jc w:val="both"/>
        <w:rPr>
          <w:rFonts w:ascii="Arial" w:hAnsi="Arial" w:cs="Arial"/>
          <w:b w:val="0"/>
          <w:bCs w:val="0"/>
          <w:smallCaps w:val="0"/>
          <w:snapToGrid w:val="0"/>
          <w:sz w:val="24"/>
          <w:szCs w:val="24"/>
        </w:rPr>
      </w:pPr>
      <w:r w:rsidRPr="00485F7F">
        <w:rPr>
          <w:rFonts w:ascii="Arial" w:hAnsi="Arial" w:cs="Arial"/>
          <w:bCs w:val="0"/>
          <w:smallCaps w:val="0"/>
          <w:snapToGrid w:val="0"/>
          <w:sz w:val="24"/>
          <w:szCs w:val="24"/>
        </w:rPr>
        <w:t>1)</w:t>
      </w:r>
      <w:r>
        <w:rPr>
          <w:rFonts w:ascii="Arial" w:hAnsi="Arial" w:cs="Arial"/>
          <w:b w:val="0"/>
          <w:bCs w:val="0"/>
          <w:smallCaps w:val="0"/>
          <w:snapToGrid w:val="0"/>
          <w:sz w:val="24"/>
          <w:szCs w:val="24"/>
        </w:rPr>
        <w:t xml:space="preserve"> Mantener la observación formulada por Resolución </w:t>
      </w:r>
      <w:r>
        <w:rPr>
          <w:rFonts w:ascii="Arial" w:hAnsi="Arial" w:cs="Arial"/>
          <w:b w:val="0"/>
          <w:bCs w:val="0"/>
          <w:smallCaps w:val="0"/>
          <w:snapToGrid w:val="0"/>
          <w:sz w:val="24"/>
          <w:szCs w:val="24"/>
          <w:lang w:val="es-MX"/>
        </w:rPr>
        <w:t xml:space="preserve">Nº 2155/16 </w:t>
      </w:r>
      <w:r>
        <w:rPr>
          <w:rFonts w:ascii="Arial" w:hAnsi="Arial" w:cs="Arial"/>
          <w:b w:val="0"/>
          <w:bCs w:val="0"/>
          <w:smallCaps w:val="0"/>
          <w:snapToGrid w:val="0"/>
          <w:sz w:val="24"/>
          <w:szCs w:val="24"/>
        </w:rPr>
        <w:t>de fecha  22/06/16;</w:t>
      </w:r>
    </w:p>
    <w:p w:rsidR="006C412B" w:rsidRDefault="006C412B" w:rsidP="006C412B">
      <w:pPr>
        <w:numPr>
          <w:ilvl w:val="0"/>
          <w:numId w:val="1"/>
        </w:numPr>
        <w:spacing w:after="0" w:line="360" w:lineRule="auto"/>
        <w:jc w:val="both"/>
        <w:rPr>
          <w:rFonts w:ascii="Arial" w:hAnsi="Arial" w:cs="Arial"/>
          <w:b w:val="0"/>
          <w:bCs w:val="0"/>
          <w:smallCaps w:val="0"/>
          <w:snapToGrid w:val="0"/>
          <w:sz w:val="24"/>
          <w:szCs w:val="24"/>
        </w:rPr>
      </w:pPr>
      <w:r>
        <w:rPr>
          <w:rFonts w:ascii="Arial" w:hAnsi="Arial" w:cs="Arial"/>
          <w:b w:val="0"/>
          <w:bCs w:val="0"/>
          <w:smallCaps w:val="0"/>
          <w:snapToGrid w:val="0"/>
          <w:sz w:val="24"/>
          <w:szCs w:val="24"/>
        </w:rPr>
        <w:t xml:space="preserve">Dar cuenta  al Poder Ejecutivo; y </w:t>
      </w:r>
    </w:p>
    <w:p w:rsidR="006C412B" w:rsidRPr="00DD3E6C" w:rsidRDefault="006C412B" w:rsidP="006C412B">
      <w:pPr>
        <w:numPr>
          <w:ilvl w:val="0"/>
          <w:numId w:val="1"/>
        </w:numPr>
        <w:spacing w:after="0" w:line="360" w:lineRule="auto"/>
        <w:jc w:val="both"/>
        <w:rPr>
          <w:rFonts w:ascii="Arial" w:hAnsi="Arial" w:cs="Arial"/>
          <w:b w:val="0"/>
          <w:bCs w:val="0"/>
          <w:smallCaps w:val="0"/>
          <w:snapToGrid w:val="0"/>
          <w:sz w:val="24"/>
          <w:szCs w:val="24"/>
        </w:rPr>
      </w:pPr>
      <w:r w:rsidRPr="00DD3E6C">
        <w:rPr>
          <w:rFonts w:ascii="Arial" w:hAnsi="Arial" w:cs="Arial"/>
          <w:b w:val="0"/>
          <w:bCs w:val="0"/>
          <w:smallCaps w:val="0"/>
          <w:snapToGrid w:val="0"/>
          <w:sz w:val="24"/>
          <w:szCs w:val="24"/>
        </w:rPr>
        <w:t>Comunicar a la Administración actuante</w:t>
      </w:r>
      <w:r>
        <w:rPr>
          <w:rFonts w:ascii="Arial" w:hAnsi="Arial" w:cs="Arial"/>
          <w:b w:val="0"/>
          <w:bCs w:val="0"/>
          <w:smallCaps w:val="0"/>
          <w:snapToGrid w:val="0"/>
          <w:sz w:val="24"/>
          <w:szCs w:val="24"/>
        </w:rPr>
        <w:t>.</w:t>
      </w:r>
    </w:p>
    <w:p w:rsidR="00634070" w:rsidRDefault="00634070"/>
    <w:sectPr w:rsidR="00634070" w:rsidSect="00B15127">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95F57"/>
    <w:multiLevelType w:val="hybridMultilevel"/>
    <w:tmpl w:val="1F00C906"/>
    <w:lvl w:ilvl="0" w:tplc="8ACE61AA">
      <w:start w:val="2"/>
      <w:numFmt w:val="decimal"/>
      <w:lvlText w:val="%1)"/>
      <w:lvlJc w:val="left"/>
      <w:pPr>
        <w:ind w:left="294" w:hanging="360"/>
      </w:pPr>
      <w:rPr>
        <w:rFonts w:hint="default"/>
        <w:b/>
      </w:rPr>
    </w:lvl>
    <w:lvl w:ilvl="1" w:tplc="380A0019" w:tentative="1">
      <w:start w:val="1"/>
      <w:numFmt w:val="lowerLetter"/>
      <w:lvlText w:val="%2."/>
      <w:lvlJc w:val="left"/>
      <w:pPr>
        <w:ind w:left="1014" w:hanging="360"/>
      </w:pPr>
    </w:lvl>
    <w:lvl w:ilvl="2" w:tplc="380A001B" w:tentative="1">
      <w:start w:val="1"/>
      <w:numFmt w:val="lowerRoman"/>
      <w:lvlText w:val="%3."/>
      <w:lvlJc w:val="right"/>
      <w:pPr>
        <w:ind w:left="1734" w:hanging="180"/>
      </w:pPr>
    </w:lvl>
    <w:lvl w:ilvl="3" w:tplc="380A000F" w:tentative="1">
      <w:start w:val="1"/>
      <w:numFmt w:val="decimal"/>
      <w:lvlText w:val="%4."/>
      <w:lvlJc w:val="left"/>
      <w:pPr>
        <w:ind w:left="2454" w:hanging="360"/>
      </w:pPr>
    </w:lvl>
    <w:lvl w:ilvl="4" w:tplc="380A0019" w:tentative="1">
      <w:start w:val="1"/>
      <w:numFmt w:val="lowerLetter"/>
      <w:lvlText w:val="%5."/>
      <w:lvlJc w:val="left"/>
      <w:pPr>
        <w:ind w:left="3174" w:hanging="360"/>
      </w:pPr>
    </w:lvl>
    <w:lvl w:ilvl="5" w:tplc="380A001B" w:tentative="1">
      <w:start w:val="1"/>
      <w:numFmt w:val="lowerRoman"/>
      <w:lvlText w:val="%6."/>
      <w:lvlJc w:val="right"/>
      <w:pPr>
        <w:ind w:left="3894" w:hanging="180"/>
      </w:pPr>
    </w:lvl>
    <w:lvl w:ilvl="6" w:tplc="380A000F" w:tentative="1">
      <w:start w:val="1"/>
      <w:numFmt w:val="decimal"/>
      <w:lvlText w:val="%7."/>
      <w:lvlJc w:val="left"/>
      <w:pPr>
        <w:ind w:left="4614" w:hanging="360"/>
      </w:pPr>
    </w:lvl>
    <w:lvl w:ilvl="7" w:tplc="380A0019" w:tentative="1">
      <w:start w:val="1"/>
      <w:numFmt w:val="lowerLetter"/>
      <w:lvlText w:val="%8."/>
      <w:lvlJc w:val="left"/>
      <w:pPr>
        <w:ind w:left="5334" w:hanging="360"/>
      </w:pPr>
    </w:lvl>
    <w:lvl w:ilvl="8" w:tplc="380A001B" w:tentative="1">
      <w:start w:val="1"/>
      <w:numFmt w:val="lowerRoman"/>
      <w:lvlText w:val="%9."/>
      <w:lvlJc w:val="right"/>
      <w:pPr>
        <w:ind w:left="60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12B"/>
    <w:rsid w:val="001E391C"/>
    <w:rsid w:val="001E56A2"/>
    <w:rsid w:val="00402B65"/>
    <w:rsid w:val="00634070"/>
    <w:rsid w:val="006C412B"/>
    <w:rsid w:val="00726A56"/>
    <w:rsid w:val="008F42FB"/>
    <w:rsid w:val="00AB2A0A"/>
    <w:rsid w:val="00B15127"/>
    <w:rsid w:val="00B17915"/>
    <w:rsid w:val="00BB19E6"/>
    <w:rsid w:val="00E13BF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12B"/>
    <w:rPr>
      <w:rFonts w:ascii="Calibri" w:eastAsia="Times New Roman" w:hAnsi="Calibri" w:cs="Times New Roman"/>
      <w:b/>
      <w:bCs/>
      <w:small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6C412B"/>
    <w:pPr>
      <w:spacing w:after="0" w:line="360" w:lineRule="auto"/>
      <w:jc w:val="both"/>
    </w:pPr>
    <w:rPr>
      <w:rFonts w:ascii="Arial" w:hAnsi="Arial" w:cs="Arial"/>
      <w:b w:val="0"/>
      <w:bCs w:val="0"/>
      <w:smallCaps w:val="0"/>
      <w:sz w:val="24"/>
      <w:szCs w:val="24"/>
      <w:lang w:val="es-MX" w:eastAsia="es-ES"/>
    </w:rPr>
  </w:style>
  <w:style w:type="character" w:customStyle="1" w:styleId="SangradetextonormalCar">
    <w:name w:val="Sangría de texto normal Car"/>
    <w:basedOn w:val="Fuentedeprrafopredeter"/>
    <w:link w:val="Sangradetextonormal"/>
    <w:semiHidden/>
    <w:rsid w:val="006C412B"/>
    <w:rPr>
      <w:rFonts w:ascii="Arial" w:eastAsia="Times New Roman" w:hAnsi="Arial" w:cs="Arial"/>
      <w:sz w:val="24"/>
      <w:szCs w:val="24"/>
      <w:lang w:val="es-MX" w:eastAsia="es-ES"/>
    </w:rPr>
  </w:style>
  <w:style w:type="paragraph" w:styleId="Textodeglobo">
    <w:name w:val="Balloon Text"/>
    <w:basedOn w:val="Normal"/>
    <w:link w:val="TextodegloboCar"/>
    <w:uiPriority w:val="99"/>
    <w:semiHidden/>
    <w:unhideWhenUsed/>
    <w:rsid w:val="00B151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5127"/>
    <w:rPr>
      <w:rFonts w:ascii="Tahoma" w:eastAsia="Times New Roman" w:hAnsi="Tahoma" w:cs="Tahoma"/>
      <w:b/>
      <w:bCs/>
      <w:smallCap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12B"/>
    <w:rPr>
      <w:rFonts w:ascii="Calibri" w:eastAsia="Times New Roman" w:hAnsi="Calibri" w:cs="Times New Roman"/>
      <w:b/>
      <w:bCs/>
      <w:small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6C412B"/>
    <w:pPr>
      <w:spacing w:after="0" w:line="360" w:lineRule="auto"/>
      <w:jc w:val="both"/>
    </w:pPr>
    <w:rPr>
      <w:rFonts w:ascii="Arial" w:hAnsi="Arial" w:cs="Arial"/>
      <w:b w:val="0"/>
      <w:bCs w:val="0"/>
      <w:smallCaps w:val="0"/>
      <w:sz w:val="24"/>
      <w:szCs w:val="24"/>
      <w:lang w:val="es-MX" w:eastAsia="es-ES"/>
    </w:rPr>
  </w:style>
  <w:style w:type="character" w:customStyle="1" w:styleId="SangradetextonormalCar">
    <w:name w:val="Sangría de texto normal Car"/>
    <w:basedOn w:val="Fuentedeprrafopredeter"/>
    <w:link w:val="Sangradetextonormal"/>
    <w:semiHidden/>
    <w:rsid w:val="006C412B"/>
    <w:rPr>
      <w:rFonts w:ascii="Arial" w:eastAsia="Times New Roman" w:hAnsi="Arial" w:cs="Arial"/>
      <w:sz w:val="24"/>
      <w:szCs w:val="24"/>
      <w:lang w:val="es-MX" w:eastAsia="es-ES"/>
    </w:rPr>
  </w:style>
  <w:style w:type="paragraph" w:styleId="Textodeglobo">
    <w:name w:val="Balloon Text"/>
    <w:basedOn w:val="Normal"/>
    <w:link w:val="TextodegloboCar"/>
    <w:uiPriority w:val="99"/>
    <w:semiHidden/>
    <w:unhideWhenUsed/>
    <w:rsid w:val="00B151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5127"/>
    <w:rPr>
      <w:rFonts w:ascii="Tahoma" w:eastAsia="Times New Roman" w:hAnsi="Tahoma" w:cs="Tahoma"/>
      <w:b/>
      <w:bCs/>
      <w:small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567</Words>
  <Characters>3123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Tribunal de Cuentas</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Tribunal1</dc:creator>
  <cp:keywords/>
  <dc:description/>
  <cp:lastModifiedBy>Andrea Gerner</cp:lastModifiedBy>
  <cp:revision>13</cp:revision>
  <cp:lastPrinted>2016-08-15T20:06:00Z</cp:lastPrinted>
  <dcterms:created xsi:type="dcterms:W3CDTF">2016-08-11T19:23:00Z</dcterms:created>
  <dcterms:modified xsi:type="dcterms:W3CDTF">2016-08-15T20:09:00Z</dcterms:modified>
</cp:coreProperties>
</file>