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C8" w:rsidRPr="00786EEB" w:rsidRDefault="009208C8" w:rsidP="00786EEB">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1979</w:t>
      </w:r>
      <w:r w:rsidRPr="00786EEB">
        <w:rPr>
          <w:rFonts w:ascii="Arial" w:hAnsi="Arial" w:cs="Arial"/>
          <w:b/>
          <w:sz w:val="28"/>
          <w:szCs w:val="28"/>
          <w:lang w:val="es-ES_tradnl"/>
        </w:rPr>
        <w:t>/16</w:t>
      </w:r>
    </w:p>
    <w:p w:rsidR="009208C8" w:rsidRDefault="009208C8" w:rsidP="00786EEB">
      <w:pPr>
        <w:tabs>
          <w:tab w:val="center" w:pos="4253"/>
        </w:tabs>
        <w:suppressAutoHyphens/>
        <w:jc w:val="right"/>
        <w:rPr>
          <w:rFonts w:ascii="Arial" w:hAnsi="Arial" w:cs="Arial"/>
          <w:b/>
          <w:lang w:val="es-ES_tradnl"/>
        </w:rPr>
      </w:pPr>
    </w:p>
    <w:p w:rsidR="009208C8" w:rsidRPr="00762B34" w:rsidRDefault="009208C8" w:rsidP="009208C8">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9208C8" w:rsidRPr="00762B34" w:rsidRDefault="009208C8" w:rsidP="009208C8">
      <w:pPr>
        <w:tabs>
          <w:tab w:val="left" w:pos="-720"/>
        </w:tabs>
        <w:suppressAutoHyphens/>
        <w:spacing w:after="0" w:line="240" w:lineRule="auto"/>
        <w:jc w:val="center"/>
        <w:rPr>
          <w:rFonts w:ascii="Arial" w:hAnsi="Arial" w:cs="Arial"/>
          <w:b/>
          <w:lang w:val="es-ES_tradnl"/>
        </w:rPr>
      </w:pPr>
    </w:p>
    <w:p w:rsidR="009208C8" w:rsidRPr="00762B34" w:rsidRDefault="009208C8" w:rsidP="009208C8">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9208C8" w:rsidRPr="00762B34" w:rsidRDefault="009208C8" w:rsidP="009208C8">
      <w:pPr>
        <w:tabs>
          <w:tab w:val="left" w:pos="-720"/>
        </w:tabs>
        <w:suppressAutoHyphens/>
        <w:spacing w:after="0" w:line="240" w:lineRule="auto"/>
        <w:jc w:val="center"/>
        <w:rPr>
          <w:rFonts w:ascii="Arial" w:hAnsi="Arial" w:cs="Arial"/>
          <w:b/>
          <w:lang w:val="es-ES_tradnl"/>
        </w:rPr>
      </w:pPr>
    </w:p>
    <w:p w:rsidR="009208C8" w:rsidRPr="00762B34" w:rsidRDefault="009208C8" w:rsidP="009208C8">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8</w:t>
      </w:r>
      <w:r>
        <w:rPr>
          <w:rFonts w:ascii="Helvetica" w:hAnsi="Helvetica"/>
          <w:b/>
          <w:lang w:val="es-ES_tradnl"/>
        </w:rPr>
        <w:t xml:space="preserve"> DE JUNIO DE 2016</w:t>
      </w:r>
    </w:p>
    <w:p w:rsidR="009208C8" w:rsidRPr="00762B34" w:rsidRDefault="009208C8" w:rsidP="009208C8">
      <w:pPr>
        <w:tabs>
          <w:tab w:val="center" w:pos="4253"/>
        </w:tabs>
        <w:suppressAutoHyphens/>
        <w:spacing w:after="0" w:line="240" w:lineRule="auto"/>
        <w:jc w:val="center"/>
        <w:rPr>
          <w:rFonts w:ascii="Arial" w:hAnsi="Arial" w:cs="Arial"/>
          <w:b/>
          <w:lang w:val="es-ES_tradnl"/>
        </w:rPr>
      </w:pPr>
    </w:p>
    <w:p w:rsidR="009208C8" w:rsidRPr="009208C8" w:rsidRDefault="009208C8" w:rsidP="009208C8">
      <w:pPr>
        <w:tabs>
          <w:tab w:val="center" w:pos="4253"/>
        </w:tabs>
        <w:suppressAutoHyphens/>
        <w:spacing w:after="0" w:line="240" w:lineRule="auto"/>
        <w:jc w:val="center"/>
        <w:rPr>
          <w:rFonts w:ascii="Arial" w:hAnsi="Arial" w:cs="Arial"/>
          <w:b/>
          <w:sz w:val="24"/>
          <w:szCs w:val="24"/>
        </w:rPr>
      </w:pPr>
      <w:r w:rsidRPr="009208C8">
        <w:rPr>
          <w:rFonts w:ascii="Arial" w:hAnsi="Arial" w:cs="Arial"/>
          <w:b/>
          <w:sz w:val="24"/>
          <w:szCs w:val="24"/>
        </w:rPr>
        <w:t xml:space="preserve">(E. E. Nº 2016-17-1-0003582, </w:t>
      </w:r>
      <w:proofErr w:type="spellStart"/>
      <w:r w:rsidRPr="009208C8">
        <w:rPr>
          <w:rFonts w:ascii="Arial" w:hAnsi="Arial" w:cs="Arial"/>
          <w:b/>
          <w:sz w:val="24"/>
          <w:szCs w:val="24"/>
        </w:rPr>
        <w:t>Ent</w:t>
      </w:r>
      <w:proofErr w:type="spellEnd"/>
      <w:r w:rsidRPr="009208C8">
        <w:rPr>
          <w:rFonts w:ascii="Arial" w:hAnsi="Arial" w:cs="Arial"/>
          <w:b/>
          <w:sz w:val="24"/>
          <w:szCs w:val="24"/>
        </w:rPr>
        <w:t>. N° 2717/16 y 2754/16)</w:t>
      </w:r>
    </w:p>
    <w:p w:rsidR="009208C8" w:rsidRPr="009208C8" w:rsidRDefault="009208C8" w:rsidP="009208C8">
      <w:pPr>
        <w:tabs>
          <w:tab w:val="center" w:pos="4253"/>
        </w:tabs>
        <w:suppressAutoHyphens/>
        <w:spacing w:after="0" w:line="240" w:lineRule="auto"/>
        <w:jc w:val="center"/>
        <w:rPr>
          <w:rFonts w:ascii="Helvetica" w:hAnsi="Helvetica"/>
          <w:b/>
          <w:sz w:val="24"/>
          <w:szCs w:val="24"/>
        </w:rPr>
      </w:pPr>
    </w:p>
    <w:p w:rsidR="009208C8" w:rsidRPr="009208C8" w:rsidRDefault="009208C8" w:rsidP="009208C8">
      <w:pPr>
        <w:tabs>
          <w:tab w:val="center" w:pos="4253"/>
        </w:tabs>
        <w:suppressAutoHyphens/>
        <w:spacing w:after="0" w:line="240" w:lineRule="auto"/>
        <w:jc w:val="right"/>
        <w:rPr>
          <w:rFonts w:ascii="Arial" w:hAnsi="Arial"/>
          <w:spacing w:val="-3"/>
        </w:rPr>
      </w:pPr>
    </w:p>
    <w:p w:rsidR="003865EB" w:rsidRDefault="001D23D0" w:rsidP="009208C8">
      <w:pPr>
        <w:spacing w:after="0" w:line="360" w:lineRule="auto"/>
        <w:ind w:firstLine="708"/>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 xml:space="preserve">las actuaciones remitidas </w:t>
      </w:r>
      <w:r w:rsidR="00540D96">
        <w:rPr>
          <w:rFonts w:ascii="Arial" w:hAnsi="Arial" w:cs="Arial"/>
          <w:sz w:val="24"/>
          <w:szCs w:val="24"/>
        </w:rPr>
        <w:t xml:space="preserve">por la Administración Nacional de Combustibles Alcohol y Portland, a solicitud del Contador Delegado, relacionadas con la Licitación Abreviada N° 1500136700, </w:t>
      </w:r>
      <w:r w:rsidR="00CC5BD1">
        <w:rPr>
          <w:rFonts w:ascii="Arial" w:hAnsi="Arial" w:cs="Arial"/>
          <w:sz w:val="24"/>
          <w:szCs w:val="24"/>
        </w:rPr>
        <w:t xml:space="preserve">convocada para </w:t>
      </w:r>
      <w:r w:rsidR="00540D96">
        <w:rPr>
          <w:rFonts w:ascii="Arial" w:hAnsi="Arial" w:cs="Arial"/>
          <w:sz w:val="24"/>
          <w:szCs w:val="24"/>
        </w:rPr>
        <w:t xml:space="preserve">la compra de accesorios para cañería; </w:t>
      </w:r>
    </w:p>
    <w:p w:rsidR="00540D96" w:rsidRDefault="00B41E48" w:rsidP="00B41E48">
      <w:pPr>
        <w:spacing w:after="0" w:line="360" w:lineRule="auto"/>
        <w:ind w:firstLine="708"/>
        <w:jc w:val="both"/>
        <w:rPr>
          <w:rFonts w:ascii="Arial" w:hAnsi="Arial" w:cs="Arial"/>
          <w:sz w:val="24"/>
          <w:szCs w:val="24"/>
        </w:rPr>
      </w:pPr>
      <w:r>
        <w:rPr>
          <w:rFonts w:ascii="Arial" w:hAnsi="Arial" w:cs="Arial"/>
          <w:b/>
          <w:sz w:val="24"/>
          <w:szCs w:val="24"/>
        </w:rPr>
        <w:t xml:space="preserve">RESULTANDO: </w:t>
      </w:r>
      <w:r w:rsidR="00540D96">
        <w:rPr>
          <w:rFonts w:ascii="Arial" w:hAnsi="Arial" w:cs="Arial"/>
          <w:b/>
          <w:sz w:val="24"/>
          <w:szCs w:val="24"/>
        </w:rPr>
        <w:t>1)</w:t>
      </w:r>
      <w:r w:rsidR="00540D96">
        <w:rPr>
          <w:rFonts w:ascii="Arial" w:hAnsi="Arial" w:cs="Arial"/>
          <w:sz w:val="24"/>
          <w:szCs w:val="24"/>
        </w:rPr>
        <w:t xml:space="preserve"> que realizada la publicación del llamado en la página web de la ACCE el 18.08.14, con fecha 09.09.14 se procedió al acto de apertura de ofertas, al que se presentaron cinco firmas:</w:t>
      </w:r>
      <w:r w:rsidR="00454A8D">
        <w:rPr>
          <w:rFonts w:ascii="Arial" w:hAnsi="Arial" w:cs="Arial"/>
          <w:sz w:val="24"/>
          <w:szCs w:val="24"/>
        </w:rPr>
        <w:t xml:space="preserve"> </w:t>
      </w:r>
      <w:proofErr w:type="spellStart"/>
      <w:r w:rsidR="00454A8D">
        <w:rPr>
          <w:rFonts w:ascii="Arial" w:hAnsi="Arial" w:cs="Arial"/>
          <w:sz w:val="24"/>
          <w:szCs w:val="24"/>
        </w:rPr>
        <w:t>Bako</w:t>
      </w:r>
      <w:proofErr w:type="spellEnd"/>
      <w:r w:rsidR="00454A8D">
        <w:rPr>
          <w:rFonts w:ascii="Arial" w:hAnsi="Arial" w:cs="Arial"/>
          <w:sz w:val="24"/>
          <w:szCs w:val="24"/>
        </w:rPr>
        <w:t xml:space="preserve"> S.A;</w:t>
      </w:r>
      <w:r w:rsidR="00540D96">
        <w:rPr>
          <w:rFonts w:ascii="Arial" w:hAnsi="Arial" w:cs="Arial"/>
          <w:sz w:val="24"/>
          <w:szCs w:val="24"/>
        </w:rPr>
        <w:t xml:space="preserve"> </w:t>
      </w:r>
      <w:proofErr w:type="spellStart"/>
      <w:r w:rsidR="00540D96">
        <w:rPr>
          <w:rFonts w:ascii="Arial" w:hAnsi="Arial" w:cs="Arial"/>
          <w:sz w:val="24"/>
          <w:szCs w:val="24"/>
        </w:rPr>
        <w:t>Promet</w:t>
      </w:r>
      <w:proofErr w:type="spellEnd"/>
      <w:r w:rsidR="00540D96">
        <w:rPr>
          <w:rFonts w:ascii="Arial" w:hAnsi="Arial" w:cs="Arial"/>
          <w:sz w:val="24"/>
          <w:szCs w:val="24"/>
        </w:rPr>
        <w:t xml:space="preserve"> S.A; </w:t>
      </w:r>
      <w:proofErr w:type="spellStart"/>
      <w:r w:rsidR="00540D96">
        <w:rPr>
          <w:rFonts w:ascii="Arial" w:hAnsi="Arial" w:cs="Arial"/>
          <w:sz w:val="24"/>
          <w:szCs w:val="24"/>
        </w:rPr>
        <w:t>Fidemar</w:t>
      </w:r>
      <w:proofErr w:type="spellEnd"/>
      <w:r w:rsidR="00540D96">
        <w:rPr>
          <w:rFonts w:ascii="Arial" w:hAnsi="Arial" w:cs="Arial"/>
          <w:sz w:val="24"/>
          <w:szCs w:val="24"/>
        </w:rPr>
        <w:t xml:space="preserve"> S.A; </w:t>
      </w:r>
      <w:proofErr w:type="spellStart"/>
      <w:r w:rsidR="00540D96">
        <w:rPr>
          <w:rFonts w:ascii="Arial" w:hAnsi="Arial" w:cs="Arial"/>
          <w:sz w:val="24"/>
          <w:szCs w:val="24"/>
        </w:rPr>
        <w:t>Fairwind</w:t>
      </w:r>
      <w:proofErr w:type="spellEnd"/>
      <w:r w:rsidR="00540D96">
        <w:rPr>
          <w:rFonts w:ascii="Arial" w:hAnsi="Arial" w:cs="Arial"/>
          <w:sz w:val="24"/>
          <w:szCs w:val="24"/>
        </w:rPr>
        <w:t xml:space="preserve"> Dan Mo </w:t>
      </w:r>
      <w:proofErr w:type="spellStart"/>
      <w:r w:rsidR="00540D96">
        <w:rPr>
          <w:rFonts w:ascii="Arial" w:hAnsi="Arial" w:cs="Arial"/>
          <w:sz w:val="24"/>
          <w:szCs w:val="24"/>
        </w:rPr>
        <w:t>Aps</w:t>
      </w:r>
      <w:proofErr w:type="spellEnd"/>
      <w:r w:rsidR="00540D96">
        <w:rPr>
          <w:rFonts w:ascii="Arial" w:hAnsi="Arial" w:cs="Arial"/>
          <w:sz w:val="24"/>
          <w:szCs w:val="24"/>
        </w:rPr>
        <w:t xml:space="preserve"> y </w:t>
      </w:r>
      <w:proofErr w:type="spellStart"/>
      <w:r w:rsidR="00540D96">
        <w:rPr>
          <w:rFonts w:ascii="Arial" w:hAnsi="Arial" w:cs="Arial"/>
          <w:sz w:val="24"/>
          <w:szCs w:val="24"/>
        </w:rPr>
        <w:t>Tubacero</w:t>
      </w:r>
      <w:proofErr w:type="spellEnd"/>
      <w:r w:rsidR="00540D96">
        <w:rPr>
          <w:rFonts w:ascii="Arial" w:hAnsi="Arial" w:cs="Arial"/>
          <w:sz w:val="24"/>
          <w:szCs w:val="24"/>
        </w:rPr>
        <w:t xml:space="preserve"> S.A; </w:t>
      </w:r>
    </w:p>
    <w:p w:rsidR="00FA68C2" w:rsidRPr="00812C29" w:rsidRDefault="00540D96" w:rsidP="00B41E48">
      <w:pPr>
        <w:spacing w:after="0" w:line="360" w:lineRule="auto"/>
        <w:ind w:firstLine="2552"/>
        <w:jc w:val="both"/>
        <w:rPr>
          <w:rFonts w:ascii="Arial" w:hAnsi="Arial" w:cs="Arial"/>
          <w:sz w:val="24"/>
          <w:szCs w:val="24"/>
        </w:rPr>
      </w:pPr>
      <w:r w:rsidRPr="00540D96">
        <w:rPr>
          <w:rFonts w:ascii="Arial" w:hAnsi="Arial" w:cs="Arial"/>
          <w:b/>
          <w:sz w:val="24"/>
          <w:szCs w:val="24"/>
        </w:rPr>
        <w:t>2)</w:t>
      </w:r>
      <w:r>
        <w:rPr>
          <w:rFonts w:ascii="Arial" w:hAnsi="Arial" w:cs="Arial"/>
          <w:sz w:val="24"/>
          <w:szCs w:val="24"/>
        </w:rPr>
        <w:t xml:space="preserve"> </w:t>
      </w:r>
      <w:r w:rsidR="00CC5BD1">
        <w:rPr>
          <w:rFonts w:ascii="Arial" w:hAnsi="Arial" w:cs="Arial"/>
          <w:sz w:val="24"/>
          <w:szCs w:val="24"/>
        </w:rPr>
        <w:t xml:space="preserve">que con </w:t>
      </w:r>
      <w:r w:rsidR="00CC5BD1" w:rsidRPr="00FA68C2">
        <w:rPr>
          <w:rFonts w:ascii="Arial" w:hAnsi="Arial" w:cs="Arial"/>
          <w:sz w:val="24"/>
          <w:szCs w:val="24"/>
        </w:rPr>
        <w:t>26.08.15</w:t>
      </w:r>
      <w:r w:rsidR="00CC5BD1">
        <w:rPr>
          <w:rFonts w:ascii="Arial" w:hAnsi="Arial" w:cs="Arial"/>
          <w:sz w:val="24"/>
          <w:szCs w:val="24"/>
        </w:rPr>
        <w:t xml:space="preserve"> </w:t>
      </w:r>
      <w:r w:rsidR="00FA68C2" w:rsidRPr="00FA68C2">
        <w:rPr>
          <w:rFonts w:ascii="Arial" w:hAnsi="Arial" w:cs="Arial"/>
          <w:sz w:val="24"/>
          <w:szCs w:val="24"/>
        </w:rPr>
        <w:t xml:space="preserve">la Gerencia de </w:t>
      </w:r>
      <w:r w:rsidR="00CC5BD1">
        <w:rPr>
          <w:rFonts w:ascii="Arial" w:hAnsi="Arial" w:cs="Arial"/>
          <w:sz w:val="24"/>
          <w:szCs w:val="24"/>
        </w:rPr>
        <w:t xml:space="preserve">Abastecimiento informó que </w:t>
      </w:r>
      <w:r w:rsidR="00FA68C2">
        <w:rPr>
          <w:rFonts w:ascii="Arial" w:hAnsi="Arial" w:cs="Arial"/>
          <w:sz w:val="24"/>
          <w:szCs w:val="24"/>
        </w:rPr>
        <w:t xml:space="preserve">las ofertas de las firmas </w:t>
      </w:r>
      <w:proofErr w:type="spellStart"/>
      <w:r w:rsidR="00FA68C2">
        <w:rPr>
          <w:rFonts w:ascii="Arial" w:hAnsi="Arial" w:cs="Arial"/>
          <w:sz w:val="24"/>
          <w:szCs w:val="24"/>
        </w:rPr>
        <w:t>Bako</w:t>
      </w:r>
      <w:proofErr w:type="spellEnd"/>
      <w:r w:rsidR="00FA68C2">
        <w:rPr>
          <w:rFonts w:ascii="Arial" w:hAnsi="Arial" w:cs="Arial"/>
          <w:sz w:val="24"/>
          <w:szCs w:val="24"/>
        </w:rPr>
        <w:t xml:space="preserve"> S.A, </w:t>
      </w:r>
      <w:proofErr w:type="spellStart"/>
      <w:r w:rsidR="00FA68C2">
        <w:rPr>
          <w:rFonts w:ascii="Arial" w:hAnsi="Arial" w:cs="Arial"/>
          <w:sz w:val="24"/>
          <w:szCs w:val="24"/>
        </w:rPr>
        <w:t>Promet</w:t>
      </w:r>
      <w:proofErr w:type="spellEnd"/>
      <w:r w:rsidR="00FA68C2">
        <w:rPr>
          <w:rFonts w:ascii="Arial" w:hAnsi="Arial" w:cs="Arial"/>
          <w:sz w:val="24"/>
          <w:szCs w:val="24"/>
        </w:rPr>
        <w:t xml:space="preserve"> S.A y </w:t>
      </w:r>
      <w:proofErr w:type="spellStart"/>
      <w:r w:rsidR="00FA68C2">
        <w:rPr>
          <w:rFonts w:ascii="Arial" w:hAnsi="Arial" w:cs="Arial"/>
          <w:sz w:val="24"/>
          <w:szCs w:val="24"/>
        </w:rPr>
        <w:t>Fidemar</w:t>
      </w:r>
      <w:proofErr w:type="spellEnd"/>
      <w:r w:rsidR="00FA68C2">
        <w:rPr>
          <w:rFonts w:ascii="Arial" w:hAnsi="Arial" w:cs="Arial"/>
          <w:sz w:val="24"/>
          <w:szCs w:val="24"/>
        </w:rPr>
        <w:t xml:space="preserve"> S.A fueron descartadas por falta </w:t>
      </w:r>
      <w:r w:rsidR="00CC5BD1">
        <w:rPr>
          <w:rFonts w:ascii="Arial" w:hAnsi="Arial" w:cs="Arial"/>
          <w:sz w:val="24"/>
          <w:szCs w:val="24"/>
        </w:rPr>
        <w:t>de presentación de certificados y h</w:t>
      </w:r>
      <w:r w:rsidR="0054120D">
        <w:rPr>
          <w:rFonts w:ascii="Arial" w:hAnsi="Arial" w:cs="Arial"/>
          <w:sz w:val="24"/>
          <w:szCs w:val="24"/>
        </w:rPr>
        <w:t xml:space="preserve">abiéndose elaborado un </w:t>
      </w:r>
      <w:r w:rsidR="00FA68C2">
        <w:rPr>
          <w:rFonts w:ascii="Arial" w:hAnsi="Arial" w:cs="Arial"/>
          <w:sz w:val="24"/>
          <w:szCs w:val="24"/>
        </w:rPr>
        <w:t xml:space="preserve">cuadro de ponderación de las </w:t>
      </w:r>
      <w:r w:rsidR="00812C29">
        <w:rPr>
          <w:rFonts w:ascii="Arial" w:hAnsi="Arial" w:cs="Arial"/>
          <w:sz w:val="24"/>
          <w:szCs w:val="24"/>
        </w:rPr>
        <w:t xml:space="preserve">propuestas de </w:t>
      </w:r>
      <w:proofErr w:type="spellStart"/>
      <w:r w:rsidR="00FA68C2">
        <w:rPr>
          <w:rFonts w:ascii="Arial" w:hAnsi="Arial" w:cs="Arial"/>
          <w:sz w:val="24"/>
          <w:szCs w:val="24"/>
        </w:rPr>
        <w:t>Fidemar</w:t>
      </w:r>
      <w:proofErr w:type="spellEnd"/>
      <w:r w:rsidR="00FA68C2">
        <w:rPr>
          <w:rFonts w:ascii="Arial" w:hAnsi="Arial" w:cs="Arial"/>
          <w:sz w:val="24"/>
          <w:szCs w:val="24"/>
        </w:rPr>
        <w:t xml:space="preserve"> S.A y </w:t>
      </w:r>
      <w:proofErr w:type="spellStart"/>
      <w:r w:rsidR="00FA68C2">
        <w:rPr>
          <w:rFonts w:ascii="Arial" w:hAnsi="Arial" w:cs="Arial"/>
          <w:sz w:val="24"/>
          <w:szCs w:val="24"/>
        </w:rPr>
        <w:t>Fa</w:t>
      </w:r>
      <w:r w:rsidR="00454A8D">
        <w:rPr>
          <w:rFonts w:ascii="Arial" w:hAnsi="Arial" w:cs="Arial"/>
          <w:sz w:val="24"/>
          <w:szCs w:val="24"/>
        </w:rPr>
        <w:t>i</w:t>
      </w:r>
      <w:r w:rsidR="00FA68C2">
        <w:rPr>
          <w:rFonts w:ascii="Arial" w:hAnsi="Arial" w:cs="Arial"/>
          <w:sz w:val="24"/>
          <w:szCs w:val="24"/>
        </w:rPr>
        <w:t>rwind</w:t>
      </w:r>
      <w:proofErr w:type="spellEnd"/>
      <w:r w:rsidR="00FA68C2">
        <w:rPr>
          <w:rFonts w:ascii="Arial" w:hAnsi="Arial" w:cs="Arial"/>
          <w:sz w:val="24"/>
          <w:szCs w:val="24"/>
        </w:rPr>
        <w:t xml:space="preserve"> Dan Mo</w:t>
      </w:r>
      <w:r w:rsidR="00812C29">
        <w:rPr>
          <w:rFonts w:ascii="Arial" w:hAnsi="Arial" w:cs="Arial"/>
          <w:sz w:val="24"/>
          <w:szCs w:val="24"/>
        </w:rPr>
        <w:t xml:space="preserve"> </w:t>
      </w:r>
      <w:proofErr w:type="spellStart"/>
      <w:r w:rsidR="00812C29">
        <w:rPr>
          <w:rFonts w:ascii="Arial" w:hAnsi="Arial" w:cs="Arial"/>
          <w:sz w:val="24"/>
          <w:szCs w:val="24"/>
        </w:rPr>
        <w:t>Aps</w:t>
      </w:r>
      <w:proofErr w:type="spellEnd"/>
      <w:r w:rsidR="00FA68C2">
        <w:rPr>
          <w:rFonts w:ascii="Arial" w:hAnsi="Arial" w:cs="Arial"/>
          <w:sz w:val="24"/>
          <w:szCs w:val="24"/>
        </w:rPr>
        <w:t xml:space="preserve">, </w:t>
      </w:r>
      <w:r w:rsidR="0054120D">
        <w:rPr>
          <w:rFonts w:ascii="Arial" w:hAnsi="Arial" w:cs="Arial"/>
          <w:sz w:val="24"/>
          <w:szCs w:val="24"/>
        </w:rPr>
        <w:t>se concluyó que</w:t>
      </w:r>
      <w:r w:rsidR="00FA68C2">
        <w:rPr>
          <w:rFonts w:ascii="Arial" w:hAnsi="Arial" w:cs="Arial"/>
          <w:sz w:val="24"/>
          <w:szCs w:val="24"/>
        </w:rPr>
        <w:t xml:space="preserve"> </w:t>
      </w:r>
      <w:r w:rsidR="00812C29">
        <w:rPr>
          <w:rFonts w:ascii="Arial" w:hAnsi="Arial" w:cs="Arial"/>
          <w:sz w:val="24"/>
          <w:szCs w:val="24"/>
        </w:rPr>
        <w:t>la prim</w:t>
      </w:r>
      <w:r w:rsidR="0054120D">
        <w:rPr>
          <w:rFonts w:ascii="Arial" w:hAnsi="Arial" w:cs="Arial"/>
          <w:sz w:val="24"/>
          <w:szCs w:val="24"/>
        </w:rPr>
        <w:t xml:space="preserve">era de las mencionadas era </w:t>
      </w:r>
      <w:r w:rsidR="00812C29">
        <w:rPr>
          <w:rFonts w:ascii="Arial" w:hAnsi="Arial" w:cs="Arial"/>
          <w:sz w:val="24"/>
          <w:szCs w:val="24"/>
        </w:rPr>
        <w:t>la</w:t>
      </w:r>
      <w:r w:rsidR="0054120D">
        <w:rPr>
          <w:rFonts w:ascii="Arial" w:hAnsi="Arial" w:cs="Arial"/>
          <w:sz w:val="24"/>
          <w:szCs w:val="24"/>
        </w:rPr>
        <w:t xml:space="preserve"> más económica;</w:t>
      </w:r>
    </w:p>
    <w:p w:rsidR="00812C29" w:rsidRDefault="00812C29" w:rsidP="00B41E48">
      <w:pPr>
        <w:spacing w:after="0" w:line="360" w:lineRule="auto"/>
        <w:ind w:firstLine="2552"/>
        <w:jc w:val="both"/>
        <w:rPr>
          <w:rFonts w:ascii="Arial" w:hAnsi="Arial" w:cs="Arial"/>
          <w:sz w:val="24"/>
          <w:szCs w:val="24"/>
        </w:rPr>
      </w:pPr>
      <w:r w:rsidRPr="00812C29">
        <w:rPr>
          <w:rFonts w:ascii="Arial" w:hAnsi="Arial" w:cs="Arial"/>
          <w:b/>
          <w:sz w:val="24"/>
          <w:szCs w:val="24"/>
        </w:rPr>
        <w:t>3)</w:t>
      </w:r>
      <w:r w:rsidR="0054120D">
        <w:rPr>
          <w:rFonts w:ascii="Arial" w:hAnsi="Arial" w:cs="Arial"/>
          <w:sz w:val="24"/>
          <w:szCs w:val="24"/>
        </w:rPr>
        <w:t xml:space="preserve"> que, en vista de la proximidad de la iniciación del paro de unidades, con fecha 10.02.16</w:t>
      </w:r>
      <w:r w:rsidRPr="00812C29">
        <w:rPr>
          <w:rFonts w:ascii="Arial" w:hAnsi="Arial" w:cs="Arial"/>
          <w:sz w:val="24"/>
          <w:szCs w:val="24"/>
        </w:rPr>
        <w:t xml:space="preserve"> la Gerencia de Abastecimiento</w:t>
      </w:r>
      <w:r>
        <w:rPr>
          <w:rFonts w:ascii="Arial" w:hAnsi="Arial" w:cs="Arial"/>
          <w:sz w:val="24"/>
          <w:szCs w:val="24"/>
        </w:rPr>
        <w:t xml:space="preserve"> aconsejó adjudicar la totalidad de los renglones a </w:t>
      </w:r>
      <w:proofErr w:type="spellStart"/>
      <w:r>
        <w:rPr>
          <w:rFonts w:ascii="Arial" w:hAnsi="Arial" w:cs="Arial"/>
          <w:sz w:val="24"/>
          <w:szCs w:val="24"/>
        </w:rPr>
        <w:t>Fairwind</w:t>
      </w:r>
      <w:proofErr w:type="spellEnd"/>
      <w:r>
        <w:rPr>
          <w:rFonts w:ascii="Arial" w:hAnsi="Arial" w:cs="Arial"/>
          <w:sz w:val="24"/>
          <w:szCs w:val="24"/>
        </w:rPr>
        <w:t xml:space="preserve"> Dan Mo </w:t>
      </w:r>
      <w:proofErr w:type="spellStart"/>
      <w:r>
        <w:rPr>
          <w:rFonts w:ascii="Arial" w:hAnsi="Arial" w:cs="Arial"/>
          <w:sz w:val="24"/>
          <w:szCs w:val="24"/>
        </w:rPr>
        <w:t>Aps</w:t>
      </w:r>
      <w:proofErr w:type="spellEnd"/>
      <w:r w:rsidR="00CC5BD1">
        <w:rPr>
          <w:rFonts w:ascii="Arial" w:hAnsi="Arial" w:cs="Arial"/>
          <w:sz w:val="24"/>
          <w:szCs w:val="24"/>
        </w:rPr>
        <w:t>,</w:t>
      </w:r>
      <w:r>
        <w:rPr>
          <w:rFonts w:ascii="Arial" w:hAnsi="Arial" w:cs="Arial"/>
          <w:sz w:val="24"/>
          <w:szCs w:val="24"/>
        </w:rPr>
        <w:t xml:space="preserve"> por tener el menor plazo de entrega;</w:t>
      </w:r>
    </w:p>
    <w:p w:rsidR="00812C29" w:rsidRDefault="00812C29" w:rsidP="00B41E48">
      <w:pPr>
        <w:spacing w:after="0" w:line="360" w:lineRule="auto"/>
        <w:ind w:firstLine="2552"/>
        <w:jc w:val="both"/>
        <w:rPr>
          <w:rFonts w:ascii="Arial" w:hAnsi="Arial" w:cs="Arial"/>
          <w:sz w:val="24"/>
          <w:szCs w:val="24"/>
        </w:rPr>
      </w:pPr>
      <w:r w:rsidRPr="00812C29">
        <w:rPr>
          <w:rFonts w:ascii="Arial" w:hAnsi="Arial" w:cs="Arial"/>
          <w:b/>
          <w:sz w:val="24"/>
          <w:szCs w:val="24"/>
        </w:rPr>
        <w:t xml:space="preserve">4) </w:t>
      </w:r>
      <w:r>
        <w:rPr>
          <w:rFonts w:ascii="Arial" w:hAnsi="Arial" w:cs="Arial"/>
          <w:sz w:val="24"/>
          <w:szCs w:val="24"/>
        </w:rPr>
        <w:t xml:space="preserve">que por </w:t>
      </w:r>
      <w:r w:rsidRPr="00812C29">
        <w:rPr>
          <w:rFonts w:ascii="Arial" w:hAnsi="Arial" w:cs="Arial"/>
          <w:sz w:val="24"/>
          <w:szCs w:val="24"/>
        </w:rPr>
        <w:t>Resolución N° 082/2016 de fecha 11.03.16</w:t>
      </w:r>
      <w:r>
        <w:rPr>
          <w:rFonts w:ascii="Arial" w:hAnsi="Arial" w:cs="Arial"/>
          <w:sz w:val="24"/>
          <w:szCs w:val="24"/>
        </w:rPr>
        <w:t>, l</w:t>
      </w:r>
      <w:r w:rsidRPr="00812C29">
        <w:rPr>
          <w:rFonts w:ascii="Arial" w:hAnsi="Arial" w:cs="Arial"/>
          <w:sz w:val="24"/>
          <w:szCs w:val="24"/>
        </w:rPr>
        <w:t xml:space="preserve">a Gerencia de Abastecimiento dispuso adjudicar la licitación de referencia a la </w:t>
      </w:r>
      <w:r>
        <w:rPr>
          <w:rFonts w:ascii="Arial" w:hAnsi="Arial" w:cs="Arial"/>
          <w:sz w:val="24"/>
          <w:szCs w:val="24"/>
        </w:rPr>
        <w:lastRenderedPageBreak/>
        <w:t xml:space="preserve">referida </w:t>
      </w:r>
      <w:r w:rsidRPr="00812C29">
        <w:rPr>
          <w:rFonts w:ascii="Arial" w:hAnsi="Arial" w:cs="Arial"/>
          <w:sz w:val="24"/>
          <w:szCs w:val="24"/>
        </w:rPr>
        <w:t>f</w:t>
      </w:r>
      <w:r w:rsidR="00CC5BD1">
        <w:rPr>
          <w:rFonts w:ascii="Arial" w:hAnsi="Arial" w:cs="Arial"/>
          <w:sz w:val="24"/>
          <w:szCs w:val="24"/>
        </w:rPr>
        <w:t xml:space="preserve">irma </w:t>
      </w:r>
      <w:r w:rsidRPr="00812C29">
        <w:rPr>
          <w:rFonts w:ascii="Arial" w:hAnsi="Arial" w:cs="Arial"/>
          <w:sz w:val="24"/>
          <w:szCs w:val="24"/>
        </w:rPr>
        <w:t>por un monto de U$S 144.756,5</w:t>
      </w:r>
      <w:r>
        <w:rPr>
          <w:rFonts w:ascii="Arial" w:hAnsi="Arial" w:cs="Arial"/>
          <w:sz w:val="24"/>
          <w:szCs w:val="24"/>
        </w:rPr>
        <w:t xml:space="preserve">0 en condición CFR Montevideo y de </w:t>
      </w:r>
      <w:r w:rsidRPr="00812C29">
        <w:rPr>
          <w:rFonts w:ascii="Arial" w:hAnsi="Arial" w:cs="Arial"/>
          <w:sz w:val="24"/>
          <w:szCs w:val="24"/>
        </w:rPr>
        <w:t>U$S 9</w:t>
      </w:r>
      <w:r>
        <w:rPr>
          <w:rFonts w:ascii="Arial" w:hAnsi="Arial" w:cs="Arial"/>
          <w:sz w:val="24"/>
          <w:szCs w:val="24"/>
        </w:rPr>
        <w:t>.600 por servicio de inspección;</w:t>
      </w:r>
    </w:p>
    <w:p w:rsidR="00812C29" w:rsidRDefault="00812C29" w:rsidP="00B41E48">
      <w:pPr>
        <w:spacing w:after="0" w:line="360" w:lineRule="auto"/>
        <w:ind w:firstLine="2552"/>
        <w:jc w:val="both"/>
        <w:rPr>
          <w:rFonts w:ascii="Arial" w:hAnsi="Arial" w:cs="Arial"/>
          <w:sz w:val="24"/>
          <w:szCs w:val="24"/>
        </w:rPr>
      </w:pPr>
      <w:r w:rsidRPr="00812C29">
        <w:rPr>
          <w:rFonts w:ascii="Arial" w:hAnsi="Arial" w:cs="Arial"/>
          <w:b/>
          <w:sz w:val="24"/>
          <w:szCs w:val="24"/>
        </w:rPr>
        <w:t xml:space="preserve">5) </w:t>
      </w:r>
      <w:r>
        <w:rPr>
          <w:rFonts w:ascii="Arial" w:hAnsi="Arial" w:cs="Arial"/>
          <w:sz w:val="24"/>
          <w:szCs w:val="24"/>
        </w:rPr>
        <w:t xml:space="preserve">que </w:t>
      </w:r>
      <w:r w:rsidR="000A5E86">
        <w:rPr>
          <w:rFonts w:ascii="Arial" w:hAnsi="Arial" w:cs="Arial"/>
          <w:sz w:val="24"/>
          <w:szCs w:val="24"/>
        </w:rPr>
        <w:t xml:space="preserve">el </w:t>
      </w:r>
      <w:r>
        <w:rPr>
          <w:rFonts w:ascii="Arial" w:hAnsi="Arial" w:cs="Arial"/>
          <w:sz w:val="24"/>
          <w:szCs w:val="24"/>
        </w:rPr>
        <w:t xml:space="preserve">gasto fue observado </w:t>
      </w:r>
      <w:r w:rsidR="000A5E86">
        <w:rPr>
          <w:rFonts w:ascii="Arial" w:hAnsi="Arial" w:cs="Arial"/>
          <w:sz w:val="24"/>
          <w:szCs w:val="24"/>
        </w:rPr>
        <w:t xml:space="preserve">por el Contador Delegado </w:t>
      </w:r>
      <w:r w:rsidR="00346709">
        <w:rPr>
          <w:rFonts w:ascii="Arial" w:hAnsi="Arial" w:cs="Arial"/>
          <w:sz w:val="24"/>
          <w:szCs w:val="24"/>
        </w:rPr>
        <w:t xml:space="preserve">con fecha 16.03.16, </w:t>
      </w:r>
      <w:r w:rsidR="000A5E86">
        <w:rPr>
          <w:rFonts w:ascii="Arial" w:hAnsi="Arial" w:cs="Arial"/>
          <w:sz w:val="24"/>
          <w:szCs w:val="24"/>
        </w:rPr>
        <w:t>en razón de que:</w:t>
      </w:r>
    </w:p>
    <w:p w:rsidR="000A5E86" w:rsidRDefault="000A5E86" w:rsidP="00B41E48">
      <w:pPr>
        <w:spacing w:after="0" w:line="360" w:lineRule="auto"/>
        <w:jc w:val="both"/>
        <w:rPr>
          <w:rFonts w:ascii="Arial" w:hAnsi="Arial" w:cs="Arial"/>
          <w:sz w:val="24"/>
          <w:szCs w:val="24"/>
        </w:rPr>
      </w:pPr>
      <w:r w:rsidRPr="000A5E86">
        <w:rPr>
          <w:rFonts w:ascii="Arial" w:hAnsi="Arial" w:cs="Arial"/>
          <w:b/>
          <w:sz w:val="24"/>
          <w:szCs w:val="24"/>
        </w:rPr>
        <w:t>5.1)</w:t>
      </w:r>
      <w:r>
        <w:rPr>
          <w:rFonts w:ascii="Arial" w:hAnsi="Arial" w:cs="Arial"/>
          <w:sz w:val="24"/>
          <w:szCs w:val="24"/>
        </w:rPr>
        <w:t xml:space="preserve"> s</w:t>
      </w:r>
      <w:r w:rsidR="00812C29">
        <w:rPr>
          <w:rFonts w:ascii="Arial" w:hAnsi="Arial" w:cs="Arial"/>
          <w:sz w:val="24"/>
          <w:szCs w:val="24"/>
        </w:rPr>
        <w:t>e descar</w:t>
      </w:r>
      <w:r>
        <w:rPr>
          <w:rFonts w:ascii="Arial" w:hAnsi="Arial" w:cs="Arial"/>
          <w:sz w:val="24"/>
          <w:szCs w:val="24"/>
        </w:rPr>
        <w:t xml:space="preserve">tó la oferta de </w:t>
      </w:r>
      <w:proofErr w:type="spellStart"/>
      <w:r>
        <w:rPr>
          <w:rFonts w:ascii="Arial" w:hAnsi="Arial" w:cs="Arial"/>
          <w:sz w:val="24"/>
          <w:szCs w:val="24"/>
        </w:rPr>
        <w:t>B</w:t>
      </w:r>
      <w:r w:rsidR="00812C29">
        <w:rPr>
          <w:rFonts w:ascii="Arial" w:hAnsi="Arial" w:cs="Arial"/>
          <w:sz w:val="24"/>
          <w:szCs w:val="24"/>
        </w:rPr>
        <w:t>ako</w:t>
      </w:r>
      <w:proofErr w:type="spellEnd"/>
      <w:r w:rsidR="00812C29">
        <w:rPr>
          <w:rFonts w:ascii="Arial" w:hAnsi="Arial" w:cs="Arial"/>
          <w:sz w:val="24"/>
          <w:szCs w:val="24"/>
        </w:rPr>
        <w:t xml:space="preserve"> S.A</w:t>
      </w:r>
      <w:r>
        <w:rPr>
          <w:rFonts w:ascii="Arial" w:hAnsi="Arial" w:cs="Arial"/>
          <w:sz w:val="24"/>
          <w:szCs w:val="24"/>
        </w:rPr>
        <w:t xml:space="preserve">, siendo que su propuesta </w:t>
      </w:r>
      <w:r w:rsidR="0054120D">
        <w:rPr>
          <w:rFonts w:ascii="Arial" w:hAnsi="Arial" w:cs="Arial"/>
          <w:sz w:val="24"/>
          <w:szCs w:val="24"/>
        </w:rPr>
        <w:t>era</w:t>
      </w:r>
      <w:r>
        <w:rPr>
          <w:rFonts w:ascii="Arial" w:hAnsi="Arial" w:cs="Arial"/>
          <w:sz w:val="24"/>
          <w:szCs w:val="24"/>
        </w:rPr>
        <w:t xml:space="preserve"> la de menor precio y que cumplió con la</w:t>
      </w:r>
      <w:r w:rsidR="00812C29">
        <w:rPr>
          <w:rFonts w:ascii="Arial" w:hAnsi="Arial" w:cs="Arial"/>
          <w:sz w:val="24"/>
          <w:szCs w:val="24"/>
        </w:rPr>
        <w:t xml:space="preserve"> presentación del certificado ISO 9001 de la firma fabricante, como se sol</w:t>
      </w:r>
      <w:r w:rsidR="0054120D">
        <w:rPr>
          <w:rFonts w:ascii="Arial" w:hAnsi="Arial" w:cs="Arial"/>
          <w:sz w:val="24"/>
          <w:szCs w:val="24"/>
        </w:rPr>
        <w:t>icitó</w:t>
      </w:r>
      <w:r>
        <w:rPr>
          <w:rFonts w:ascii="Arial" w:hAnsi="Arial" w:cs="Arial"/>
          <w:sz w:val="24"/>
          <w:szCs w:val="24"/>
        </w:rPr>
        <w:t xml:space="preserve"> en las bases del llamado;</w:t>
      </w:r>
    </w:p>
    <w:p w:rsidR="00812C29" w:rsidRDefault="000A5E86" w:rsidP="00B41E48">
      <w:pPr>
        <w:spacing w:after="0" w:line="360" w:lineRule="auto"/>
        <w:jc w:val="both"/>
        <w:rPr>
          <w:rFonts w:ascii="Arial" w:hAnsi="Arial" w:cs="Arial"/>
          <w:sz w:val="24"/>
          <w:szCs w:val="24"/>
        </w:rPr>
      </w:pPr>
      <w:r w:rsidRPr="000A5E86">
        <w:rPr>
          <w:rFonts w:ascii="Arial" w:hAnsi="Arial" w:cs="Arial"/>
          <w:b/>
          <w:sz w:val="24"/>
          <w:szCs w:val="24"/>
        </w:rPr>
        <w:t>5.2)</w:t>
      </w:r>
      <w:r>
        <w:rPr>
          <w:rFonts w:ascii="Arial" w:hAnsi="Arial" w:cs="Arial"/>
          <w:sz w:val="24"/>
          <w:szCs w:val="24"/>
        </w:rPr>
        <w:t xml:space="preserve"> la</w:t>
      </w:r>
      <w:r w:rsidR="00812C29">
        <w:rPr>
          <w:rFonts w:ascii="Arial" w:hAnsi="Arial" w:cs="Arial"/>
          <w:sz w:val="24"/>
          <w:szCs w:val="24"/>
        </w:rPr>
        <w:t xml:space="preserve"> adjudicataria indic</w:t>
      </w:r>
      <w:r>
        <w:rPr>
          <w:rFonts w:ascii="Arial" w:hAnsi="Arial" w:cs="Arial"/>
          <w:sz w:val="24"/>
          <w:szCs w:val="24"/>
        </w:rPr>
        <w:t>ó</w:t>
      </w:r>
      <w:r w:rsidR="00812C29">
        <w:rPr>
          <w:rFonts w:ascii="Arial" w:hAnsi="Arial" w:cs="Arial"/>
          <w:sz w:val="24"/>
          <w:szCs w:val="24"/>
        </w:rPr>
        <w:t xml:space="preserve"> que el fabricante cuenta con la certifi</w:t>
      </w:r>
      <w:r>
        <w:rPr>
          <w:rFonts w:ascii="Arial" w:hAnsi="Arial" w:cs="Arial"/>
          <w:sz w:val="24"/>
          <w:szCs w:val="24"/>
        </w:rPr>
        <w:t>cación ISO 9001, pero no adjuntó</w:t>
      </w:r>
      <w:r w:rsidR="00812C29">
        <w:rPr>
          <w:rFonts w:ascii="Arial" w:hAnsi="Arial" w:cs="Arial"/>
          <w:sz w:val="24"/>
          <w:szCs w:val="24"/>
        </w:rPr>
        <w:t xml:space="preserve"> </w:t>
      </w:r>
      <w:r>
        <w:rPr>
          <w:rFonts w:ascii="Arial" w:hAnsi="Arial" w:cs="Arial"/>
          <w:sz w:val="24"/>
          <w:szCs w:val="24"/>
        </w:rPr>
        <w:t>dicha documentación;</w:t>
      </w:r>
    </w:p>
    <w:p w:rsidR="000A5E86" w:rsidRDefault="000A5E86" w:rsidP="00B41E48">
      <w:pPr>
        <w:spacing w:after="0" w:line="360" w:lineRule="auto"/>
        <w:jc w:val="both"/>
        <w:rPr>
          <w:rFonts w:ascii="Arial" w:hAnsi="Arial" w:cs="Arial"/>
          <w:sz w:val="24"/>
          <w:szCs w:val="24"/>
        </w:rPr>
      </w:pPr>
      <w:r w:rsidRPr="000A5E86">
        <w:rPr>
          <w:rFonts w:ascii="Arial" w:hAnsi="Arial" w:cs="Arial"/>
          <w:b/>
          <w:sz w:val="24"/>
          <w:szCs w:val="24"/>
        </w:rPr>
        <w:t>5.3)</w:t>
      </w:r>
      <w:r>
        <w:rPr>
          <w:rFonts w:ascii="Arial" w:hAnsi="Arial" w:cs="Arial"/>
          <w:sz w:val="24"/>
          <w:szCs w:val="24"/>
        </w:rPr>
        <w:t xml:space="preserve"> el fundamento de la adjudicación a </w:t>
      </w:r>
      <w:proofErr w:type="spellStart"/>
      <w:r>
        <w:rPr>
          <w:rFonts w:ascii="Arial" w:hAnsi="Arial" w:cs="Arial"/>
          <w:sz w:val="24"/>
          <w:szCs w:val="24"/>
        </w:rPr>
        <w:t>Fairwind</w:t>
      </w:r>
      <w:proofErr w:type="spellEnd"/>
      <w:r>
        <w:rPr>
          <w:rFonts w:ascii="Arial" w:hAnsi="Arial" w:cs="Arial"/>
          <w:sz w:val="24"/>
          <w:szCs w:val="24"/>
        </w:rPr>
        <w:t xml:space="preserve"> Dan Mo </w:t>
      </w:r>
      <w:proofErr w:type="spellStart"/>
      <w:r>
        <w:rPr>
          <w:rFonts w:ascii="Arial" w:hAnsi="Arial" w:cs="Arial"/>
          <w:sz w:val="24"/>
          <w:szCs w:val="24"/>
        </w:rPr>
        <w:t>Aps</w:t>
      </w:r>
      <w:proofErr w:type="spellEnd"/>
      <w:r>
        <w:rPr>
          <w:rFonts w:ascii="Arial" w:hAnsi="Arial" w:cs="Arial"/>
          <w:sz w:val="24"/>
          <w:szCs w:val="24"/>
        </w:rPr>
        <w:t xml:space="preserve">, </w:t>
      </w:r>
      <w:r w:rsidR="0054120D">
        <w:rPr>
          <w:rFonts w:ascii="Arial" w:hAnsi="Arial" w:cs="Arial"/>
          <w:sz w:val="24"/>
          <w:szCs w:val="24"/>
        </w:rPr>
        <w:t>de</w:t>
      </w:r>
      <w:r>
        <w:rPr>
          <w:rFonts w:ascii="Arial" w:hAnsi="Arial" w:cs="Arial"/>
          <w:sz w:val="24"/>
          <w:szCs w:val="24"/>
        </w:rPr>
        <w:t xml:space="preserve"> tener el menor plazo de entrega, supone un apartamiento de los factores de ponderación establecidos en el Pliego de Condiciones Particulares; y </w:t>
      </w:r>
    </w:p>
    <w:p w:rsidR="00812C29" w:rsidRDefault="000A5E86" w:rsidP="00B41E48">
      <w:pPr>
        <w:spacing w:after="0" w:line="360" w:lineRule="auto"/>
        <w:jc w:val="both"/>
        <w:rPr>
          <w:rFonts w:ascii="Arial" w:hAnsi="Arial" w:cs="Arial"/>
          <w:sz w:val="24"/>
          <w:szCs w:val="24"/>
        </w:rPr>
      </w:pPr>
      <w:r w:rsidRPr="000A5E86">
        <w:rPr>
          <w:rFonts w:ascii="Arial" w:hAnsi="Arial" w:cs="Arial"/>
          <w:b/>
          <w:sz w:val="24"/>
          <w:szCs w:val="24"/>
        </w:rPr>
        <w:t>5.4)</w:t>
      </w:r>
      <w:r>
        <w:rPr>
          <w:rFonts w:ascii="Arial" w:hAnsi="Arial" w:cs="Arial"/>
          <w:sz w:val="24"/>
          <w:szCs w:val="24"/>
        </w:rPr>
        <w:t xml:space="preserve"> s</w:t>
      </w:r>
      <w:r w:rsidR="00812C29">
        <w:rPr>
          <w:rFonts w:ascii="Arial" w:hAnsi="Arial" w:cs="Arial"/>
          <w:sz w:val="24"/>
          <w:szCs w:val="24"/>
        </w:rPr>
        <w:t>i bien se designó una Comisión Asesora de Adjudicaciones, la</w:t>
      </w:r>
      <w:r>
        <w:rPr>
          <w:rFonts w:ascii="Arial" w:hAnsi="Arial" w:cs="Arial"/>
          <w:sz w:val="24"/>
          <w:szCs w:val="24"/>
        </w:rPr>
        <w:t xml:space="preserve"> misma no emitió informe alguno;</w:t>
      </w:r>
    </w:p>
    <w:p w:rsidR="00BC064E" w:rsidRDefault="00BC064E" w:rsidP="00B41E48">
      <w:pPr>
        <w:spacing w:after="0" w:line="360" w:lineRule="auto"/>
        <w:ind w:firstLine="2552"/>
        <w:jc w:val="both"/>
        <w:rPr>
          <w:rFonts w:ascii="Arial" w:hAnsi="Arial" w:cs="Arial"/>
          <w:sz w:val="24"/>
          <w:szCs w:val="24"/>
        </w:rPr>
      </w:pPr>
      <w:r w:rsidRPr="00BC064E">
        <w:rPr>
          <w:rFonts w:ascii="Arial" w:hAnsi="Arial" w:cs="Arial"/>
          <w:b/>
          <w:sz w:val="24"/>
          <w:szCs w:val="24"/>
        </w:rPr>
        <w:t>6)</w:t>
      </w:r>
      <w:r>
        <w:rPr>
          <w:rFonts w:ascii="Arial" w:hAnsi="Arial" w:cs="Arial"/>
          <w:sz w:val="24"/>
          <w:szCs w:val="24"/>
        </w:rPr>
        <w:t xml:space="preserve"> que, considerando la observación formulada por el Cr. Delegado, con fecha 29.04.16 la Gerencia de Abastecimiento procedió a realizar un nuevo estudio de todas las ofertas</w:t>
      </w:r>
      <w:r w:rsidR="0057665D">
        <w:rPr>
          <w:rFonts w:ascii="Arial" w:hAnsi="Arial" w:cs="Arial"/>
          <w:sz w:val="24"/>
          <w:szCs w:val="24"/>
        </w:rPr>
        <w:t xml:space="preserve"> presentadas, verificando </w:t>
      </w:r>
      <w:r>
        <w:rPr>
          <w:rFonts w:ascii="Arial" w:hAnsi="Arial" w:cs="Arial"/>
          <w:sz w:val="24"/>
          <w:szCs w:val="24"/>
        </w:rPr>
        <w:t xml:space="preserve">la presentación de la certificación ISO 9000 </w:t>
      </w:r>
      <w:r w:rsidR="0057665D">
        <w:rPr>
          <w:rFonts w:ascii="Arial" w:hAnsi="Arial" w:cs="Arial"/>
          <w:sz w:val="24"/>
          <w:szCs w:val="24"/>
        </w:rPr>
        <w:t>de los fabricantes, y de sus</w:t>
      </w:r>
      <w:r>
        <w:rPr>
          <w:rFonts w:ascii="Arial" w:hAnsi="Arial" w:cs="Arial"/>
          <w:sz w:val="24"/>
          <w:szCs w:val="24"/>
        </w:rPr>
        <w:t xml:space="preserve"> antecedentes</w:t>
      </w:r>
      <w:r w:rsidR="0057665D">
        <w:rPr>
          <w:rFonts w:ascii="Arial" w:hAnsi="Arial" w:cs="Arial"/>
          <w:sz w:val="24"/>
          <w:szCs w:val="24"/>
        </w:rPr>
        <w:t xml:space="preserve"> de al menos 15 años en los productos ofrecidos, según lo requerido en el Pliego de Condiciones Particulares</w:t>
      </w:r>
      <w:r w:rsidR="00EC1E27">
        <w:rPr>
          <w:rFonts w:ascii="Arial" w:hAnsi="Arial" w:cs="Arial"/>
          <w:sz w:val="24"/>
          <w:szCs w:val="24"/>
        </w:rPr>
        <w:t xml:space="preserve">, </w:t>
      </w:r>
      <w:r>
        <w:rPr>
          <w:rFonts w:ascii="Arial" w:hAnsi="Arial" w:cs="Arial"/>
          <w:sz w:val="24"/>
          <w:szCs w:val="24"/>
        </w:rPr>
        <w:t xml:space="preserve">aplicando </w:t>
      </w:r>
      <w:r w:rsidR="00EC1E27">
        <w:rPr>
          <w:rFonts w:ascii="Arial" w:hAnsi="Arial" w:cs="Arial"/>
          <w:sz w:val="24"/>
          <w:szCs w:val="24"/>
        </w:rPr>
        <w:t xml:space="preserve">además </w:t>
      </w:r>
      <w:r>
        <w:rPr>
          <w:rFonts w:ascii="Arial" w:hAnsi="Arial" w:cs="Arial"/>
          <w:sz w:val="24"/>
          <w:szCs w:val="24"/>
        </w:rPr>
        <w:t xml:space="preserve">los factores de ponderación previstos para </w:t>
      </w:r>
      <w:r w:rsidR="00EC1E27">
        <w:rPr>
          <w:rFonts w:ascii="Arial" w:hAnsi="Arial" w:cs="Arial"/>
          <w:sz w:val="24"/>
          <w:szCs w:val="24"/>
        </w:rPr>
        <w:t>la calificación</w:t>
      </w:r>
      <w:r w:rsidR="00CC1EE3">
        <w:rPr>
          <w:rFonts w:ascii="Arial" w:hAnsi="Arial" w:cs="Arial"/>
          <w:sz w:val="24"/>
          <w:szCs w:val="24"/>
        </w:rPr>
        <w:t xml:space="preserve"> de</w:t>
      </w:r>
      <w:r>
        <w:rPr>
          <w:rFonts w:ascii="Arial" w:hAnsi="Arial" w:cs="Arial"/>
          <w:sz w:val="24"/>
          <w:szCs w:val="24"/>
        </w:rPr>
        <w:t xml:space="preserve"> las propuestas;</w:t>
      </w:r>
    </w:p>
    <w:p w:rsidR="0009249D" w:rsidRDefault="00BC064E" w:rsidP="00B41E48">
      <w:pPr>
        <w:spacing w:after="0" w:line="360" w:lineRule="auto"/>
        <w:ind w:firstLine="2552"/>
        <w:jc w:val="both"/>
        <w:rPr>
          <w:rFonts w:ascii="Arial" w:hAnsi="Arial" w:cs="Arial"/>
          <w:sz w:val="24"/>
          <w:szCs w:val="24"/>
        </w:rPr>
      </w:pPr>
      <w:r w:rsidRPr="00BC064E">
        <w:rPr>
          <w:rFonts w:ascii="Arial" w:hAnsi="Arial" w:cs="Arial"/>
          <w:b/>
          <w:sz w:val="24"/>
          <w:szCs w:val="24"/>
        </w:rPr>
        <w:t>7)</w:t>
      </w:r>
      <w:r w:rsidRPr="0057665D">
        <w:rPr>
          <w:rFonts w:ascii="Arial" w:hAnsi="Arial" w:cs="Arial"/>
          <w:sz w:val="24"/>
          <w:szCs w:val="24"/>
        </w:rPr>
        <w:t xml:space="preserve"> </w:t>
      </w:r>
      <w:r w:rsidR="0057665D" w:rsidRPr="0057665D">
        <w:rPr>
          <w:rFonts w:ascii="Arial" w:hAnsi="Arial" w:cs="Arial"/>
          <w:sz w:val="24"/>
          <w:szCs w:val="24"/>
        </w:rPr>
        <w:t>que com</w:t>
      </w:r>
      <w:r w:rsidR="0054120D">
        <w:rPr>
          <w:rFonts w:ascii="Arial" w:hAnsi="Arial" w:cs="Arial"/>
          <w:sz w:val="24"/>
          <w:szCs w:val="24"/>
        </w:rPr>
        <w:t xml:space="preserve">o resultado del referido estudio realizado el 29.04.16, </w:t>
      </w:r>
      <w:proofErr w:type="spellStart"/>
      <w:r w:rsidR="0057665D" w:rsidRPr="0057665D">
        <w:rPr>
          <w:rFonts w:ascii="Arial" w:hAnsi="Arial" w:cs="Arial"/>
          <w:sz w:val="24"/>
          <w:szCs w:val="24"/>
        </w:rPr>
        <w:t>Promet</w:t>
      </w:r>
      <w:proofErr w:type="spellEnd"/>
      <w:r w:rsidR="0057665D" w:rsidRPr="0057665D">
        <w:rPr>
          <w:rFonts w:ascii="Arial" w:hAnsi="Arial" w:cs="Arial"/>
          <w:sz w:val="24"/>
          <w:szCs w:val="24"/>
        </w:rPr>
        <w:t xml:space="preserve"> S.A. obtuvo la mayor </w:t>
      </w:r>
      <w:r w:rsidR="005102D8">
        <w:rPr>
          <w:rFonts w:ascii="Arial" w:hAnsi="Arial" w:cs="Arial"/>
          <w:sz w:val="24"/>
          <w:szCs w:val="24"/>
        </w:rPr>
        <w:t>puntuación</w:t>
      </w:r>
      <w:r w:rsidR="0009249D">
        <w:rPr>
          <w:rFonts w:ascii="Arial" w:hAnsi="Arial" w:cs="Arial"/>
          <w:sz w:val="24"/>
          <w:szCs w:val="24"/>
        </w:rPr>
        <w:t xml:space="preserve"> y </w:t>
      </w:r>
      <w:r w:rsidR="00EC1E27">
        <w:rPr>
          <w:rFonts w:ascii="Arial" w:hAnsi="Arial" w:cs="Arial"/>
          <w:sz w:val="24"/>
          <w:szCs w:val="24"/>
        </w:rPr>
        <w:t>en la misma fecha</w:t>
      </w:r>
      <w:r w:rsidR="005102D8">
        <w:rPr>
          <w:rFonts w:ascii="Arial" w:hAnsi="Arial" w:cs="Arial"/>
          <w:sz w:val="24"/>
          <w:szCs w:val="24"/>
        </w:rPr>
        <w:t xml:space="preserve"> </w:t>
      </w:r>
      <w:r w:rsidR="0054120D">
        <w:rPr>
          <w:rFonts w:ascii="Arial" w:hAnsi="Arial" w:cs="Arial"/>
          <w:sz w:val="24"/>
          <w:szCs w:val="24"/>
        </w:rPr>
        <w:t xml:space="preserve">prorrogó su oferta </w:t>
      </w:r>
      <w:r w:rsidR="005102D8">
        <w:rPr>
          <w:rFonts w:ascii="Arial" w:hAnsi="Arial" w:cs="Arial"/>
          <w:sz w:val="24"/>
          <w:szCs w:val="24"/>
        </w:rPr>
        <w:t xml:space="preserve">por </w:t>
      </w:r>
      <w:r w:rsidR="0009249D">
        <w:rPr>
          <w:rFonts w:ascii="Arial" w:hAnsi="Arial" w:cs="Arial"/>
          <w:sz w:val="24"/>
          <w:szCs w:val="24"/>
        </w:rPr>
        <w:t>el plazo de 30 días;</w:t>
      </w:r>
    </w:p>
    <w:p w:rsidR="0009249D" w:rsidRDefault="0057665D" w:rsidP="00B41E48">
      <w:pPr>
        <w:spacing w:after="0" w:line="360" w:lineRule="auto"/>
        <w:ind w:firstLine="2552"/>
        <w:jc w:val="both"/>
        <w:rPr>
          <w:rFonts w:ascii="Arial" w:hAnsi="Arial" w:cs="Arial"/>
          <w:sz w:val="24"/>
          <w:szCs w:val="24"/>
        </w:rPr>
      </w:pPr>
      <w:r w:rsidRPr="0057665D">
        <w:rPr>
          <w:rFonts w:ascii="Arial" w:hAnsi="Arial" w:cs="Arial"/>
          <w:b/>
          <w:sz w:val="24"/>
          <w:szCs w:val="24"/>
        </w:rPr>
        <w:t>8)</w:t>
      </w:r>
      <w:r>
        <w:rPr>
          <w:rFonts w:ascii="Arial" w:hAnsi="Arial" w:cs="Arial"/>
          <w:b/>
          <w:sz w:val="24"/>
          <w:szCs w:val="24"/>
        </w:rPr>
        <w:t xml:space="preserve"> </w:t>
      </w:r>
      <w:r w:rsidR="00E37D93">
        <w:rPr>
          <w:rFonts w:ascii="Arial" w:hAnsi="Arial" w:cs="Arial"/>
          <w:sz w:val="24"/>
          <w:szCs w:val="24"/>
        </w:rPr>
        <w:t xml:space="preserve">que, de conformidad con el análisis realizado, </w:t>
      </w:r>
      <w:r w:rsidR="00E37D93" w:rsidRPr="00E37D93">
        <w:rPr>
          <w:rFonts w:ascii="Arial" w:hAnsi="Arial" w:cs="Arial"/>
          <w:sz w:val="24"/>
          <w:szCs w:val="24"/>
        </w:rPr>
        <w:t>el</w:t>
      </w:r>
      <w:r w:rsidR="0009249D" w:rsidRPr="00E37D93">
        <w:rPr>
          <w:rFonts w:ascii="Arial" w:hAnsi="Arial" w:cs="Arial"/>
          <w:sz w:val="24"/>
          <w:szCs w:val="24"/>
        </w:rPr>
        <w:t xml:space="preserve"> 04</w:t>
      </w:r>
      <w:r w:rsidR="0009249D">
        <w:rPr>
          <w:rFonts w:ascii="Arial" w:hAnsi="Arial" w:cs="Arial"/>
          <w:sz w:val="24"/>
          <w:szCs w:val="24"/>
        </w:rPr>
        <w:t xml:space="preserve">.05.16 la </w:t>
      </w:r>
      <w:r w:rsidR="0009249D" w:rsidRPr="0057665D">
        <w:rPr>
          <w:rFonts w:ascii="Arial" w:hAnsi="Arial" w:cs="Arial"/>
          <w:sz w:val="24"/>
          <w:szCs w:val="24"/>
        </w:rPr>
        <w:t>Com</w:t>
      </w:r>
      <w:r w:rsidR="00E37D93">
        <w:rPr>
          <w:rFonts w:ascii="Arial" w:hAnsi="Arial" w:cs="Arial"/>
          <w:sz w:val="24"/>
          <w:szCs w:val="24"/>
        </w:rPr>
        <w:t xml:space="preserve">isión Asesora de Adjudicaciones aconsejó adjudicar la licitación de referencia a </w:t>
      </w:r>
      <w:proofErr w:type="spellStart"/>
      <w:r w:rsidR="00E37D93">
        <w:rPr>
          <w:rFonts w:ascii="Arial" w:hAnsi="Arial" w:cs="Arial"/>
          <w:sz w:val="24"/>
          <w:szCs w:val="24"/>
        </w:rPr>
        <w:t>Promet</w:t>
      </w:r>
      <w:proofErr w:type="spellEnd"/>
      <w:r w:rsidR="00E37D93">
        <w:rPr>
          <w:rFonts w:ascii="Arial" w:hAnsi="Arial" w:cs="Arial"/>
          <w:sz w:val="24"/>
          <w:szCs w:val="24"/>
        </w:rPr>
        <w:t xml:space="preserve"> S.A;</w:t>
      </w:r>
    </w:p>
    <w:p w:rsidR="00E37D93" w:rsidRDefault="00E37D93" w:rsidP="00B41E48">
      <w:pPr>
        <w:spacing w:after="0" w:line="360" w:lineRule="auto"/>
        <w:ind w:firstLine="2552"/>
        <w:jc w:val="both"/>
        <w:rPr>
          <w:rFonts w:ascii="Arial" w:hAnsi="Arial" w:cs="Arial"/>
          <w:sz w:val="24"/>
          <w:szCs w:val="24"/>
        </w:rPr>
      </w:pPr>
      <w:r w:rsidRPr="00E37D93">
        <w:rPr>
          <w:rFonts w:ascii="Arial" w:hAnsi="Arial" w:cs="Arial"/>
          <w:b/>
          <w:sz w:val="24"/>
          <w:szCs w:val="24"/>
        </w:rPr>
        <w:t>9)</w:t>
      </w:r>
      <w:r>
        <w:rPr>
          <w:rFonts w:ascii="Arial" w:hAnsi="Arial" w:cs="Arial"/>
          <w:b/>
          <w:sz w:val="24"/>
          <w:szCs w:val="24"/>
        </w:rPr>
        <w:t xml:space="preserve"> </w:t>
      </w:r>
      <w:r w:rsidR="005F0A97" w:rsidRPr="005F0A97">
        <w:rPr>
          <w:rFonts w:ascii="Arial" w:hAnsi="Arial" w:cs="Arial"/>
          <w:sz w:val="24"/>
          <w:szCs w:val="24"/>
        </w:rPr>
        <w:t xml:space="preserve">que por </w:t>
      </w:r>
      <w:r w:rsidRPr="005F0A97">
        <w:rPr>
          <w:rFonts w:ascii="Arial" w:hAnsi="Arial" w:cs="Arial"/>
          <w:sz w:val="24"/>
          <w:szCs w:val="24"/>
        </w:rPr>
        <w:t>Resolución N° 142/2016 de fecha 11.05.16</w:t>
      </w:r>
      <w:r w:rsidR="005F0A97">
        <w:rPr>
          <w:rFonts w:ascii="Arial" w:hAnsi="Arial" w:cs="Arial"/>
          <w:sz w:val="24"/>
          <w:szCs w:val="24"/>
        </w:rPr>
        <w:t xml:space="preserve">, la </w:t>
      </w:r>
      <w:r>
        <w:rPr>
          <w:rFonts w:ascii="Arial" w:hAnsi="Arial" w:cs="Arial"/>
          <w:sz w:val="24"/>
          <w:szCs w:val="24"/>
        </w:rPr>
        <w:t>Gerencia de Abast</w:t>
      </w:r>
      <w:r w:rsidR="005F0A97">
        <w:rPr>
          <w:rFonts w:ascii="Arial" w:hAnsi="Arial" w:cs="Arial"/>
          <w:sz w:val="24"/>
          <w:szCs w:val="24"/>
        </w:rPr>
        <w:t xml:space="preserve">ecimiento </w:t>
      </w:r>
      <w:r w:rsidR="00346709">
        <w:rPr>
          <w:rFonts w:ascii="Arial" w:hAnsi="Arial" w:cs="Arial"/>
          <w:sz w:val="24"/>
          <w:szCs w:val="24"/>
        </w:rPr>
        <w:t>dispuso adjudicar</w:t>
      </w:r>
      <w:r w:rsidR="005F0A97">
        <w:rPr>
          <w:rFonts w:ascii="Arial" w:hAnsi="Arial" w:cs="Arial"/>
          <w:sz w:val="24"/>
          <w:szCs w:val="24"/>
        </w:rPr>
        <w:t xml:space="preserve"> la l</w:t>
      </w:r>
      <w:r>
        <w:rPr>
          <w:rFonts w:ascii="Arial" w:hAnsi="Arial" w:cs="Arial"/>
          <w:sz w:val="24"/>
          <w:szCs w:val="24"/>
        </w:rPr>
        <w:t xml:space="preserve">icitación de referencia a </w:t>
      </w:r>
      <w:proofErr w:type="spellStart"/>
      <w:r w:rsidR="005F0A97">
        <w:rPr>
          <w:rFonts w:ascii="Arial" w:hAnsi="Arial" w:cs="Arial"/>
          <w:sz w:val="24"/>
          <w:szCs w:val="24"/>
        </w:rPr>
        <w:lastRenderedPageBreak/>
        <w:t>Promet</w:t>
      </w:r>
      <w:proofErr w:type="spellEnd"/>
      <w:r w:rsidR="005F0A97">
        <w:rPr>
          <w:rFonts w:ascii="Arial" w:hAnsi="Arial" w:cs="Arial"/>
          <w:sz w:val="24"/>
          <w:szCs w:val="24"/>
        </w:rPr>
        <w:t xml:space="preserve"> S.A por</w:t>
      </w:r>
      <w:r w:rsidR="00990632">
        <w:rPr>
          <w:rFonts w:ascii="Arial" w:hAnsi="Arial" w:cs="Arial"/>
          <w:sz w:val="24"/>
          <w:szCs w:val="24"/>
        </w:rPr>
        <w:t xml:space="preserve"> un monto de U$S 85.484,</w:t>
      </w:r>
      <w:r>
        <w:rPr>
          <w:rFonts w:ascii="Arial" w:hAnsi="Arial" w:cs="Arial"/>
          <w:sz w:val="24"/>
          <w:szCs w:val="24"/>
        </w:rPr>
        <w:t xml:space="preserve">35 en condición CFR Montevideo y </w:t>
      </w:r>
      <w:r w:rsidR="005F0A97">
        <w:rPr>
          <w:rFonts w:ascii="Arial" w:hAnsi="Arial" w:cs="Arial"/>
          <w:sz w:val="24"/>
          <w:szCs w:val="24"/>
        </w:rPr>
        <w:t xml:space="preserve">de </w:t>
      </w:r>
      <w:r>
        <w:rPr>
          <w:rFonts w:ascii="Arial" w:hAnsi="Arial" w:cs="Arial"/>
          <w:sz w:val="24"/>
          <w:szCs w:val="24"/>
        </w:rPr>
        <w:t>U$S 9.600</w:t>
      </w:r>
      <w:r w:rsidR="005F0A97">
        <w:rPr>
          <w:rFonts w:ascii="Arial" w:hAnsi="Arial" w:cs="Arial"/>
          <w:sz w:val="24"/>
          <w:szCs w:val="24"/>
        </w:rPr>
        <w:t>,</w:t>
      </w:r>
      <w:r>
        <w:rPr>
          <w:rFonts w:ascii="Arial" w:hAnsi="Arial" w:cs="Arial"/>
          <w:sz w:val="24"/>
          <w:szCs w:val="24"/>
        </w:rPr>
        <w:t xml:space="preserve"> correspondientes al servicio de inspección</w:t>
      </w:r>
      <w:r w:rsidR="00346709">
        <w:rPr>
          <w:rFonts w:ascii="Arial" w:hAnsi="Arial" w:cs="Arial"/>
          <w:sz w:val="24"/>
          <w:szCs w:val="24"/>
        </w:rPr>
        <w:t xml:space="preserve"> y </w:t>
      </w:r>
      <w:r w:rsidR="005F0A97">
        <w:rPr>
          <w:rFonts w:ascii="Arial" w:hAnsi="Arial" w:cs="Arial"/>
          <w:sz w:val="24"/>
          <w:szCs w:val="24"/>
        </w:rPr>
        <w:t xml:space="preserve"> t</w:t>
      </w:r>
      <w:r>
        <w:rPr>
          <w:rFonts w:ascii="Arial" w:hAnsi="Arial" w:cs="Arial"/>
          <w:sz w:val="24"/>
          <w:szCs w:val="24"/>
        </w:rPr>
        <w:t>omar conocimiento que los gastos y recargos de importación se estimaron en $ 607.186,83, el IVA a la importación en $ 677.632,51, las comisiones bancarias en $1.736,35 y que ANCAP deberá tributar IRNR por un monto de $ 41.328,00</w:t>
      </w:r>
      <w:r w:rsidR="005F0A97">
        <w:rPr>
          <w:rFonts w:ascii="Arial" w:hAnsi="Arial" w:cs="Arial"/>
          <w:sz w:val="24"/>
          <w:szCs w:val="24"/>
        </w:rPr>
        <w:t>;</w:t>
      </w:r>
    </w:p>
    <w:p w:rsidR="00990632" w:rsidRDefault="00990632" w:rsidP="00B41E48">
      <w:pPr>
        <w:spacing w:after="0" w:line="360" w:lineRule="auto"/>
        <w:ind w:firstLine="2552"/>
        <w:jc w:val="both"/>
        <w:rPr>
          <w:rFonts w:ascii="Arial" w:hAnsi="Arial" w:cs="Arial"/>
          <w:sz w:val="24"/>
          <w:szCs w:val="24"/>
        </w:rPr>
      </w:pPr>
      <w:r w:rsidRPr="00990632">
        <w:rPr>
          <w:rFonts w:ascii="Arial" w:hAnsi="Arial" w:cs="Arial"/>
          <w:b/>
          <w:sz w:val="24"/>
          <w:szCs w:val="24"/>
        </w:rPr>
        <w:t xml:space="preserve">10) </w:t>
      </w:r>
      <w:r>
        <w:rPr>
          <w:rFonts w:ascii="Arial" w:hAnsi="Arial" w:cs="Arial"/>
          <w:sz w:val="24"/>
          <w:szCs w:val="24"/>
        </w:rPr>
        <w:t>que no surge de las actuaciones un informe de disponibilidad presupuestal que establezca que existe crédito suficiente para comprometer el</w:t>
      </w:r>
      <w:r w:rsidR="0054120D">
        <w:rPr>
          <w:rFonts w:ascii="Arial" w:hAnsi="Arial" w:cs="Arial"/>
          <w:sz w:val="24"/>
          <w:szCs w:val="24"/>
        </w:rPr>
        <w:t xml:space="preserve"> presente</w:t>
      </w:r>
      <w:r>
        <w:rPr>
          <w:rFonts w:ascii="Arial" w:hAnsi="Arial" w:cs="Arial"/>
          <w:sz w:val="24"/>
          <w:szCs w:val="24"/>
        </w:rPr>
        <w:t xml:space="preserve"> gasto;</w:t>
      </w:r>
    </w:p>
    <w:p w:rsidR="00346709" w:rsidRDefault="00990632" w:rsidP="00B41E48">
      <w:pPr>
        <w:pStyle w:val="Textoindependiente"/>
        <w:ind w:firstLine="708"/>
      </w:pPr>
      <w:r w:rsidRPr="00990632">
        <w:rPr>
          <w:rFonts w:cs="Arial"/>
          <w:b/>
          <w:szCs w:val="24"/>
        </w:rPr>
        <w:t>CONSIDER</w:t>
      </w:r>
      <w:r w:rsidR="00231791">
        <w:rPr>
          <w:rFonts w:cs="Arial"/>
          <w:b/>
          <w:szCs w:val="24"/>
        </w:rPr>
        <w:t>ANDO:</w:t>
      </w:r>
      <w:r w:rsidR="00231791">
        <w:rPr>
          <w:rFonts w:cs="Arial"/>
          <w:b/>
          <w:szCs w:val="24"/>
        </w:rPr>
        <w:tab/>
        <w:t>1</w:t>
      </w:r>
      <w:r w:rsidR="00231791">
        <w:rPr>
          <w:b/>
        </w:rPr>
        <w:t>)</w:t>
      </w:r>
      <w:r w:rsidR="00346709">
        <w:rPr>
          <w:b/>
        </w:rPr>
        <w:t xml:space="preserve"> </w:t>
      </w:r>
      <w:r w:rsidR="00EC1490" w:rsidRPr="00EF55EC">
        <w:t>que</w:t>
      </w:r>
      <w:r w:rsidR="00EC1490">
        <w:t xml:space="preserve"> el Pliego de Condiciones Particulares contraviene lo dispuesto en el </w:t>
      </w:r>
      <w:r w:rsidR="00B41E48">
        <w:t>A</w:t>
      </w:r>
      <w:r w:rsidR="00EC1490">
        <w:t xml:space="preserve">rtículo 48 del TOCAF, al exigir en </w:t>
      </w:r>
      <w:r w:rsidR="00EC1490" w:rsidRPr="00EF55EC">
        <w:t xml:space="preserve">el numeral </w:t>
      </w:r>
      <w:r w:rsidR="00EC1490" w:rsidRPr="00EF55EC">
        <w:rPr>
          <w:rFonts w:cs="Arial"/>
          <w:szCs w:val="24"/>
        </w:rPr>
        <w:t>IV.2</w:t>
      </w:r>
      <w:r w:rsidR="00EC1490" w:rsidRPr="00EF55EC">
        <w:t xml:space="preserve"> la presentación del comprobante </w:t>
      </w:r>
      <w:r w:rsidR="00EC1490">
        <w:t xml:space="preserve">de adquisición del pliego, y en </w:t>
      </w:r>
      <w:r w:rsidR="00EC1490" w:rsidRPr="00EF55EC">
        <w:t xml:space="preserve">el numeral </w:t>
      </w:r>
      <w:r w:rsidR="00EC1490">
        <w:rPr>
          <w:rFonts w:cs="Arial"/>
          <w:szCs w:val="24"/>
        </w:rPr>
        <w:t>IV.3 la presentación d</w:t>
      </w:r>
      <w:r w:rsidR="00EC1490" w:rsidRPr="00EF55EC">
        <w:rPr>
          <w:rFonts w:cs="Arial"/>
          <w:szCs w:val="24"/>
        </w:rPr>
        <w:t>el certificado que acredite la inscripción</w:t>
      </w:r>
      <w:r w:rsidR="00EC1490">
        <w:rPr>
          <w:rFonts w:cs="Arial"/>
          <w:szCs w:val="24"/>
        </w:rPr>
        <w:t xml:space="preserve"> de los oferentes</w:t>
      </w:r>
      <w:r w:rsidR="00EC1490" w:rsidRPr="00EF55EC">
        <w:rPr>
          <w:rFonts w:cs="Arial"/>
          <w:szCs w:val="24"/>
        </w:rPr>
        <w:t xml:space="preserve"> en el Registro de Proveedores de la Administración</w:t>
      </w:r>
      <w:r w:rsidR="00EC1490">
        <w:rPr>
          <w:rFonts w:cs="Arial"/>
          <w:szCs w:val="24"/>
        </w:rPr>
        <w:t>;</w:t>
      </w:r>
      <w:r w:rsidR="00EC1490">
        <w:rPr>
          <w:rFonts w:cs="Arial"/>
          <w:szCs w:val="24"/>
        </w:rPr>
        <w:tab/>
      </w:r>
      <w:r w:rsidR="00EC1490">
        <w:rPr>
          <w:rFonts w:cs="Arial"/>
          <w:szCs w:val="24"/>
        </w:rPr>
        <w:tab/>
      </w:r>
      <w:r w:rsidR="00EC1490">
        <w:rPr>
          <w:rFonts w:cs="Arial"/>
          <w:szCs w:val="24"/>
        </w:rPr>
        <w:tab/>
      </w:r>
      <w:r w:rsidR="007B0663">
        <w:t xml:space="preserve"> </w:t>
      </w:r>
    </w:p>
    <w:p w:rsidR="00EC1490" w:rsidRDefault="007B0663" w:rsidP="00B41E48">
      <w:pPr>
        <w:pStyle w:val="Textoindependiente"/>
        <w:ind w:firstLine="2835"/>
      </w:pPr>
      <w:r w:rsidRPr="007B0663">
        <w:rPr>
          <w:b/>
        </w:rPr>
        <w:t>2)</w:t>
      </w:r>
      <w:r>
        <w:rPr>
          <w:b/>
        </w:rPr>
        <w:t xml:space="preserve"> </w:t>
      </w:r>
      <w:r w:rsidR="00EC1490" w:rsidRPr="00CC1EE3">
        <w:rPr>
          <w:rFonts w:cs="Arial"/>
          <w:szCs w:val="24"/>
        </w:rPr>
        <w:t>que</w:t>
      </w:r>
      <w:r w:rsidR="00EC1490">
        <w:rPr>
          <w:rFonts w:cs="Arial"/>
          <w:b/>
          <w:szCs w:val="24"/>
        </w:rPr>
        <w:t xml:space="preserve"> </w:t>
      </w:r>
      <w:r w:rsidR="00EC1490" w:rsidRPr="00B3521E">
        <w:rPr>
          <w:rFonts w:cs="Arial"/>
          <w:szCs w:val="24"/>
        </w:rPr>
        <w:t xml:space="preserve">dichos requerimientos </w:t>
      </w:r>
      <w:r w:rsidR="00EC1490">
        <w:rPr>
          <w:rFonts w:cs="Arial"/>
          <w:szCs w:val="24"/>
        </w:rPr>
        <w:t xml:space="preserve">no </w:t>
      </w:r>
      <w:r w:rsidR="00EC1490" w:rsidRPr="00B3521E">
        <w:t>están</w:t>
      </w:r>
      <w:r w:rsidR="00EC1490">
        <w:t xml:space="preserve"> directamente vinculados a la consideración del objeto de la contratación y la evaluación de la oferta, siendo que además la Administración puede controlar el cumplimiento de ambos en su ámbito interno, sin requerir a los oferentes la formalidad de acreditarlo al momento de la apertura de ofertas;</w:t>
      </w:r>
    </w:p>
    <w:p w:rsidR="00EC1490" w:rsidRDefault="00EC1490" w:rsidP="00B41E48">
      <w:pPr>
        <w:pStyle w:val="Textoindependiente"/>
        <w:ind w:firstLine="2835"/>
      </w:pPr>
      <w:r w:rsidRPr="00EC1490">
        <w:rPr>
          <w:b/>
        </w:rPr>
        <w:t>3)</w:t>
      </w:r>
      <w:r>
        <w:t xml:space="preserve"> que no obstante la intención de la Administración en rectificar el procedimiento que motivó las observaciones realizadas por el Contador Delegado el 16.03.16, la Resolución N° 082/2016 de fecha 11.03.06 no fue dejada sin efecto de manera expresa, sino que el 11.05.16 se procedió a dictar una nueva Resolución N° 142/2016, contradictoria de la anterior, en la que se dispuso la adjudicación de la licitación de referencia en favor de una firma que había sido rechazada en el inicial procedimiento;</w:t>
      </w:r>
    </w:p>
    <w:p w:rsidR="00EF55EC" w:rsidRPr="00EC1490" w:rsidRDefault="00EC1490" w:rsidP="00B41E48">
      <w:pPr>
        <w:pStyle w:val="Textoindependiente"/>
        <w:ind w:firstLine="2835"/>
        <w:rPr>
          <w:b/>
        </w:rPr>
      </w:pPr>
      <w:r w:rsidRPr="00EC1490">
        <w:rPr>
          <w:b/>
        </w:rPr>
        <w:t>4)</w:t>
      </w:r>
      <w:r>
        <w:t xml:space="preserve"> </w:t>
      </w:r>
      <w:r w:rsidR="007B0663">
        <w:t xml:space="preserve">que, </w:t>
      </w:r>
      <w:r w:rsidR="00577DF5">
        <w:t>pese a</w:t>
      </w:r>
      <w:r w:rsidR="00FC55CC">
        <w:t xml:space="preserve"> </w:t>
      </w:r>
      <w:r w:rsidR="00B908F2">
        <w:t>la rectificación realizada</w:t>
      </w:r>
      <w:r w:rsidR="00FC55CC">
        <w:t xml:space="preserve">, el informe de la Gerencia de Abastecimiento de fecha 26.08.15 </w:t>
      </w:r>
      <w:r w:rsidR="002E00F5">
        <w:t>contiene</w:t>
      </w:r>
      <w:r w:rsidR="00FC55CC">
        <w:t xml:space="preserve"> </w:t>
      </w:r>
      <w:r w:rsidR="00E938F2">
        <w:t>evidentes</w:t>
      </w:r>
      <w:r w:rsidR="00FC55CC">
        <w:t xml:space="preserve"> diferencias respecto del</w:t>
      </w:r>
      <w:r w:rsidR="00B908F2">
        <w:t xml:space="preserve"> anteriormente</w:t>
      </w:r>
      <w:r w:rsidR="00FC55CC">
        <w:t xml:space="preserve"> </w:t>
      </w:r>
      <w:r w:rsidR="002E00F5">
        <w:t>presentado</w:t>
      </w:r>
      <w:r w:rsidR="00FC55CC">
        <w:t xml:space="preserve"> con fecha 29.04.</w:t>
      </w:r>
      <w:r w:rsidR="00B908F2">
        <w:t>16</w:t>
      </w:r>
      <w:r w:rsidR="002E00F5">
        <w:t>, y en consecuencia existen</w:t>
      </w:r>
      <w:r w:rsidR="000318D3">
        <w:t xml:space="preserve"> grandes</w:t>
      </w:r>
      <w:r w:rsidR="002E00F5">
        <w:t xml:space="preserve"> variaciones</w:t>
      </w:r>
      <w:r w:rsidR="00E938F2">
        <w:t xml:space="preserve"> respecto de</w:t>
      </w:r>
      <w:r w:rsidR="002E00F5">
        <w:t xml:space="preserve"> las firmas admitidas y </w:t>
      </w:r>
      <w:r w:rsidR="002E00F5">
        <w:lastRenderedPageBreak/>
        <w:t xml:space="preserve">rechazadas en razón de los mismos. En efecto, </w:t>
      </w:r>
      <w:r w:rsidR="00B908F2">
        <w:t xml:space="preserve">conforme </w:t>
      </w:r>
      <w:r w:rsidR="002E00F5">
        <w:t>al</w:t>
      </w:r>
      <w:r w:rsidR="00B908F2">
        <w:t xml:space="preserve"> primero, las propuestas de </w:t>
      </w:r>
      <w:proofErr w:type="spellStart"/>
      <w:r w:rsidR="00B908F2">
        <w:t>Bako</w:t>
      </w:r>
      <w:proofErr w:type="spellEnd"/>
      <w:r w:rsidR="00B908F2">
        <w:t xml:space="preserve"> S.A, </w:t>
      </w:r>
      <w:proofErr w:type="spellStart"/>
      <w:r w:rsidR="00B908F2">
        <w:t>Fidemar</w:t>
      </w:r>
      <w:proofErr w:type="spellEnd"/>
      <w:r w:rsidR="00B908F2">
        <w:t xml:space="preserve"> S.A y </w:t>
      </w:r>
      <w:proofErr w:type="spellStart"/>
      <w:r w:rsidR="00B908F2">
        <w:t>Promet</w:t>
      </w:r>
      <w:proofErr w:type="spellEnd"/>
      <w:r w:rsidR="00B908F2">
        <w:t xml:space="preserve"> S.A, fueron rechazadas </w:t>
      </w:r>
      <w:r w:rsidR="00E938F2">
        <w:t>“</w:t>
      </w:r>
      <w:r w:rsidR="00B908F2" w:rsidRPr="00E938F2">
        <w:rPr>
          <w:i/>
        </w:rPr>
        <w:t>por falta de certificados</w:t>
      </w:r>
      <w:r w:rsidR="00E938F2">
        <w:rPr>
          <w:i/>
        </w:rPr>
        <w:t>”</w:t>
      </w:r>
      <w:r w:rsidR="00B908F2">
        <w:t>,</w:t>
      </w:r>
      <w:r w:rsidR="00577DF5">
        <w:t xml:space="preserve"> </w:t>
      </w:r>
      <w:r w:rsidR="00B908F2">
        <w:t>sin especificar exactamente</w:t>
      </w:r>
      <w:r w:rsidR="00E938F2">
        <w:t xml:space="preserve"> a</w:t>
      </w:r>
      <w:r w:rsidR="00B908F2">
        <w:t xml:space="preserve"> </w:t>
      </w:r>
      <w:r w:rsidR="00577DF5">
        <w:t xml:space="preserve">cuáles </w:t>
      </w:r>
      <w:r w:rsidR="00B908F2">
        <w:t>certific</w:t>
      </w:r>
      <w:r w:rsidR="00577DF5">
        <w:t xml:space="preserve">ados </w:t>
      </w:r>
      <w:r w:rsidR="00E938F2">
        <w:t>se hizo referencia</w:t>
      </w:r>
      <w:r w:rsidR="00577DF5">
        <w:t xml:space="preserve">. No obstante, </w:t>
      </w:r>
      <w:r w:rsidR="00B908F2">
        <w:t xml:space="preserve">de acuerdo al segundo, las propuestas de </w:t>
      </w:r>
      <w:proofErr w:type="spellStart"/>
      <w:r w:rsidR="00B908F2">
        <w:t>Bako</w:t>
      </w:r>
      <w:proofErr w:type="spellEnd"/>
      <w:r w:rsidR="00B908F2">
        <w:t xml:space="preserve"> S.A y </w:t>
      </w:r>
      <w:proofErr w:type="spellStart"/>
      <w:r w:rsidR="00B908F2">
        <w:t>Promet</w:t>
      </w:r>
      <w:proofErr w:type="spellEnd"/>
      <w:r w:rsidR="00B908F2">
        <w:t xml:space="preserve"> S.A </w:t>
      </w:r>
      <w:r w:rsidR="000318D3">
        <w:t xml:space="preserve">fueron admitidas. </w:t>
      </w:r>
      <w:r w:rsidR="00B908F2">
        <w:t xml:space="preserve">Del mismo modo, </w:t>
      </w:r>
      <w:proofErr w:type="spellStart"/>
      <w:r w:rsidR="00B908F2">
        <w:t>Fairwind</w:t>
      </w:r>
      <w:proofErr w:type="spellEnd"/>
      <w:r w:rsidR="00B908F2">
        <w:t xml:space="preserve"> Dan Mo </w:t>
      </w:r>
      <w:proofErr w:type="spellStart"/>
      <w:r w:rsidR="00B908F2">
        <w:t>Aps</w:t>
      </w:r>
      <w:proofErr w:type="spellEnd"/>
      <w:r w:rsidR="00B908F2">
        <w:t xml:space="preserve"> había resultado adjudicataria en el inicial procedimiento, pero su propuesta fue rechazada en el informe de 29.04.16 por no presentar la certificación ISO 9000 del fabricante</w:t>
      </w:r>
      <w:r w:rsidR="002E00F5">
        <w:t>,</w:t>
      </w:r>
      <w:r w:rsidR="00B908F2">
        <w:t xml:space="preserve"> requerida en el Pliego de Condiciones Particulares</w:t>
      </w:r>
      <w:r w:rsidR="00E938F2">
        <w:t>. En consecuencia, no resulta claro cómo una oferta que en el inicial procedimiento había sido rechazada “</w:t>
      </w:r>
      <w:r w:rsidR="00E938F2" w:rsidRPr="00E938F2">
        <w:rPr>
          <w:i/>
        </w:rPr>
        <w:t>por falta de certificados</w:t>
      </w:r>
      <w:r w:rsidR="00E938F2">
        <w:rPr>
          <w:i/>
        </w:rPr>
        <w:t>”</w:t>
      </w:r>
      <w:r w:rsidR="00E938F2">
        <w:t>, luego fue admitida y resultó adjudicataria, siendo que, luego de la presentación de su oferta, no agregó ninguna documentación</w:t>
      </w:r>
      <w:r w:rsidR="000318D3">
        <w:t>;</w:t>
      </w:r>
    </w:p>
    <w:p w:rsidR="00B3521E" w:rsidRPr="002906FE" w:rsidRDefault="00B3521E" w:rsidP="00B41E48">
      <w:pPr>
        <w:spacing w:after="0" w:line="360" w:lineRule="auto"/>
        <w:ind w:firstLine="708"/>
        <w:jc w:val="both"/>
        <w:rPr>
          <w:rFonts w:ascii="Arial" w:eastAsia="Times New Roman" w:hAnsi="Arial" w:cs="Arial"/>
          <w:sz w:val="24"/>
          <w:szCs w:val="20"/>
          <w:lang w:val="es-ES" w:eastAsia="es-ES"/>
        </w:rPr>
      </w:pPr>
      <w:r w:rsidRPr="002906FE">
        <w:rPr>
          <w:rFonts w:ascii="Arial" w:eastAsia="Times New Roman" w:hAnsi="Arial" w:cs="Arial"/>
          <w:b/>
          <w:bCs/>
          <w:sz w:val="24"/>
          <w:szCs w:val="20"/>
          <w:lang w:val="es-ES" w:eastAsia="es-ES"/>
        </w:rPr>
        <w:t xml:space="preserve">ATENTO: </w:t>
      </w:r>
      <w:r w:rsidRPr="002906FE">
        <w:rPr>
          <w:rFonts w:ascii="Arial" w:eastAsia="Times New Roman" w:hAnsi="Arial" w:cs="Arial"/>
          <w:sz w:val="24"/>
          <w:szCs w:val="20"/>
          <w:lang w:val="es-ES" w:eastAsia="es-ES"/>
        </w:rPr>
        <w:t>a lo expuesto y a lo dispuesto por el  artículo 211 literal B) de la Constitución de la República;</w:t>
      </w:r>
    </w:p>
    <w:p w:rsidR="00B3521E" w:rsidRPr="002906FE" w:rsidRDefault="00B3521E" w:rsidP="00B3521E">
      <w:pPr>
        <w:keepNext/>
        <w:spacing w:after="0" w:line="360" w:lineRule="auto"/>
        <w:jc w:val="center"/>
        <w:outlineLvl w:val="0"/>
        <w:rPr>
          <w:rFonts w:ascii="Arial" w:eastAsia="Times New Roman" w:hAnsi="Arial" w:cs="Arial"/>
          <w:b/>
          <w:bCs/>
          <w:sz w:val="24"/>
          <w:szCs w:val="20"/>
          <w:lang w:val="es-MX" w:eastAsia="es-ES"/>
        </w:rPr>
      </w:pPr>
      <w:r w:rsidRPr="002906FE">
        <w:rPr>
          <w:rFonts w:ascii="Arial" w:eastAsia="Times New Roman" w:hAnsi="Arial" w:cs="Arial"/>
          <w:b/>
          <w:bCs/>
          <w:sz w:val="24"/>
          <w:szCs w:val="20"/>
          <w:lang w:val="es-MX" w:eastAsia="es-ES"/>
        </w:rPr>
        <w:t xml:space="preserve">EL TRIBUNAL </w:t>
      </w:r>
      <w:r w:rsidR="00B41E48">
        <w:rPr>
          <w:rFonts w:ascii="Arial" w:eastAsia="Times New Roman" w:hAnsi="Arial" w:cs="Arial"/>
          <w:b/>
          <w:bCs/>
          <w:sz w:val="24"/>
          <w:szCs w:val="20"/>
          <w:lang w:val="es-MX" w:eastAsia="es-ES"/>
        </w:rPr>
        <w:t xml:space="preserve">POR MAYORIA </w:t>
      </w:r>
      <w:r w:rsidRPr="002906FE">
        <w:rPr>
          <w:rFonts w:ascii="Arial" w:eastAsia="Times New Roman" w:hAnsi="Arial" w:cs="Arial"/>
          <w:b/>
          <w:bCs/>
          <w:sz w:val="24"/>
          <w:szCs w:val="20"/>
          <w:lang w:val="es-MX" w:eastAsia="es-ES"/>
        </w:rPr>
        <w:t>ACUERDA</w:t>
      </w:r>
    </w:p>
    <w:p w:rsidR="00EC1490" w:rsidRDefault="00B3521E" w:rsidP="00B41E48">
      <w:pPr>
        <w:numPr>
          <w:ilvl w:val="0"/>
          <w:numId w:val="1"/>
        </w:numPr>
        <w:tabs>
          <w:tab w:val="clear" w:pos="720"/>
          <w:tab w:val="num" w:pos="284"/>
        </w:tabs>
        <w:spacing w:after="0" w:line="360" w:lineRule="auto"/>
        <w:ind w:left="284" w:hanging="284"/>
        <w:jc w:val="both"/>
        <w:rPr>
          <w:rFonts w:ascii="Arial" w:eastAsia="Times New Roman" w:hAnsi="Arial" w:cs="Arial"/>
          <w:sz w:val="24"/>
          <w:szCs w:val="20"/>
          <w:lang w:val="es-MX" w:eastAsia="es-ES"/>
        </w:rPr>
      </w:pPr>
      <w:r w:rsidRPr="002906FE">
        <w:rPr>
          <w:rFonts w:ascii="Arial" w:eastAsia="Times New Roman" w:hAnsi="Arial" w:cs="Arial"/>
          <w:sz w:val="24"/>
          <w:szCs w:val="20"/>
          <w:lang w:val="es-MX" w:eastAsia="es-ES"/>
        </w:rPr>
        <w:t>Observar el gasto</w:t>
      </w:r>
      <w:r w:rsidR="00EC1490">
        <w:rPr>
          <w:rFonts w:ascii="Arial" w:eastAsia="Times New Roman" w:hAnsi="Arial" w:cs="Arial"/>
          <w:sz w:val="24"/>
          <w:szCs w:val="20"/>
          <w:lang w:val="es-MX" w:eastAsia="es-ES"/>
        </w:rPr>
        <w:t xml:space="preserve"> en razón de lo expresado en los Considerandos 1) y 2)</w:t>
      </w:r>
      <w:r>
        <w:rPr>
          <w:rFonts w:ascii="Arial" w:eastAsia="Times New Roman" w:hAnsi="Arial" w:cs="Arial"/>
          <w:sz w:val="24"/>
          <w:szCs w:val="20"/>
          <w:lang w:val="es-MX" w:eastAsia="es-ES"/>
        </w:rPr>
        <w:t>;</w:t>
      </w:r>
    </w:p>
    <w:p w:rsidR="00B3521E" w:rsidRPr="002906FE" w:rsidRDefault="00EC1490" w:rsidP="00B41E48">
      <w:pPr>
        <w:numPr>
          <w:ilvl w:val="0"/>
          <w:numId w:val="1"/>
        </w:numPr>
        <w:tabs>
          <w:tab w:val="clear" w:pos="720"/>
          <w:tab w:val="num" w:pos="284"/>
        </w:tabs>
        <w:spacing w:after="0" w:line="360" w:lineRule="auto"/>
        <w:ind w:left="284" w:hanging="284"/>
        <w:jc w:val="both"/>
        <w:rPr>
          <w:rFonts w:ascii="Arial" w:eastAsia="Times New Roman" w:hAnsi="Arial" w:cs="Arial"/>
          <w:sz w:val="24"/>
          <w:szCs w:val="20"/>
          <w:lang w:val="es-MX" w:eastAsia="es-ES"/>
        </w:rPr>
      </w:pPr>
      <w:r>
        <w:rPr>
          <w:rFonts w:ascii="Arial" w:eastAsia="Times New Roman" w:hAnsi="Arial" w:cs="Arial"/>
          <w:sz w:val="24"/>
          <w:szCs w:val="20"/>
          <w:lang w:val="es-MX" w:eastAsia="es-ES"/>
        </w:rPr>
        <w:t>Téngase presente lo expresado en los Considerandos 3) y 4);</w:t>
      </w:r>
      <w:r w:rsidR="00B3521E">
        <w:rPr>
          <w:rFonts w:ascii="Arial" w:eastAsia="Times New Roman" w:hAnsi="Arial" w:cs="Arial"/>
          <w:sz w:val="24"/>
          <w:szCs w:val="20"/>
          <w:lang w:val="es-MX" w:eastAsia="es-ES"/>
        </w:rPr>
        <w:t xml:space="preserve"> y</w:t>
      </w:r>
    </w:p>
    <w:p w:rsidR="00B3521E" w:rsidRPr="002906FE" w:rsidRDefault="00EC1490" w:rsidP="00B41E48">
      <w:pPr>
        <w:numPr>
          <w:ilvl w:val="0"/>
          <w:numId w:val="1"/>
        </w:numPr>
        <w:tabs>
          <w:tab w:val="clear" w:pos="720"/>
          <w:tab w:val="num" w:pos="284"/>
        </w:tabs>
        <w:spacing w:after="0" w:line="360" w:lineRule="auto"/>
        <w:ind w:left="284" w:hanging="284"/>
        <w:jc w:val="both"/>
        <w:rPr>
          <w:rFonts w:ascii="Arial" w:eastAsia="Times New Roman" w:hAnsi="Arial" w:cs="Arial"/>
          <w:sz w:val="24"/>
          <w:szCs w:val="20"/>
          <w:lang w:val="es-MX" w:eastAsia="es-ES"/>
        </w:rPr>
      </w:pPr>
      <w:r>
        <w:rPr>
          <w:rFonts w:ascii="Arial" w:eastAsia="Times New Roman" w:hAnsi="Arial" w:cs="Arial"/>
          <w:sz w:val="24"/>
          <w:szCs w:val="20"/>
          <w:lang w:val="es-MX" w:eastAsia="es-ES"/>
        </w:rPr>
        <w:t>Devolver las actuaciones.</w:t>
      </w:r>
    </w:p>
    <w:p w:rsidR="00B3521E" w:rsidRPr="002906FE" w:rsidRDefault="00B3521E" w:rsidP="00B41E48">
      <w:pPr>
        <w:tabs>
          <w:tab w:val="num" w:pos="284"/>
        </w:tabs>
        <w:spacing w:after="0" w:line="360" w:lineRule="auto"/>
        <w:ind w:left="284" w:hanging="284"/>
        <w:jc w:val="both"/>
        <w:rPr>
          <w:rFonts w:ascii="Arial" w:eastAsia="Times New Roman" w:hAnsi="Arial" w:cs="Times New Roman"/>
          <w:bCs/>
          <w:sz w:val="24"/>
          <w:szCs w:val="20"/>
          <w:lang w:val="es-MX" w:eastAsia="es-ES"/>
        </w:rPr>
      </w:pPr>
    </w:p>
    <w:p w:rsidR="00540D96" w:rsidRDefault="00540D96" w:rsidP="00B41E48">
      <w:pPr>
        <w:spacing w:after="0" w:line="360" w:lineRule="auto"/>
        <w:rPr>
          <w:rFonts w:ascii="Arial" w:eastAsia="Times New Roman" w:hAnsi="Arial" w:cs="Times New Roman"/>
          <w:sz w:val="24"/>
          <w:szCs w:val="20"/>
          <w:lang w:val="es-MX" w:eastAsia="es-ES"/>
        </w:rPr>
      </w:pPr>
    </w:p>
    <w:p w:rsidR="00B41E48" w:rsidRDefault="00B41E48" w:rsidP="00B41E48">
      <w:pPr>
        <w:spacing w:after="0" w:line="360" w:lineRule="auto"/>
        <w:rPr>
          <w:rFonts w:ascii="Arial" w:eastAsia="Times New Roman" w:hAnsi="Arial" w:cs="Times New Roman"/>
          <w:sz w:val="24"/>
          <w:szCs w:val="20"/>
          <w:lang w:val="es-MX" w:eastAsia="es-ES"/>
        </w:rPr>
      </w:pPr>
      <w:proofErr w:type="spellStart"/>
      <w:proofErr w:type="gramStart"/>
      <w:r>
        <w:rPr>
          <w:rFonts w:ascii="Arial" w:eastAsia="Times New Roman" w:hAnsi="Arial" w:cs="Times New Roman"/>
          <w:sz w:val="24"/>
          <w:szCs w:val="20"/>
          <w:lang w:val="es-MX" w:eastAsia="es-ES"/>
        </w:rPr>
        <w:t>cr</w:t>
      </w:r>
      <w:proofErr w:type="spellEnd"/>
      <w:proofErr w:type="gramEnd"/>
    </w:p>
    <w:p w:rsidR="00B41E48" w:rsidRDefault="00B41E48" w:rsidP="00BF5137">
      <w:pPr>
        <w:spacing w:line="360" w:lineRule="auto"/>
        <w:jc w:val="both"/>
        <w:rPr>
          <w:rFonts w:ascii="Arial" w:hAnsi="Arial" w:cs="Arial"/>
          <w:szCs w:val="24"/>
        </w:rPr>
      </w:pPr>
    </w:p>
    <w:p w:rsidR="00B41E48" w:rsidRPr="00B41E48" w:rsidRDefault="00B41E48" w:rsidP="00B41E48">
      <w:pPr>
        <w:jc w:val="both"/>
        <w:rPr>
          <w:rFonts w:ascii="Arial" w:hAnsi="Arial" w:cs="Arial"/>
          <w:sz w:val="24"/>
          <w:szCs w:val="24"/>
        </w:rPr>
      </w:pPr>
      <w:r w:rsidRPr="00B41E48">
        <w:rPr>
          <w:rFonts w:ascii="Arial" w:hAnsi="Arial" w:cs="Arial"/>
          <w:b/>
          <w:sz w:val="24"/>
          <w:szCs w:val="24"/>
        </w:rPr>
        <w:t>CONSTANCIA DE FUNDAMENTO DE VOTO DISCORDE DE LA MINISTRA             CRA. DIANA MARCOS: “</w:t>
      </w:r>
      <w:r w:rsidRPr="00B41E48">
        <w:rPr>
          <w:rFonts w:ascii="Arial" w:hAnsi="Arial" w:cs="Arial"/>
          <w:sz w:val="24"/>
          <w:szCs w:val="24"/>
        </w:rPr>
        <w:t>Voto en forma negativa la observación formulada por incumplimiento  del art.48 del TOCAF expuesta en el considerando 1 de la resolución que nos ocupa. Entiendo que lo solicitado en el Pliego de Condiciones (recibo de compra del Pliego) es correcto.</w:t>
      </w:r>
      <w:r>
        <w:rPr>
          <w:rFonts w:ascii="Arial" w:hAnsi="Arial" w:cs="Arial"/>
          <w:sz w:val="24"/>
          <w:szCs w:val="24"/>
        </w:rPr>
        <w:t>”</w:t>
      </w:r>
    </w:p>
    <w:p w:rsidR="00B41E48" w:rsidRPr="004C7A47" w:rsidRDefault="00B41E48">
      <w:pPr>
        <w:rPr>
          <w:sz w:val="24"/>
          <w:szCs w:val="24"/>
        </w:rPr>
      </w:pPr>
    </w:p>
    <w:p w:rsidR="00B41E48" w:rsidRDefault="00B41E48"/>
    <w:p w:rsidR="00B41E48" w:rsidRDefault="00B41E48" w:rsidP="00B41E48">
      <w:pPr>
        <w:spacing w:after="0" w:line="360" w:lineRule="auto"/>
        <w:rPr>
          <w:rFonts w:ascii="Arial" w:hAnsi="Arial" w:cs="Arial"/>
          <w:sz w:val="24"/>
          <w:szCs w:val="24"/>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LEON LEV</w:t>
      </w:r>
      <w:r w:rsidRPr="005C0AC0">
        <w:rPr>
          <w:rFonts w:ascii="Arial" w:hAnsi="Arial" w:cs="Arial"/>
          <w:b/>
          <w:szCs w:val="24"/>
        </w:rPr>
        <w:t>:</w:t>
      </w:r>
      <w:r>
        <w:rPr>
          <w:rFonts w:ascii="Arial" w:hAnsi="Arial" w:cs="Arial"/>
          <w:szCs w:val="24"/>
        </w:rPr>
        <w:t xml:space="preserve"> “</w:t>
      </w:r>
      <w:r w:rsidRPr="00CE647D">
        <w:rPr>
          <w:rFonts w:ascii="Arial" w:hAnsi="Arial" w:cs="Arial"/>
          <w:sz w:val="24"/>
          <w:szCs w:val="24"/>
        </w:rPr>
        <w:t xml:space="preserve">Dejo constancia de mi voto discorde en este expediente relacionado con la  </w:t>
      </w:r>
      <w:r>
        <w:rPr>
          <w:rFonts w:ascii="Arial" w:hAnsi="Arial" w:cs="Arial"/>
          <w:sz w:val="24"/>
          <w:szCs w:val="24"/>
        </w:rPr>
        <w:t xml:space="preserve">Licitación Abreviada  N°1500136700 remitidas por la Administración Nacional de Combustibles Alcohol y Portland </w:t>
      </w:r>
      <w:r w:rsidRPr="00CE647D">
        <w:rPr>
          <w:rFonts w:ascii="Arial" w:hAnsi="Arial" w:cs="Arial"/>
          <w:sz w:val="24"/>
          <w:szCs w:val="24"/>
        </w:rPr>
        <w:t>por no compartir la interpretación del  Art. 48 del T</w:t>
      </w:r>
      <w:r>
        <w:rPr>
          <w:rFonts w:ascii="Arial" w:hAnsi="Arial" w:cs="Arial"/>
          <w:sz w:val="24"/>
          <w:szCs w:val="24"/>
        </w:rPr>
        <w:t>.O.C.A.F. de la mayoría, que lleva a la observación.</w:t>
      </w:r>
      <w:r w:rsidRPr="00CE647D">
        <w:rPr>
          <w:rFonts w:ascii="Arial" w:hAnsi="Arial" w:cs="Arial"/>
          <w:sz w:val="24"/>
          <w:szCs w:val="24"/>
        </w:rPr>
        <w:t xml:space="preserve"> </w:t>
      </w:r>
    </w:p>
    <w:p w:rsidR="00B41E48" w:rsidRPr="00CE647D" w:rsidRDefault="00B41E48" w:rsidP="00B41E48">
      <w:pPr>
        <w:spacing w:after="0" w:line="360" w:lineRule="auto"/>
        <w:jc w:val="both"/>
        <w:rPr>
          <w:rFonts w:ascii="Arial" w:hAnsi="Arial" w:cs="Arial"/>
          <w:sz w:val="24"/>
          <w:szCs w:val="24"/>
        </w:rPr>
      </w:pPr>
      <w:r>
        <w:rPr>
          <w:rFonts w:ascii="Arial" w:hAnsi="Arial" w:cs="Arial"/>
          <w:sz w:val="24"/>
          <w:szCs w:val="24"/>
        </w:rPr>
        <w:t xml:space="preserve"> “</w:t>
      </w:r>
      <w:r w:rsidRPr="00CE647D">
        <w:rPr>
          <w:rFonts w:ascii="Arial" w:hAnsi="Arial" w:cs="Arial"/>
          <w:sz w:val="24"/>
          <w:szCs w:val="24"/>
        </w:rPr>
        <w:t>El Art. 48 del T.O.C.A.F. establece “El Ordenador interviniente determinará el precio del Pliego Particular o que no tenga costo”.</w:t>
      </w:r>
    </w:p>
    <w:p w:rsidR="00B41E48" w:rsidRPr="00CE647D" w:rsidRDefault="00B41E48" w:rsidP="00B41E48">
      <w:pPr>
        <w:spacing w:after="0" w:line="360" w:lineRule="auto"/>
        <w:jc w:val="both"/>
        <w:rPr>
          <w:rFonts w:ascii="Arial" w:hAnsi="Arial" w:cs="Arial"/>
          <w:sz w:val="24"/>
          <w:szCs w:val="24"/>
        </w:rPr>
      </w:pPr>
      <w:r w:rsidRPr="00CE647D">
        <w:rPr>
          <w:rFonts w:ascii="Arial" w:hAnsi="Arial" w:cs="Arial"/>
          <w:sz w:val="24"/>
          <w:szCs w:val="24"/>
        </w:rPr>
        <w:t>En dicho caso, la presentación del recibo de pago de la adquisición del Pliego Particular con la oferta debe ser requisito a efectos de presentación de la misma.</w:t>
      </w:r>
    </w:p>
    <w:p w:rsidR="00B41E48" w:rsidRPr="00CE647D" w:rsidRDefault="00B41E48" w:rsidP="00B41E48">
      <w:pPr>
        <w:spacing w:after="0" w:line="360" w:lineRule="auto"/>
        <w:jc w:val="both"/>
        <w:rPr>
          <w:rFonts w:ascii="Arial" w:hAnsi="Arial" w:cs="Arial"/>
          <w:sz w:val="24"/>
          <w:szCs w:val="24"/>
        </w:rPr>
      </w:pPr>
      <w:r w:rsidRPr="00CE647D">
        <w:rPr>
          <w:rFonts w:ascii="Arial" w:hAnsi="Arial" w:cs="Arial"/>
          <w:sz w:val="24"/>
          <w:szCs w:val="24"/>
        </w:rPr>
        <w:t>En caso contrario, esto es, que se determine un costo para el Pliego y que su constancia de pago no sea requisito para presentar la oferta, crearía una evidente contravención  al principio de igualdad de los oferentes (reconocido por el Art. 149 del T.O.C.A.F), dado que los que lo adquirieron y realizaron  la erogación, se verían en desventaja respecto de los que no lo hicieron e igualmente pueden presentarse e incluso formular observaciones y participar activamente en el procedimiento</w:t>
      </w:r>
      <w:r>
        <w:rPr>
          <w:rFonts w:ascii="Arial" w:hAnsi="Arial" w:cs="Arial"/>
          <w:sz w:val="24"/>
          <w:szCs w:val="24"/>
        </w:rPr>
        <w:t>”</w:t>
      </w:r>
      <w:r w:rsidRPr="00CE647D">
        <w:rPr>
          <w:rFonts w:ascii="Arial" w:hAnsi="Arial" w:cs="Arial"/>
          <w:sz w:val="24"/>
          <w:szCs w:val="24"/>
        </w:rPr>
        <w:t>.</w:t>
      </w:r>
    </w:p>
    <w:p w:rsidR="00B41E48" w:rsidRDefault="00B41E48" w:rsidP="00B41E48">
      <w:pPr>
        <w:spacing w:after="0" w:line="360" w:lineRule="auto"/>
        <w:jc w:val="both"/>
        <w:rPr>
          <w:rFonts w:ascii="Arial" w:hAnsi="Arial" w:cs="Arial"/>
          <w:sz w:val="24"/>
          <w:szCs w:val="24"/>
        </w:rPr>
      </w:pPr>
    </w:p>
    <w:p w:rsidR="00B41E48" w:rsidRDefault="00B41E48" w:rsidP="00B41E48">
      <w:pPr>
        <w:spacing w:after="0" w:line="360" w:lineRule="auto"/>
        <w:rPr>
          <w:rFonts w:ascii="Arial" w:hAnsi="Arial" w:cs="Arial"/>
          <w:sz w:val="24"/>
          <w:szCs w:val="24"/>
        </w:rPr>
      </w:pPr>
    </w:p>
    <w:sectPr w:rsidR="00B41E48" w:rsidSect="00F820FA">
      <w:footerReference w:type="default" r:id="rId9"/>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FA" w:rsidRDefault="00F820FA" w:rsidP="00F820FA">
      <w:pPr>
        <w:spacing w:after="0" w:line="240" w:lineRule="auto"/>
      </w:pPr>
      <w:r>
        <w:separator/>
      </w:r>
    </w:p>
  </w:endnote>
  <w:endnote w:type="continuationSeparator" w:id="0">
    <w:p w:rsidR="00F820FA" w:rsidRDefault="00F820FA" w:rsidP="00F82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923640"/>
      <w:docPartObj>
        <w:docPartGallery w:val="Page Numbers (Bottom of Page)"/>
        <w:docPartUnique/>
      </w:docPartObj>
    </w:sdtPr>
    <w:sdtContent>
      <w:p w:rsidR="00F820FA" w:rsidRDefault="00F820FA">
        <w:pPr>
          <w:pStyle w:val="Piedepgina"/>
          <w:jc w:val="center"/>
        </w:pPr>
        <w:r>
          <w:fldChar w:fldCharType="begin"/>
        </w:r>
        <w:r>
          <w:instrText>PAGE   \* MERGEFORMAT</w:instrText>
        </w:r>
        <w:r>
          <w:fldChar w:fldCharType="separate"/>
        </w:r>
        <w:r w:rsidRPr="00F820FA">
          <w:rPr>
            <w:noProof/>
            <w:lang w:val="es-ES"/>
          </w:rPr>
          <w:t>4</w:t>
        </w:r>
        <w:r>
          <w:fldChar w:fldCharType="end"/>
        </w:r>
      </w:p>
    </w:sdtContent>
  </w:sdt>
  <w:p w:rsidR="00F820FA" w:rsidRDefault="00F820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FA" w:rsidRDefault="00F820FA" w:rsidP="00F820FA">
      <w:pPr>
        <w:spacing w:after="0" w:line="240" w:lineRule="auto"/>
      </w:pPr>
      <w:r>
        <w:separator/>
      </w:r>
    </w:p>
  </w:footnote>
  <w:footnote w:type="continuationSeparator" w:id="0">
    <w:p w:rsidR="00F820FA" w:rsidRDefault="00F820FA" w:rsidP="00F82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B2"/>
    <w:rsid w:val="000318D3"/>
    <w:rsid w:val="0004352D"/>
    <w:rsid w:val="0005507B"/>
    <w:rsid w:val="0009249D"/>
    <w:rsid w:val="000A45BF"/>
    <w:rsid w:val="000A5E86"/>
    <w:rsid w:val="00100945"/>
    <w:rsid w:val="00130655"/>
    <w:rsid w:val="00141EFF"/>
    <w:rsid w:val="00175DF6"/>
    <w:rsid w:val="001814F5"/>
    <w:rsid w:val="001D23D0"/>
    <w:rsid w:val="00231791"/>
    <w:rsid w:val="00266D2A"/>
    <w:rsid w:val="00270C62"/>
    <w:rsid w:val="00271098"/>
    <w:rsid w:val="002E00F5"/>
    <w:rsid w:val="00315F2E"/>
    <w:rsid w:val="00326F69"/>
    <w:rsid w:val="00346709"/>
    <w:rsid w:val="00366062"/>
    <w:rsid w:val="0038572F"/>
    <w:rsid w:val="003865EB"/>
    <w:rsid w:val="00411B79"/>
    <w:rsid w:val="004138B7"/>
    <w:rsid w:val="004424F5"/>
    <w:rsid w:val="00454A8D"/>
    <w:rsid w:val="005102D8"/>
    <w:rsid w:val="00540D96"/>
    <w:rsid w:val="0054120D"/>
    <w:rsid w:val="00546500"/>
    <w:rsid w:val="00551F39"/>
    <w:rsid w:val="0057665D"/>
    <w:rsid w:val="00577DF5"/>
    <w:rsid w:val="005F0A97"/>
    <w:rsid w:val="006117B2"/>
    <w:rsid w:val="00636248"/>
    <w:rsid w:val="006407E2"/>
    <w:rsid w:val="00767A20"/>
    <w:rsid w:val="007B0663"/>
    <w:rsid w:val="007B21F6"/>
    <w:rsid w:val="008074DF"/>
    <w:rsid w:val="00812C29"/>
    <w:rsid w:val="00903906"/>
    <w:rsid w:val="0090713D"/>
    <w:rsid w:val="009208C8"/>
    <w:rsid w:val="009750E2"/>
    <w:rsid w:val="00990632"/>
    <w:rsid w:val="009A169C"/>
    <w:rsid w:val="009C2342"/>
    <w:rsid w:val="009D6D4C"/>
    <w:rsid w:val="00A931B7"/>
    <w:rsid w:val="00AE1A84"/>
    <w:rsid w:val="00B34DC3"/>
    <w:rsid w:val="00B3521E"/>
    <w:rsid w:val="00B41E48"/>
    <w:rsid w:val="00B908F2"/>
    <w:rsid w:val="00BA6A62"/>
    <w:rsid w:val="00BC064E"/>
    <w:rsid w:val="00C275CD"/>
    <w:rsid w:val="00C37DDF"/>
    <w:rsid w:val="00C60271"/>
    <w:rsid w:val="00CB498C"/>
    <w:rsid w:val="00CC1EE3"/>
    <w:rsid w:val="00CC5BD1"/>
    <w:rsid w:val="00D356DA"/>
    <w:rsid w:val="00E03439"/>
    <w:rsid w:val="00E37D93"/>
    <w:rsid w:val="00E938F2"/>
    <w:rsid w:val="00EB304D"/>
    <w:rsid w:val="00EC1490"/>
    <w:rsid w:val="00EC1E27"/>
    <w:rsid w:val="00EF55EC"/>
    <w:rsid w:val="00F820FA"/>
    <w:rsid w:val="00FA68C2"/>
    <w:rsid w:val="00FC4CC0"/>
    <w:rsid w:val="00FC55C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6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semiHidden/>
    <w:rsid w:val="00231791"/>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semiHidden/>
    <w:rsid w:val="00231791"/>
    <w:rPr>
      <w:rFonts w:ascii="Arial" w:eastAsia="Times New Roman" w:hAnsi="Arial" w:cs="Times New Roman"/>
      <w:bCs/>
      <w:sz w:val="24"/>
      <w:szCs w:val="20"/>
      <w:lang w:val="es-MX" w:eastAsia="es-ES"/>
    </w:rPr>
  </w:style>
  <w:style w:type="paragraph" w:styleId="Textodeglobo">
    <w:name w:val="Balloon Text"/>
    <w:basedOn w:val="Normal"/>
    <w:link w:val="TextodegloboCar"/>
    <w:uiPriority w:val="99"/>
    <w:semiHidden/>
    <w:unhideWhenUsed/>
    <w:rsid w:val="00454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A8D"/>
    <w:rPr>
      <w:rFonts w:ascii="Tahoma" w:hAnsi="Tahoma" w:cs="Tahoma"/>
      <w:sz w:val="16"/>
      <w:szCs w:val="16"/>
    </w:rPr>
  </w:style>
  <w:style w:type="paragraph" w:styleId="Encabezado">
    <w:name w:val="header"/>
    <w:basedOn w:val="Normal"/>
    <w:link w:val="EncabezadoCar"/>
    <w:uiPriority w:val="99"/>
    <w:unhideWhenUsed/>
    <w:rsid w:val="00F820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20FA"/>
  </w:style>
  <w:style w:type="paragraph" w:styleId="Piedepgina">
    <w:name w:val="footer"/>
    <w:basedOn w:val="Normal"/>
    <w:link w:val="PiedepginaCar"/>
    <w:uiPriority w:val="99"/>
    <w:unhideWhenUsed/>
    <w:rsid w:val="00F820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2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36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semiHidden/>
    <w:rsid w:val="00231791"/>
    <w:pPr>
      <w:spacing w:after="0" w:line="360" w:lineRule="auto"/>
      <w:jc w:val="both"/>
    </w:pPr>
    <w:rPr>
      <w:rFonts w:ascii="Arial" w:eastAsia="Times New Roman" w:hAnsi="Arial" w:cs="Times New Roman"/>
      <w:bCs/>
      <w:sz w:val="24"/>
      <w:szCs w:val="20"/>
      <w:lang w:val="es-MX" w:eastAsia="es-ES"/>
    </w:rPr>
  </w:style>
  <w:style w:type="character" w:customStyle="1" w:styleId="TextoindependienteCar">
    <w:name w:val="Texto independiente Car"/>
    <w:basedOn w:val="Fuentedeprrafopredeter"/>
    <w:link w:val="Textoindependiente"/>
    <w:semiHidden/>
    <w:rsid w:val="00231791"/>
    <w:rPr>
      <w:rFonts w:ascii="Arial" w:eastAsia="Times New Roman" w:hAnsi="Arial" w:cs="Times New Roman"/>
      <w:bCs/>
      <w:sz w:val="24"/>
      <w:szCs w:val="20"/>
      <w:lang w:val="es-MX" w:eastAsia="es-ES"/>
    </w:rPr>
  </w:style>
  <w:style w:type="paragraph" w:styleId="Textodeglobo">
    <w:name w:val="Balloon Text"/>
    <w:basedOn w:val="Normal"/>
    <w:link w:val="TextodegloboCar"/>
    <w:uiPriority w:val="99"/>
    <w:semiHidden/>
    <w:unhideWhenUsed/>
    <w:rsid w:val="00454A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A8D"/>
    <w:rPr>
      <w:rFonts w:ascii="Tahoma" w:hAnsi="Tahoma" w:cs="Tahoma"/>
      <w:sz w:val="16"/>
      <w:szCs w:val="16"/>
    </w:rPr>
  </w:style>
  <w:style w:type="paragraph" w:styleId="Encabezado">
    <w:name w:val="header"/>
    <w:basedOn w:val="Normal"/>
    <w:link w:val="EncabezadoCar"/>
    <w:uiPriority w:val="99"/>
    <w:unhideWhenUsed/>
    <w:rsid w:val="00F820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820FA"/>
  </w:style>
  <w:style w:type="paragraph" w:styleId="Piedepgina">
    <w:name w:val="footer"/>
    <w:basedOn w:val="Normal"/>
    <w:link w:val="PiedepginaCar"/>
    <w:uiPriority w:val="99"/>
    <w:unhideWhenUsed/>
    <w:rsid w:val="00F820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8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6ED0-63DE-41FC-92FD-8F16A45A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6632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3</cp:revision>
  <cp:lastPrinted>2016-06-16T16:12:00Z</cp:lastPrinted>
  <dcterms:created xsi:type="dcterms:W3CDTF">2016-06-16T16:14:00Z</dcterms:created>
  <dcterms:modified xsi:type="dcterms:W3CDTF">2016-06-17T17:44:00Z</dcterms:modified>
</cp:coreProperties>
</file>