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6C" w:rsidRPr="00786EEB" w:rsidRDefault="0077076C" w:rsidP="00786EEB">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2002</w:t>
      </w:r>
      <w:r w:rsidRPr="00786EEB">
        <w:rPr>
          <w:b/>
          <w:sz w:val="28"/>
          <w:szCs w:val="28"/>
          <w:lang w:val="es-ES_tradnl"/>
        </w:rPr>
        <w:t>/16</w:t>
      </w:r>
    </w:p>
    <w:p w:rsidR="0077076C" w:rsidRDefault="0077076C" w:rsidP="00786EEB">
      <w:pPr>
        <w:tabs>
          <w:tab w:val="center" w:pos="4253"/>
        </w:tabs>
        <w:suppressAutoHyphens/>
        <w:jc w:val="right"/>
        <w:rPr>
          <w:b/>
          <w:lang w:val="es-ES_tradnl"/>
        </w:rPr>
      </w:pPr>
    </w:p>
    <w:p w:rsidR="0077076C" w:rsidRPr="00762B34" w:rsidRDefault="0077076C">
      <w:pPr>
        <w:tabs>
          <w:tab w:val="center" w:pos="4253"/>
        </w:tabs>
        <w:suppressAutoHyphens/>
        <w:jc w:val="center"/>
        <w:rPr>
          <w:b/>
          <w:lang w:val="es-ES_tradnl"/>
        </w:rPr>
      </w:pPr>
      <w:r w:rsidRPr="00762B34">
        <w:rPr>
          <w:b/>
          <w:lang w:val="es-ES_tradnl"/>
        </w:rPr>
        <w:t>RESOLUCION ADOPTADA POR EL</w:t>
      </w:r>
    </w:p>
    <w:p w:rsidR="0077076C" w:rsidRPr="00762B34" w:rsidRDefault="0077076C">
      <w:pPr>
        <w:tabs>
          <w:tab w:val="left" w:pos="-720"/>
        </w:tabs>
        <w:suppressAutoHyphens/>
        <w:jc w:val="center"/>
        <w:rPr>
          <w:b/>
          <w:lang w:val="es-ES_tradnl"/>
        </w:rPr>
      </w:pPr>
    </w:p>
    <w:p w:rsidR="0077076C" w:rsidRPr="00762B34" w:rsidRDefault="0077076C">
      <w:pPr>
        <w:tabs>
          <w:tab w:val="center" w:pos="4253"/>
        </w:tabs>
        <w:suppressAutoHyphens/>
        <w:jc w:val="center"/>
        <w:rPr>
          <w:b/>
          <w:lang w:val="es-ES_tradnl"/>
        </w:rPr>
      </w:pPr>
      <w:r w:rsidRPr="00762B34">
        <w:rPr>
          <w:b/>
          <w:lang w:val="es-ES_tradnl"/>
        </w:rPr>
        <w:t>TRIBUNAL DE CUENTAS</w:t>
      </w:r>
    </w:p>
    <w:p w:rsidR="0077076C" w:rsidRPr="00762B34" w:rsidRDefault="0077076C">
      <w:pPr>
        <w:tabs>
          <w:tab w:val="left" w:pos="-720"/>
        </w:tabs>
        <w:suppressAutoHyphens/>
        <w:jc w:val="center"/>
        <w:rPr>
          <w:b/>
          <w:lang w:val="es-ES_tradnl"/>
        </w:rPr>
      </w:pPr>
    </w:p>
    <w:p w:rsidR="0077076C" w:rsidRPr="00762B34" w:rsidRDefault="0077076C">
      <w:pPr>
        <w:tabs>
          <w:tab w:val="center" w:pos="4253"/>
        </w:tabs>
        <w:suppressAutoHyphens/>
        <w:jc w:val="center"/>
        <w:rPr>
          <w:b/>
          <w:lang w:val="es-ES_tradnl"/>
        </w:rPr>
      </w:pPr>
      <w:r w:rsidRPr="00762B34">
        <w:rPr>
          <w:b/>
          <w:lang w:val="es-ES_tradnl"/>
        </w:rPr>
        <w:t xml:space="preserve">EN SESION DE FECHA </w:t>
      </w:r>
      <w:r>
        <w:rPr>
          <w:b/>
          <w:lang w:val="es-ES_tradnl"/>
        </w:rPr>
        <w:t>8</w:t>
      </w:r>
      <w:r>
        <w:rPr>
          <w:rFonts w:ascii="Helvetica" w:hAnsi="Helvetica"/>
          <w:b/>
          <w:lang w:val="es-ES_tradnl"/>
        </w:rPr>
        <w:t xml:space="preserve"> DE JUNIO DE 2016</w:t>
      </w:r>
    </w:p>
    <w:p w:rsidR="0077076C" w:rsidRPr="00762B34" w:rsidRDefault="0077076C">
      <w:pPr>
        <w:tabs>
          <w:tab w:val="center" w:pos="4253"/>
        </w:tabs>
        <w:suppressAutoHyphens/>
        <w:jc w:val="center"/>
        <w:rPr>
          <w:b/>
          <w:lang w:val="es-ES_tradnl"/>
        </w:rPr>
      </w:pPr>
    </w:p>
    <w:p w:rsidR="0077076C" w:rsidRPr="00211C14" w:rsidRDefault="0077076C">
      <w:pPr>
        <w:tabs>
          <w:tab w:val="center" w:pos="4253"/>
        </w:tabs>
        <w:suppressAutoHyphens/>
        <w:jc w:val="center"/>
        <w:rPr>
          <w:b/>
          <w:lang w:val="es-AR"/>
        </w:rPr>
      </w:pPr>
      <w:r w:rsidRPr="00211C14">
        <w:rPr>
          <w:b/>
          <w:lang w:val="es-AR"/>
        </w:rPr>
        <w:t>(E. E. Nº 2016-17-1-0003274, Ent. N° 2504/16)</w:t>
      </w:r>
    </w:p>
    <w:p w:rsidR="0077076C" w:rsidRPr="00211C14" w:rsidRDefault="0077076C">
      <w:pPr>
        <w:tabs>
          <w:tab w:val="center" w:pos="4253"/>
        </w:tabs>
        <w:suppressAutoHyphens/>
        <w:jc w:val="center"/>
        <w:rPr>
          <w:rFonts w:ascii="Helvetica" w:hAnsi="Helvetica"/>
          <w:b/>
          <w:lang w:val="es-AR"/>
        </w:rPr>
      </w:pPr>
    </w:p>
    <w:p w:rsidR="0077076C" w:rsidRDefault="006F2430" w:rsidP="0077076C">
      <w:pPr>
        <w:spacing w:line="360" w:lineRule="auto"/>
        <w:ind w:firstLine="851"/>
        <w:jc w:val="both"/>
        <w:rPr>
          <w:lang w:val="es-MX"/>
        </w:rPr>
      </w:pPr>
      <w:r>
        <w:rPr>
          <w:b/>
          <w:bCs/>
        </w:rPr>
        <w:t>VISTO:</w:t>
      </w:r>
      <w:r>
        <w:t xml:space="preserve"> las actuaciones remitidas por la Administración Nacional de Educación Pública </w:t>
      </w:r>
      <w:r>
        <w:rPr>
          <w:lang w:val="es-MX"/>
        </w:rPr>
        <w:t>– Consejo de Educación Inicial y Primaria, relacionadas con la Licitación Pública N° 02/2016, convocada para la compra de mobiliario escolar para los centros del CEIP;</w:t>
      </w:r>
    </w:p>
    <w:p w:rsidR="0077076C" w:rsidRDefault="006F2430" w:rsidP="0077076C">
      <w:pPr>
        <w:spacing w:line="360" w:lineRule="auto"/>
        <w:ind w:firstLine="851"/>
        <w:jc w:val="both"/>
        <w:rPr>
          <w:lang w:val="es-MX"/>
        </w:rPr>
      </w:pPr>
      <w:r>
        <w:rPr>
          <w:b/>
          <w:bCs/>
          <w:lang w:val="es-MX"/>
        </w:rPr>
        <w:t>RESULTANDO:</w:t>
      </w:r>
      <w:r w:rsidR="0077076C">
        <w:rPr>
          <w:b/>
          <w:bCs/>
          <w:lang w:val="es-MX"/>
        </w:rPr>
        <w:t xml:space="preserve"> </w:t>
      </w:r>
      <w:r>
        <w:rPr>
          <w:b/>
          <w:bCs/>
          <w:lang w:val="es-MX"/>
        </w:rPr>
        <w:t>1)</w:t>
      </w:r>
      <w:r>
        <w:rPr>
          <w:lang w:val="es-MX"/>
        </w:rPr>
        <w:t xml:space="preserve"> que por Resolución N°</w:t>
      </w:r>
      <w:r w:rsidR="0077076C">
        <w:rPr>
          <w:lang w:val="es-MX"/>
        </w:rPr>
        <w:t xml:space="preserve"> </w:t>
      </w:r>
      <w:r>
        <w:rPr>
          <w:lang w:val="es-MX"/>
        </w:rPr>
        <w:t>1 de fecha 16.02.16, el Consejo de Educación Inicial y Primaria aprobó el Pliego de Condiciones Particul</w:t>
      </w:r>
      <w:r w:rsidR="0077076C">
        <w:rPr>
          <w:lang w:val="es-MX"/>
        </w:rPr>
        <w:t>ares y dispuso el llamado a la L</w:t>
      </w:r>
      <w:r>
        <w:rPr>
          <w:lang w:val="es-MX"/>
        </w:rPr>
        <w:t>icitación de referencia;</w:t>
      </w:r>
    </w:p>
    <w:p w:rsidR="0077076C" w:rsidRDefault="006F2430" w:rsidP="0077076C">
      <w:pPr>
        <w:spacing w:line="360" w:lineRule="auto"/>
        <w:ind w:firstLine="2694"/>
        <w:jc w:val="both"/>
        <w:rPr>
          <w:lang w:val="es-UY"/>
        </w:rPr>
      </w:pPr>
      <w:r>
        <w:rPr>
          <w:b/>
          <w:bCs/>
        </w:rPr>
        <w:t xml:space="preserve">2) </w:t>
      </w:r>
      <w:r>
        <w:t>que cumplido el requisito legal de publicidad, el 30.03.16 se realizó la apertura electrónica de las ofertas recibidas, presentándose d</w:t>
      </w:r>
      <w:r w:rsidR="0077076C">
        <w:t>iecisiete oferentes: Badana S.A., Dremico S.A.,</w:t>
      </w:r>
      <w:r>
        <w:t xml:space="preserve"> Fra</w:t>
      </w:r>
      <w:r w:rsidR="0077076C">
        <w:t>ma S.R.L., Fumaya S.A.,</w:t>
      </w:r>
      <w:r>
        <w:t xml:space="preserve"> In</w:t>
      </w:r>
      <w:r w:rsidR="0077076C">
        <w:t>dustrias Forestales Arazatí S.A.,</w:t>
      </w:r>
      <w:r>
        <w:t xml:space="preserve"> Menasol </w:t>
      </w:r>
      <w:r w:rsidR="0077076C">
        <w:t>S.A., Metalúrgica del Esta Ltda., Nicolás De Marco y Cía., Nogali S.A., Oderzul S.A., Pri &amp; Asociados S.R.L., Prontometal S.A., Salgado Benito, Siteb Ltda., Tamecas S.R.L.,</w:t>
      </w:r>
      <w:r>
        <w:t xml:space="preserve"> </w:t>
      </w:r>
      <w:r w:rsidR="0077076C">
        <w:rPr>
          <w:lang w:val="es-UY"/>
        </w:rPr>
        <w:t>Taxton S.A.,</w:t>
      </w:r>
      <w:r>
        <w:rPr>
          <w:lang w:val="es-UY"/>
        </w:rPr>
        <w:t xml:space="preserve"> Walter Hugo S.A</w:t>
      </w:r>
      <w:r w:rsidR="0077076C">
        <w:rPr>
          <w:lang w:val="es-UY"/>
        </w:rPr>
        <w:t>.</w:t>
      </w:r>
      <w:r>
        <w:rPr>
          <w:lang w:val="es-UY"/>
        </w:rPr>
        <w:t xml:space="preserve"> (Ufficio Equipamientos);</w:t>
      </w:r>
    </w:p>
    <w:p w:rsidR="0077076C" w:rsidRDefault="006F2430" w:rsidP="0077076C">
      <w:pPr>
        <w:spacing w:line="360" w:lineRule="auto"/>
        <w:ind w:firstLine="2694"/>
        <w:jc w:val="both"/>
        <w:rPr>
          <w:lang w:val="es-UY"/>
        </w:rPr>
      </w:pPr>
      <w:r>
        <w:rPr>
          <w:b/>
          <w:bCs/>
          <w:lang w:val="es-UY"/>
        </w:rPr>
        <w:t>3)</w:t>
      </w:r>
      <w:r>
        <w:rPr>
          <w:lang w:val="es-UY"/>
        </w:rPr>
        <w:t xml:space="preserve"> que con fecha 07.04.16, la Asesoría de Compras y Licitaciones dejó constancia de que todas las firmas presentadas se encuentran en estado activo en RUPE y, asimismo, informó que fueron rechazadas las propuestas de las siguientes firmas: Frama S.R.L</w:t>
      </w:r>
      <w:r w:rsidR="0077076C">
        <w:rPr>
          <w:lang w:val="es-UY"/>
        </w:rPr>
        <w:t>.</w:t>
      </w:r>
      <w:r>
        <w:rPr>
          <w:lang w:val="es-UY"/>
        </w:rPr>
        <w:t xml:space="preserve"> en los renglones 6, 7, 8, 9 y 13, por no haber presentado muestra de los mismos y padecer un error en su cotización; Pri &amp; Asociados, por presentar una muestra distinta al bien ofertado; y Siteb Ltda. y Walter Hugo S.A (Ufficio </w:t>
      </w:r>
      <w:r>
        <w:rPr>
          <w:lang w:val="es-UY"/>
        </w:rPr>
        <w:lastRenderedPageBreak/>
        <w:t>Equipamientos), por no haber pres</w:t>
      </w:r>
      <w:r w:rsidR="0077076C">
        <w:rPr>
          <w:lang w:val="es-UY"/>
        </w:rPr>
        <w:t>entado muestras, de acuerdo al A</w:t>
      </w:r>
      <w:r>
        <w:rPr>
          <w:lang w:val="es-UY"/>
        </w:rPr>
        <w:t>rtículo 1 del Pliego de Condiciones Particulares;</w:t>
      </w:r>
    </w:p>
    <w:p w:rsidR="0077076C" w:rsidRDefault="006F2430" w:rsidP="0077076C">
      <w:pPr>
        <w:spacing w:line="360" w:lineRule="auto"/>
        <w:ind w:firstLine="2694"/>
        <w:jc w:val="both"/>
        <w:rPr>
          <w:lang w:val="es-UY"/>
        </w:rPr>
      </w:pPr>
      <w:r>
        <w:rPr>
          <w:b/>
          <w:bCs/>
          <w:lang w:val="es-UY"/>
        </w:rPr>
        <w:t>4)</w:t>
      </w:r>
      <w:r>
        <w:rPr>
          <w:lang w:val="es-UY"/>
        </w:rPr>
        <w:t xml:space="preserve"> que el 12.04.16 se procedió a la evaluación técnica de las muestras recibidas, en relación al estudio </w:t>
      </w:r>
      <w:r w:rsidR="0077076C">
        <w:rPr>
          <w:lang w:val="es-UY"/>
        </w:rPr>
        <w:t>del factor 1 (calidad) en cada i</w:t>
      </w:r>
      <w:r>
        <w:rPr>
          <w:lang w:val="es-UY"/>
        </w:rPr>
        <w:t>tem cotizado. El 14.04.16 la Comisión Asesora de Adjudicaciones informó que las firmas Metalúrgica del Este Ltda. Y Oderzul S.A</w:t>
      </w:r>
      <w:r w:rsidR="0077076C">
        <w:rPr>
          <w:lang w:val="es-UY"/>
        </w:rPr>
        <w:t>.</w:t>
      </w:r>
      <w:r>
        <w:rPr>
          <w:lang w:val="es-UY"/>
        </w:rPr>
        <w:t xml:space="preserve"> obtuvieron un mis</w:t>
      </w:r>
      <w:r w:rsidR="0077076C">
        <w:rPr>
          <w:lang w:val="es-UY"/>
        </w:rPr>
        <w:t>mo puntaje total de 1,95 en el i</w:t>
      </w:r>
      <w:r>
        <w:rPr>
          <w:lang w:val="es-UY"/>
        </w:rPr>
        <w:t>tem 2, no obstante, recomendó adjudicar a la segunda, atendiendo a la diferencia de precio entre sus propuestas y solicitó invitar a Taxton S.A</w:t>
      </w:r>
      <w:r w:rsidR="0077076C">
        <w:rPr>
          <w:lang w:val="es-UY"/>
        </w:rPr>
        <w:t>.</w:t>
      </w:r>
      <w:r>
        <w:rPr>
          <w:lang w:val="es-UY"/>
        </w:rPr>
        <w:t xml:space="preserve"> a me</w:t>
      </w:r>
      <w:r w:rsidR="0077076C">
        <w:rPr>
          <w:lang w:val="es-UY"/>
        </w:rPr>
        <w:t>jorar su oferta en relación al i</w:t>
      </w:r>
      <w:r>
        <w:rPr>
          <w:lang w:val="es-UY"/>
        </w:rPr>
        <w:t>tem 10;</w:t>
      </w:r>
    </w:p>
    <w:p w:rsidR="006F2430" w:rsidRDefault="006F2430" w:rsidP="0077076C">
      <w:pPr>
        <w:spacing w:line="360" w:lineRule="auto"/>
        <w:ind w:firstLine="2694"/>
        <w:jc w:val="both"/>
        <w:rPr>
          <w:u w:val="single"/>
        </w:rPr>
      </w:pPr>
      <w:r>
        <w:rPr>
          <w:b/>
          <w:bCs/>
          <w:lang w:val="es-UY"/>
        </w:rPr>
        <w:t xml:space="preserve">5) </w:t>
      </w:r>
      <w:r>
        <w:rPr>
          <w:lang w:val="es-UY"/>
        </w:rPr>
        <w:t>que, teniendo en cuenta la mejora presentada por Taxton S.A el 19.04.16, la Comisión Asesora de Adjudicaciones recomendó adjudicar de la siguiente manera:</w:t>
      </w:r>
    </w:p>
    <w:tbl>
      <w:tblPr>
        <w:tblW w:w="87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985"/>
        <w:gridCol w:w="1771"/>
        <w:gridCol w:w="1766"/>
        <w:gridCol w:w="1751"/>
      </w:tblGrid>
      <w:tr w:rsidR="006F2430">
        <w:trPr>
          <w:trHeight w:val="717"/>
        </w:trPr>
        <w:tc>
          <w:tcPr>
            <w:tcW w:w="1526" w:type="dxa"/>
            <w:vAlign w:val="center"/>
          </w:tcPr>
          <w:p w:rsidR="006F2430" w:rsidRDefault="006F2430">
            <w:pPr>
              <w:pStyle w:val="Textoindependiente"/>
              <w:jc w:val="center"/>
              <w:rPr>
                <w:b/>
                <w:bCs/>
                <w:sz w:val="20"/>
                <w:szCs w:val="20"/>
                <w:lang w:val="es-UY"/>
              </w:rPr>
            </w:pPr>
            <w:r>
              <w:rPr>
                <w:b/>
                <w:bCs/>
                <w:sz w:val="20"/>
                <w:szCs w:val="20"/>
                <w:lang w:val="es-UY"/>
              </w:rPr>
              <w:t>RENGLÓN N°</w:t>
            </w:r>
          </w:p>
        </w:tc>
        <w:tc>
          <w:tcPr>
            <w:tcW w:w="1985" w:type="dxa"/>
            <w:vAlign w:val="center"/>
          </w:tcPr>
          <w:p w:rsidR="006F2430" w:rsidRDefault="006F2430">
            <w:pPr>
              <w:pStyle w:val="Textoindependiente"/>
              <w:jc w:val="center"/>
              <w:rPr>
                <w:b/>
                <w:bCs/>
                <w:sz w:val="20"/>
                <w:szCs w:val="20"/>
                <w:lang w:val="es-UY"/>
              </w:rPr>
            </w:pPr>
            <w:r>
              <w:rPr>
                <w:b/>
                <w:bCs/>
                <w:sz w:val="20"/>
                <w:szCs w:val="20"/>
                <w:lang w:val="es-UY"/>
              </w:rPr>
              <w:t>FIRMA</w:t>
            </w:r>
          </w:p>
        </w:tc>
        <w:tc>
          <w:tcPr>
            <w:tcW w:w="1771" w:type="dxa"/>
            <w:vAlign w:val="center"/>
          </w:tcPr>
          <w:p w:rsidR="006F2430" w:rsidRDefault="006F2430">
            <w:pPr>
              <w:pStyle w:val="Textoindependiente"/>
              <w:jc w:val="center"/>
              <w:rPr>
                <w:b/>
                <w:bCs/>
                <w:sz w:val="20"/>
                <w:szCs w:val="20"/>
                <w:lang w:val="es-UY"/>
              </w:rPr>
            </w:pPr>
            <w:r>
              <w:rPr>
                <w:b/>
                <w:bCs/>
                <w:sz w:val="20"/>
                <w:szCs w:val="20"/>
                <w:lang w:val="es-UY"/>
              </w:rPr>
              <w:t>CANTIDAD HASTA</w:t>
            </w:r>
          </w:p>
        </w:tc>
        <w:tc>
          <w:tcPr>
            <w:tcW w:w="1766" w:type="dxa"/>
            <w:vAlign w:val="center"/>
          </w:tcPr>
          <w:p w:rsidR="006F2430" w:rsidRDefault="006F2430">
            <w:pPr>
              <w:pStyle w:val="Textoindependiente"/>
              <w:jc w:val="center"/>
              <w:rPr>
                <w:b/>
                <w:bCs/>
                <w:sz w:val="20"/>
                <w:szCs w:val="20"/>
                <w:lang w:val="es-UY"/>
              </w:rPr>
            </w:pPr>
            <w:r>
              <w:rPr>
                <w:b/>
                <w:bCs/>
                <w:sz w:val="20"/>
                <w:szCs w:val="20"/>
                <w:lang w:val="es-UY"/>
              </w:rPr>
              <w:t>PRECIO UNITARIO U$S</w:t>
            </w:r>
          </w:p>
        </w:tc>
        <w:tc>
          <w:tcPr>
            <w:tcW w:w="1751" w:type="dxa"/>
            <w:vAlign w:val="center"/>
          </w:tcPr>
          <w:p w:rsidR="006F2430" w:rsidRDefault="006F2430">
            <w:pPr>
              <w:pStyle w:val="Textoindependiente"/>
              <w:jc w:val="center"/>
              <w:rPr>
                <w:b/>
                <w:bCs/>
                <w:sz w:val="20"/>
                <w:szCs w:val="20"/>
                <w:lang w:val="es-UY"/>
              </w:rPr>
            </w:pPr>
            <w:r>
              <w:rPr>
                <w:b/>
                <w:bCs/>
                <w:sz w:val="20"/>
                <w:szCs w:val="20"/>
                <w:lang w:val="es-UY"/>
              </w:rPr>
              <w:t>MONTO TOTAL U$S</w:t>
            </w:r>
          </w:p>
        </w:tc>
      </w:tr>
      <w:tr w:rsidR="006F2430">
        <w:trPr>
          <w:trHeight w:val="343"/>
        </w:trPr>
        <w:tc>
          <w:tcPr>
            <w:tcW w:w="1526" w:type="dxa"/>
            <w:vAlign w:val="center"/>
          </w:tcPr>
          <w:p w:rsidR="006F2430" w:rsidRDefault="006F2430">
            <w:pPr>
              <w:pStyle w:val="Textoindependiente"/>
              <w:jc w:val="center"/>
              <w:rPr>
                <w:sz w:val="20"/>
                <w:szCs w:val="20"/>
                <w:lang w:val="es-UY"/>
              </w:rPr>
            </w:pPr>
            <w:r>
              <w:rPr>
                <w:sz w:val="20"/>
                <w:szCs w:val="20"/>
                <w:lang w:val="es-UY"/>
              </w:rPr>
              <w:t>1</w:t>
            </w:r>
          </w:p>
        </w:tc>
        <w:tc>
          <w:tcPr>
            <w:tcW w:w="1985" w:type="dxa"/>
            <w:vAlign w:val="center"/>
          </w:tcPr>
          <w:p w:rsidR="006F2430" w:rsidRDefault="006F2430">
            <w:pPr>
              <w:pStyle w:val="Textoindependiente"/>
              <w:jc w:val="center"/>
              <w:rPr>
                <w:sz w:val="20"/>
                <w:szCs w:val="20"/>
                <w:lang w:val="es-UY"/>
              </w:rPr>
            </w:pPr>
            <w:r>
              <w:rPr>
                <w:sz w:val="20"/>
                <w:szCs w:val="20"/>
                <w:lang w:val="es-UY"/>
              </w:rPr>
              <w:t>Prontometal  S.A</w:t>
            </w:r>
          </w:p>
        </w:tc>
        <w:tc>
          <w:tcPr>
            <w:tcW w:w="1771" w:type="dxa"/>
            <w:vAlign w:val="center"/>
          </w:tcPr>
          <w:p w:rsidR="006F2430" w:rsidRDefault="006F2430">
            <w:pPr>
              <w:pStyle w:val="Textoindependiente"/>
              <w:jc w:val="center"/>
              <w:rPr>
                <w:sz w:val="20"/>
                <w:szCs w:val="20"/>
                <w:lang w:val="es-UY"/>
              </w:rPr>
            </w:pPr>
            <w:r>
              <w:rPr>
                <w:sz w:val="20"/>
                <w:szCs w:val="20"/>
                <w:lang w:val="es-UY"/>
              </w:rPr>
              <w:t>500</w:t>
            </w:r>
          </w:p>
        </w:tc>
        <w:tc>
          <w:tcPr>
            <w:tcW w:w="1766" w:type="dxa"/>
            <w:vAlign w:val="center"/>
          </w:tcPr>
          <w:p w:rsidR="006F2430" w:rsidRDefault="006F2430">
            <w:pPr>
              <w:pStyle w:val="Textoindependiente"/>
              <w:jc w:val="center"/>
              <w:rPr>
                <w:sz w:val="20"/>
                <w:szCs w:val="20"/>
                <w:lang w:val="es-UY"/>
              </w:rPr>
            </w:pPr>
            <w:r>
              <w:rPr>
                <w:sz w:val="20"/>
                <w:szCs w:val="20"/>
                <w:lang w:val="es-UY"/>
              </w:rPr>
              <w:t>189,71</w:t>
            </w:r>
          </w:p>
        </w:tc>
        <w:tc>
          <w:tcPr>
            <w:tcW w:w="1751" w:type="dxa"/>
            <w:vAlign w:val="center"/>
          </w:tcPr>
          <w:p w:rsidR="006F2430" w:rsidRDefault="006F2430">
            <w:pPr>
              <w:pStyle w:val="Textoindependiente"/>
              <w:jc w:val="center"/>
              <w:rPr>
                <w:sz w:val="20"/>
                <w:szCs w:val="20"/>
                <w:lang w:val="es-UY"/>
              </w:rPr>
            </w:pPr>
            <w:r>
              <w:rPr>
                <w:sz w:val="20"/>
                <w:szCs w:val="20"/>
                <w:lang w:val="es-UY"/>
              </w:rPr>
              <w:t>94.855</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2</w:t>
            </w:r>
          </w:p>
        </w:tc>
        <w:tc>
          <w:tcPr>
            <w:tcW w:w="1985" w:type="dxa"/>
            <w:vAlign w:val="center"/>
          </w:tcPr>
          <w:p w:rsidR="006F2430" w:rsidRDefault="006F2430">
            <w:pPr>
              <w:pStyle w:val="Textoindependiente"/>
              <w:jc w:val="center"/>
              <w:rPr>
                <w:sz w:val="20"/>
                <w:szCs w:val="20"/>
                <w:lang w:val="es-UY"/>
              </w:rPr>
            </w:pPr>
            <w:r>
              <w:rPr>
                <w:sz w:val="20"/>
                <w:szCs w:val="20"/>
                <w:lang w:val="es-UY"/>
              </w:rPr>
              <w:t>Oderzul S.A</w:t>
            </w:r>
          </w:p>
        </w:tc>
        <w:tc>
          <w:tcPr>
            <w:tcW w:w="1771" w:type="dxa"/>
            <w:vAlign w:val="center"/>
          </w:tcPr>
          <w:p w:rsidR="006F2430" w:rsidRDefault="006F2430">
            <w:pPr>
              <w:pStyle w:val="Textoindependiente"/>
              <w:jc w:val="center"/>
              <w:rPr>
                <w:sz w:val="20"/>
                <w:szCs w:val="20"/>
                <w:lang w:val="es-UY"/>
              </w:rPr>
            </w:pPr>
            <w:r>
              <w:rPr>
                <w:sz w:val="20"/>
                <w:szCs w:val="20"/>
                <w:lang w:val="es-UY"/>
              </w:rPr>
              <w:t>250</w:t>
            </w:r>
          </w:p>
        </w:tc>
        <w:tc>
          <w:tcPr>
            <w:tcW w:w="1766" w:type="dxa"/>
            <w:vAlign w:val="center"/>
          </w:tcPr>
          <w:p w:rsidR="006F2430" w:rsidRDefault="006F2430">
            <w:pPr>
              <w:pStyle w:val="Textoindependiente"/>
              <w:jc w:val="center"/>
              <w:rPr>
                <w:sz w:val="20"/>
                <w:szCs w:val="20"/>
                <w:lang w:val="es-UY"/>
              </w:rPr>
            </w:pPr>
            <w:r>
              <w:rPr>
                <w:sz w:val="20"/>
                <w:szCs w:val="20"/>
                <w:lang w:val="es-UY"/>
              </w:rPr>
              <w:t>90,28</w:t>
            </w:r>
          </w:p>
        </w:tc>
        <w:tc>
          <w:tcPr>
            <w:tcW w:w="1751" w:type="dxa"/>
            <w:vAlign w:val="center"/>
          </w:tcPr>
          <w:p w:rsidR="006F2430" w:rsidRDefault="006F2430">
            <w:pPr>
              <w:pStyle w:val="Textoindependiente"/>
              <w:jc w:val="center"/>
              <w:rPr>
                <w:sz w:val="20"/>
                <w:szCs w:val="20"/>
                <w:lang w:val="es-UY"/>
              </w:rPr>
            </w:pPr>
            <w:r>
              <w:rPr>
                <w:sz w:val="20"/>
                <w:szCs w:val="20"/>
                <w:lang w:val="es-UY"/>
              </w:rPr>
              <w:t>22.570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3</w:t>
            </w:r>
          </w:p>
        </w:tc>
        <w:tc>
          <w:tcPr>
            <w:tcW w:w="1985" w:type="dxa"/>
            <w:vAlign w:val="center"/>
          </w:tcPr>
          <w:p w:rsidR="006F2430" w:rsidRDefault="006F2430">
            <w:pPr>
              <w:pStyle w:val="Textoindependiente"/>
              <w:jc w:val="center"/>
              <w:rPr>
                <w:sz w:val="20"/>
                <w:szCs w:val="20"/>
                <w:lang w:val="es-UY"/>
              </w:rPr>
            </w:pPr>
            <w:r>
              <w:rPr>
                <w:sz w:val="20"/>
                <w:szCs w:val="20"/>
                <w:lang w:val="es-UY"/>
              </w:rPr>
              <w:t>Tameca S.R.L</w:t>
            </w:r>
          </w:p>
        </w:tc>
        <w:tc>
          <w:tcPr>
            <w:tcW w:w="1771" w:type="dxa"/>
            <w:vAlign w:val="center"/>
          </w:tcPr>
          <w:p w:rsidR="006F2430" w:rsidRDefault="006F2430">
            <w:pPr>
              <w:pStyle w:val="Textoindependiente"/>
              <w:jc w:val="center"/>
              <w:rPr>
                <w:sz w:val="20"/>
                <w:szCs w:val="20"/>
                <w:lang w:val="es-UY"/>
              </w:rPr>
            </w:pPr>
            <w:r>
              <w:rPr>
                <w:sz w:val="20"/>
                <w:szCs w:val="20"/>
                <w:lang w:val="es-UY"/>
              </w:rPr>
              <w:t>500</w:t>
            </w:r>
          </w:p>
        </w:tc>
        <w:tc>
          <w:tcPr>
            <w:tcW w:w="1766" w:type="dxa"/>
            <w:vAlign w:val="center"/>
          </w:tcPr>
          <w:p w:rsidR="006F2430" w:rsidRDefault="006F2430">
            <w:pPr>
              <w:pStyle w:val="Textoindependiente"/>
              <w:jc w:val="center"/>
              <w:rPr>
                <w:sz w:val="20"/>
                <w:szCs w:val="20"/>
                <w:lang w:val="es-UY"/>
              </w:rPr>
            </w:pPr>
            <w:r>
              <w:rPr>
                <w:sz w:val="20"/>
                <w:szCs w:val="20"/>
                <w:lang w:val="es-UY"/>
              </w:rPr>
              <w:t>42,80</w:t>
            </w:r>
          </w:p>
        </w:tc>
        <w:tc>
          <w:tcPr>
            <w:tcW w:w="1751" w:type="dxa"/>
            <w:vAlign w:val="center"/>
          </w:tcPr>
          <w:p w:rsidR="006F2430" w:rsidRDefault="006F2430">
            <w:pPr>
              <w:pStyle w:val="Textoindependiente"/>
              <w:jc w:val="center"/>
              <w:rPr>
                <w:sz w:val="20"/>
                <w:szCs w:val="20"/>
                <w:lang w:val="es-UY"/>
              </w:rPr>
            </w:pPr>
            <w:r>
              <w:rPr>
                <w:sz w:val="20"/>
                <w:szCs w:val="20"/>
                <w:lang w:val="es-UY"/>
              </w:rPr>
              <w:t>21.400</w:t>
            </w:r>
          </w:p>
        </w:tc>
      </w:tr>
      <w:tr w:rsidR="006F2430">
        <w:trPr>
          <w:trHeight w:val="343"/>
        </w:trPr>
        <w:tc>
          <w:tcPr>
            <w:tcW w:w="1526" w:type="dxa"/>
            <w:vAlign w:val="center"/>
          </w:tcPr>
          <w:p w:rsidR="006F2430" w:rsidRDefault="006F2430">
            <w:pPr>
              <w:pStyle w:val="Textoindependiente"/>
              <w:jc w:val="center"/>
              <w:rPr>
                <w:sz w:val="20"/>
                <w:szCs w:val="20"/>
                <w:lang w:val="es-UY"/>
              </w:rPr>
            </w:pPr>
            <w:r>
              <w:rPr>
                <w:sz w:val="20"/>
                <w:szCs w:val="20"/>
                <w:lang w:val="es-UY"/>
              </w:rPr>
              <w:t>4</w:t>
            </w:r>
          </w:p>
        </w:tc>
        <w:tc>
          <w:tcPr>
            <w:tcW w:w="1985" w:type="dxa"/>
            <w:vAlign w:val="center"/>
          </w:tcPr>
          <w:p w:rsidR="006F2430" w:rsidRDefault="006F2430">
            <w:pPr>
              <w:pStyle w:val="Textoindependiente"/>
              <w:jc w:val="center"/>
              <w:rPr>
                <w:sz w:val="20"/>
                <w:szCs w:val="20"/>
                <w:lang w:val="es-UY"/>
              </w:rPr>
            </w:pPr>
            <w:r>
              <w:rPr>
                <w:sz w:val="20"/>
                <w:szCs w:val="20"/>
                <w:lang w:val="es-UY"/>
              </w:rPr>
              <w:t>Tameca S.R.L</w:t>
            </w:r>
          </w:p>
        </w:tc>
        <w:tc>
          <w:tcPr>
            <w:tcW w:w="1771" w:type="dxa"/>
            <w:vAlign w:val="center"/>
          </w:tcPr>
          <w:p w:rsidR="006F2430" w:rsidRDefault="006F2430">
            <w:pPr>
              <w:pStyle w:val="Textoindependiente"/>
              <w:jc w:val="center"/>
              <w:rPr>
                <w:sz w:val="20"/>
                <w:szCs w:val="20"/>
                <w:lang w:val="es-UY"/>
              </w:rPr>
            </w:pPr>
            <w:r>
              <w:rPr>
                <w:sz w:val="20"/>
                <w:szCs w:val="20"/>
                <w:lang w:val="es-UY"/>
              </w:rPr>
              <w:t>4000</w:t>
            </w:r>
          </w:p>
        </w:tc>
        <w:tc>
          <w:tcPr>
            <w:tcW w:w="1766" w:type="dxa"/>
            <w:vAlign w:val="center"/>
          </w:tcPr>
          <w:p w:rsidR="006F2430" w:rsidRDefault="006F2430">
            <w:pPr>
              <w:pStyle w:val="Textoindependiente"/>
              <w:jc w:val="center"/>
              <w:rPr>
                <w:sz w:val="20"/>
                <w:szCs w:val="20"/>
                <w:lang w:val="es-UY"/>
              </w:rPr>
            </w:pPr>
            <w:r>
              <w:rPr>
                <w:sz w:val="20"/>
                <w:szCs w:val="20"/>
                <w:lang w:val="es-UY"/>
              </w:rPr>
              <w:t>33,55</w:t>
            </w:r>
          </w:p>
        </w:tc>
        <w:tc>
          <w:tcPr>
            <w:tcW w:w="1751" w:type="dxa"/>
            <w:vAlign w:val="center"/>
          </w:tcPr>
          <w:p w:rsidR="006F2430" w:rsidRDefault="006F2430">
            <w:pPr>
              <w:pStyle w:val="Textoindependiente"/>
              <w:jc w:val="center"/>
              <w:rPr>
                <w:sz w:val="20"/>
                <w:szCs w:val="20"/>
                <w:lang w:val="es-UY"/>
              </w:rPr>
            </w:pPr>
            <w:r>
              <w:rPr>
                <w:sz w:val="20"/>
                <w:szCs w:val="20"/>
                <w:lang w:val="es-UY"/>
              </w:rPr>
              <w:t>134.200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5</w:t>
            </w:r>
          </w:p>
        </w:tc>
        <w:tc>
          <w:tcPr>
            <w:tcW w:w="1985" w:type="dxa"/>
            <w:vAlign w:val="center"/>
          </w:tcPr>
          <w:p w:rsidR="006F2430" w:rsidRDefault="006F2430">
            <w:pPr>
              <w:pStyle w:val="Textoindependiente"/>
              <w:jc w:val="center"/>
              <w:rPr>
                <w:sz w:val="20"/>
                <w:szCs w:val="20"/>
                <w:lang w:val="es-UY"/>
              </w:rPr>
            </w:pPr>
            <w:r>
              <w:rPr>
                <w:sz w:val="20"/>
                <w:szCs w:val="20"/>
                <w:lang w:val="es-UY"/>
              </w:rPr>
              <w:t>M. del Este Ltda.</w:t>
            </w:r>
          </w:p>
        </w:tc>
        <w:tc>
          <w:tcPr>
            <w:tcW w:w="1771" w:type="dxa"/>
            <w:vAlign w:val="center"/>
          </w:tcPr>
          <w:p w:rsidR="006F2430" w:rsidRDefault="006F2430">
            <w:pPr>
              <w:pStyle w:val="Textoindependiente"/>
              <w:jc w:val="center"/>
              <w:rPr>
                <w:sz w:val="20"/>
                <w:szCs w:val="20"/>
                <w:lang w:val="es-UY"/>
              </w:rPr>
            </w:pPr>
            <w:r>
              <w:rPr>
                <w:sz w:val="20"/>
                <w:szCs w:val="20"/>
                <w:lang w:val="es-UY"/>
              </w:rPr>
              <w:t>150</w:t>
            </w:r>
          </w:p>
        </w:tc>
        <w:tc>
          <w:tcPr>
            <w:tcW w:w="1766" w:type="dxa"/>
            <w:vAlign w:val="center"/>
          </w:tcPr>
          <w:p w:rsidR="006F2430" w:rsidRDefault="006F2430">
            <w:pPr>
              <w:pStyle w:val="Textoindependiente"/>
              <w:jc w:val="center"/>
              <w:rPr>
                <w:sz w:val="20"/>
                <w:szCs w:val="20"/>
                <w:lang w:val="es-UY"/>
              </w:rPr>
            </w:pPr>
            <w:r>
              <w:rPr>
                <w:sz w:val="20"/>
                <w:szCs w:val="20"/>
                <w:lang w:val="es-UY"/>
              </w:rPr>
              <w:t>231,80</w:t>
            </w:r>
          </w:p>
        </w:tc>
        <w:tc>
          <w:tcPr>
            <w:tcW w:w="1751" w:type="dxa"/>
            <w:vAlign w:val="center"/>
          </w:tcPr>
          <w:p w:rsidR="006F2430" w:rsidRDefault="006F2430">
            <w:pPr>
              <w:pStyle w:val="Textoindependiente"/>
              <w:jc w:val="center"/>
              <w:rPr>
                <w:sz w:val="20"/>
                <w:szCs w:val="20"/>
                <w:lang w:val="es-UY"/>
              </w:rPr>
            </w:pPr>
            <w:r>
              <w:rPr>
                <w:sz w:val="20"/>
                <w:szCs w:val="20"/>
                <w:lang w:val="es-UY"/>
              </w:rPr>
              <w:t>34.770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6</w:t>
            </w:r>
          </w:p>
        </w:tc>
        <w:tc>
          <w:tcPr>
            <w:tcW w:w="1985" w:type="dxa"/>
            <w:vAlign w:val="center"/>
          </w:tcPr>
          <w:p w:rsidR="006F2430" w:rsidRDefault="006F2430">
            <w:pPr>
              <w:pStyle w:val="Textoindependiente"/>
              <w:jc w:val="center"/>
              <w:rPr>
                <w:sz w:val="20"/>
                <w:szCs w:val="20"/>
                <w:lang w:val="es-UY"/>
              </w:rPr>
            </w:pPr>
            <w:r>
              <w:rPr>
                <w:sz w:val="20"/>
                <w:szCs w:val="20"/>
                <w:lang w:val="es-UY"/>
              </w:rPr>
              <w:t>De Marco S.A</w:t>
            </w:r>
          </w:p>
        </w:tc>
        <w:tc>
          <w:tcPr>
            <w:tcW w:w="1771" w:type="dxa"/>
            <w:vAlign w:val="center"/>
          </w:tcPr>
          <w:p w:rsidR="006F2430" w:rsidRDefault="006F2430">
            <w:pPr>
              <w:pStyle w:val="Textoindependiente"/>
              <w:jc w:val="center"/>
              <w:rPr>
                <w:sz w:val="20"/>
                <w:szCs w:val="20"/>
                <w:lang w:val="es-UY"/>
              </w:rPr>
            </w:pPr>
            <w:r>
              <w:rPr>
                <w:sz w:val="20"/>
                <w:szCs w:val="20"/>
                <w:lang w:val="es-UY"/>
              </w:rPr>
              <w:t>4000</w:t>
            </w:r>
          </w:p>
        </w:tc>
        <w:tc>
          <w:tcPr>
            <w:tcW w:w="1766" w:type="dxa"/>
            <w:vAlign w:val="center"/>
          </w:tcPr>
          <w:p w:rsidR="006F2430" w:rsidRDefault="006F2430">
            <w:pPr>
              <w:pStyle w:val="Textoindependiente"/>
              <w:jc w:val="center"/>
              <w:rPr>
                <w:sz w:val="20"/>
                <w:szCs w:val="20"/>
                <w:lang w:val="es-UY"/>
              </w:rPr>
            </w:pPr>
            <w:r>
              <w:rPr>
                <w:sz w:val="20"/>
                <w:szCs w:val="20"/>
                <w:lang w:val="es-UY"/>
              </w:rPr>
              <w:t>6,59</w:t>
            </w:r>
          </w:p>
        </w:tc>
        <w:tc>
          <w:tcPr>
            <w:tcW w:w="1751" w:type="dxa"/>
            <w:vAlign w:val="center"/>
          </w:tcPr>
          <w:p w:rsidR="006F2430" w:rsidRDefault="006F2430">
            <w:pPr>
              <w:pStyle w:val="Textoindependiente"/>
              <w:jc w:val="center"/>
              <w:rPr>
                <w:sz w:val="20"/>
                <w:szCs w:val="20"/>
                <w:lang w:val="es-UY"/>
              </w:rPr>
            </w:pPr>
            <w:r>
              <w:rPr>
                <w:sz w:val="20"/>
                <w:szCs w:val="20"/>
                <w:lang w:val="es-UY"/>
              </w:rPr>
              <w:t>26.360</w:t>
            </w:r>
          </w:p>
        </w:tc>
      </w:tr>
      <w:tr w:rsidR="006F2430">
        <w:trPr>
          <w:trHeight w:val="343"/>
        </w:trPr>
        <w:tc>
          <w:tcPr>
            <w:tcW w:w="1526" w:type="dxa"/>
            <w:vAlign w:val="center"/>
          </w:tcPr>
          <w:p w:rsidR="006F2430" w:rsidRDefault="006F2430">
            <w:pPr>
              <w:pStyle w:val="Textoindependiente"/>
              <w:jc w:val="center"/>
              <w:rPr>
                <w:sz w:val="20"/>
                <w:szCs w:val="20"/>
                <w:lang w:val="es-UY"/>
              </w:rPr>
            </w:pPr>
            <w:r>
              <w:rPr>
                <w:sz w:val="20"/>
                <w:szCs w:val="20"/>
                <w:lang w:val="es-UY"/>
              </w:rPr>
              <w:t>7</w:t>
            </w:r>
          </w:p>
        </w:tc>
        <w:tc>
          <w:tcPr>
            <w:tcW w:w="1985" w:type="dxa"/>
            <w:vAlign w:val="center"/>
          </w:tcPr>
          <w:p w:rsidR="006F2430" w:rsidRDefault="006F2430">
            <w:pPr>
              <w:pStyle w:val="Textoindependiente"/>
              <w:jc w:val="center"/>
              <w:rPr>
                <w:sz w:val="20"/>
                <w:szCs w:val="20"/>
                <w:lang w:val="es-UY"/>
              </w:rPr>
            </w:pPr>
            <w:r>
              <w:rPr>
                <w:sz w:val="20"/>
                <w:szCs w:val="20"/>
                <w:lang w:val="es-UY"/>
              </w:rPr>
              <w:t>De Marco S.A</w:t>
            </w:r>
          </w:p>
        </w:tc>
        <w:tc>
          <w:tcPr>
            <w:tcW w:w="1771" w:type="dxa"/>
            <w:vAlign w:val="center"/>
          </w:tcPr>
          <w:p w:rsidR="006F2430" w:rsidRDefault="006F2430">
            <w:pPr>
              <w:pStyle w:val="Textoindependiente"/>
              <w:jc w:val="center"/>
              <w:rPr>
                <w:sz w:val="20"/>
                <w:szCs w:val="20"/>
                <w:lang w:val="es-UY"/>
              </w:rPr>
            </w:pPr>
            <w:r>
              <w:rPr>
                <w:sz w:val="20"/>
                <w:szCs w:val="20"/>
                <w:lang w:val="es-UY"/>
              </w:rPr>
              <w:t>4000</w:t>
            </w:r>
          </w:p>
        </w:tc>
        <w:tc>
          <w:tcPr>
            <w:tcW w:w="1766" w:type="dxa"/>
            <w:vAlign w:val="center"/>
          </w:tcPr>
          <w:p w:rsidR="006F2430" w:rsidRDefault="006F2430">
            <w:pPr>
              <w:pStyle w:val="Textoindependiente"/>
              <w:jc w:val="center"/>
              <w:rPr>
                <w:sz w:val="20"/>
                <w:szCs w:val="20"/>
                <w:lang w:val="es-UY"/>
              </w:rPr>
            </w:pPr>
            <w:r>
              <w:rPr>
                <w:sz w:val="20"/>
                <w:szCs w:val="20"/>
                <w:lang w:val="es-UY"/>
              </w:rPr>
              <w:t>7,75</w:t>
            </w:r>
          </w:p>
        </w:tc>
        <w:tc>
          <w:tcPr>
            <w:tcW w:w="1751" w:type="dxa"/>
            <w:vAlign w:val="center"/>
          </w:tcPr>
          <w:p w:rsidR="006F2430" w:rsidRDefault="006F2430">
            <w:pPr>
              <w:pStyle w:val="Textoindependiente"/>
              <w:jc w:val="center"/>
              <w:rPr>
                <w:sz w:val="20"/>
                <w:szCs w:val="20"/>
                <w:lang w:val="es-UY"/>
              </w:rPr>
            </w:pPr>
            <w:r>
              <w:rPr>
                <w:sz w:val="20"/>
                <w:szCs w:val="20"/>
                <w:lang w:val="es-UY"/>
              </w:rPr>
              <w:t>31.000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8</w:t>
            </w:r>
          </w:p>
        </w:tc>
        <w:tc>
          <w:tcPr>
            <w:tcW w:w="1985" w:type="dxa"/>
            <w:vAlign w:val="center"/>
          </w:tcPr>
          <w:p w:rsidR="006F2430" w:rsidRDefault="006F2430">
            <w:pPr>
              <w:pStyle w:val="Textoindependiente"/>
              <w:jc w:val="center"/>
              <w:rPr>
                <w:sz w:val="20"/>
                <w:szCs w:val="20"/>
                <w:lang w:val="es-UY"/>
              </w:rPr>
            </w:pPr>
            <w:r>
              <w:rPr>
                <w:sz w:val="20"/>
                <w:szCs w:val="20"/>
                <w:lang w:val="es-UY"/>
              </w:rPr>
              <w:t>De Marco S.A</w:t>
            </w:r>
          </w:p>
        </w:tc>
        <w:tc>
          <w:tcPr>
            <w:tcW w:w="1771" w:type="dxa"/>
            <w:vAlign w:val="center"/>
          </w:tcPr>
          <w:p w:rsidR="006F2430" w:rsidRDefault="006F2430">
            <w:pPr>
              <w:pStyle w:val="Textoindependiente"/>
              <w:jc w:val="center"/>
              <w:rPr>
                <w:sz w:val="20"/>
                <w:szCs w:val="20"/>
                <w:lang w:val="es-UY"/>
              </w:rPr>
            </w:pPr>
            <w:r>
              <w:rPr>
                <w:sz w:val="20"/>
                <w:szCs w:val="20"/>
                <w:lang w:val="es-UY"/>
              </w:rPr>
              <w:t>4000</w:t>
            </w:r>
          </w:p>
        </w:tc>
        <w:tc>
          <w:tcPr>
            <w:tcW w:w="1766" w:type="dxa"/>
            <w:vAlign w:val="center"/>
          </w:tcPr>
          <w:p w:rsidR="006F2430" w:rsidRDefault="006F2430">
            <w:pPr>
              <w:pStyle w:val="Textoindependiente"/>
              <w:jc w:val="center"/>
              <w:rPr>
                <w:sz w:val="20"/>
                <w:szCs w:val="20"/>
                <w:lang w:val="es-UY"/>
              </w:rPr>
            </w:pPr>
            <w:r>
              <w:rPr>
                <w:sz w:val="20"/>
                <w:szCs w:val="20"/>
                <w:lang w:val="es-UY"/>
              </w:rPr>
              <w:t>9,49</w:t>
            </w:r>
          </w:p>
        </w:tc>
        <w:tc>
          <w:tcPr>
            <w:tcW w:w="1751" w:type="dxa"/>
            <w:vAlign w:val="center"/>
          </w:tcPr>
          <w:p w:rsidR="006F2430" w:rsidRDefault="006F2430">
            <w:pPr>
              <w:pStyle w:val="Textoindependiente"/>
              <w:jc w:val="center"/>
              <w:rPr>
                <w:sz w:val="20"/>
                <w:szCs w:val="20"/>
                <w:lang w:val="es-UY"/>
              </w:rPr>
            </w:pPr>
            <w:r>
              <w:rPr>
                <w:sz w:val="20"/>
                <w:szCs w:val="20"/>
                <w:lang w:val="es-UY"/>
              </w:rPr>
              <w:t>37.960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9</w:t>
            </w:r>
          </w:p>
        </w:tc>
        <w:tc>
          <w:tcPr>
            <w:tcW w:w="1985" w:type="dxa"/>
            <w:vAlign w:val="center"/>
          </w:tcPr>
          <w:p w:rsidR="006F2430" w:rsidRDefault="006F2430">
            <w:pPr>
              <w:pStyle w:val="Textoindependiente"/>
              <w:jc w:val="center"/>
              <w:rPr>
                <w:sz w:val="20"/>
                <w:szCs w:val="20"/>
                <w:lang w:val="es-UY"/>
              </w:rPr>
            </w:pPr>
            <w:r>
              <w:rPr>
                <w:sz w:val="20"/>
                <w:szCs w:val="20"/>
                <w:lang w:val="es-UY"/>
              </w:rPr>
              <w:t>De Marco S.A</w:t>
            </w:r>
          </w:p>
        </w:tc>
        <w:tc>
          <w:tcPr>
            <w:tcW w:w="1771" w:type="dxa"/>
            <w:vAlign w:val="center"/>
          </w:tcPr>
          <w:p w:rsidR="006F2430" w:rsidRDefault="006F2430">
            <w:pPr>
              <w:pStyle w:val="Textoindependiente"/>
              <w:jc w:val="center"/>
              <w:rPr>
                <w:sz w:val="20"/>
                <w:szCs w:val="20"/>
                <w:lang w:val="es-UY"/>
              </w:rPr>
            </w:pPr>
            <w:r>
              <w:rPr>
                <w:sz w:val="20"/>
                <w:szCs w:val="20"/>
                <w:lang w:val="es-UY"/>
              </w:rPr>
              <w:t>4000</w:t>
            </w:r>
          </w:p>
        </w:tc>
        <w:tc>
          <w:tcPr>
            <w:tcW w:w="1766" w:type="dxa"/>
            <w:vAlign w:val="center"/>
          </w:tcPr>
          <w:p w:rsidR="006F2430" w:rsidRDefault="006F2430">
            <w:pPr>
              <w:pStyle w:val="Textoindependiente"/>
              <w:jc w:val="center"/>
              <w:rPr>
                <w:sz w:val="20"/>
                <w:szCs w:val="20"/>
                <w:lang w:val="es-UY"/>
              </w:rPr>
            </w:pPr>
            <w:r>
              <w:rPr>
                <w:sz w:val="20"/>
                <w:szCs w:val="20"/>
                <w:lang w:val="es-UY"/>
              </w:rPr>
              <w:t>15,69</w:t>
            </w:r>
          </w:p>
        </w:tc>
        <w:tc>
          <w:tcPr>
            <w:tcW w:w="1751" w:type="dxa"/>
            <w:vAlign w:val="center"/>
          </w:tcPr>
          <w:p w:rsidR="006F2430" w:rsidRDefault="006F2430">
            <w:pPr>
              <w:pStyle w:val="Textoindependiente"/>
              <w:jc w:val="center"/>
              <w:rPr>
                <w:sz w:val="20"/>
                <w:szCs w:val="20"/>
                <w:lang w:val="es-UY"/>
              </w:rPr>
            </w:pPr>
            <w:r>
              <w:rPr>
                <w:sz w:val="20"/>
                <w:szCs w:val="20"/>
                <w:lang w:val="es-UY"/>
              </w:rPr>
              <w:t>62.760</w:t>
            </w:r>
          </w:p>
        </w:tc>
      </w:tr>
      <w:tr w:rsidR="006F2430">
        <w:trPr>
          <w:trHeight w:val="343"/>
        </w:trPr>
        <w:tc>
          <w:tcPr>
            <w:tcW w:w="1526" w:type="dxa"/>
            <w:vAlign w:val="center"/>
          </w:tcPr>
          <w:p w:rsidR="006F2430" w:rsidRDefault="006F2430">
            <w:pPr>
              <w:pStyle w:val="Textoindependiente"/>
              <w:jc w:val="center"/>
              <w:rPr>
                <w:sz w:val="20"/>
                <w:szCs w:val="20"/>
                <w:lang w:val="es-UY"/>
              </w:rPr>
            </w:pPr>
            <w:r>
              <w:rPr>
                <w:sz w:val="20"/>
                <w:szCs w:val="20"/>
                <w:lang w:val="es-UY"/>
              </w:rPr>
              <w:t>10</w:t>
            </w:r>
          </w:p>
        </w:tc>
        <w:tc>
          <w:tcPr>
            <w:tcW w:w="1985" w:type="dxa"/>
            <w:vAlign w:val="center"/>
          </w:tcPr>
          <w:p w:rsidR="006F2430" w:rsidRDefault="006F2430">
            <w:pPr>
              <w:pStyle w:val="Textoindependiente"/>
              <w:jc w:val="center"/>
              <w:rPr>
                <w:sz w:val="20"/>
                <w:szCs w:val="20"/>
                <w:lang w:val="es-UY"/>
              </w:rPr>
            </w:pPr>
            <w:r>
              <w:rPr>
                <w:sz w:val="20"/>
                <w:szCs w:val="20"/>
                <w:lang w:val="es-UY"/>
              </w:rPr>
              <w:t>Taxton S.A</w:t>
            </w:r>
          </w:p>
        </w:tc>
        <w:tc>
          <w:tcPr>
            <w:tcW w:w="1771" w:type="dxa"/>
            <w:vAlign w:val="center"/>
          </w:tcPr>
          <w:p w:rsidR="006F2430" w:rsidRDefault="006F2430">
            <w:pPr>
              <w:pStyle w:val="Textoindependiente"/>
              <w:jc w:val="center"/>
              <w:rPr>
                <w:sz w:val="20"/>
                <w:szCs w:val="20"/>
                <w:lang w:val="es-UY"/>
              </w:rPr>
            </w:pPr>
            <w:r>
              <w:rPr>
                <w:sz w:val="20"/>
                <w:szCs w:val="20"/>
                <w:lang w:val="es-UY"/>
              </w:rPr>
              <w:t>8000</w:t>
            </w:r>
          </w:p>
        </w:tc>
        <w:tc>
          <w:tcPr>
            <w:tcW w:w="1766" w:type="dxa"/>
            <w:vAlign w:val="center"/>
          </w:tcPr>
          <w:p w:rsidR="006F2430" w:rsidRDefault="006F2430">
            <w:pPr>
              <w:pStyle w:val="Textoindependiente"/>
              <w:jc w:val="center"/>
              <w:rPr>
                <w:sz w:val="20"/>
                <w:szCs w:val="20"/>
                <w:lang w:val="es-UY"/>
              </w:rPr>
            </w:pPr>
            <w:r>
              <w:rPr>
                <w:sz w:val="20"/>
                <w:szCs w:val="20"/>
                <w:lang w:val="es-UY"/>
              </w:rPr>
              <w:t>81</w:t>
            </w:r>
          </w:p>
        </w:tc>
        <w:tc>
          <w:tcPr>
            <w:tcW w:w="1751" w:type="dxa"/>
            <w:vAlign w:val="center"/>
          </w:tcPr>
          <w:p w:rsidR="006F2430" w:rsidRDefault="006F2430">
            <w:pPr>
              <w:pStyle w:val="Textoindependiente"/>
              <w:jc w:val="center"/>
              <w:rPr>
                <w:sz w:val="20"/>
                <w:szCs w:val="20"/>
                <w:lang w:val="es-UY"/>
              </w:rPr>
            </w:pPr>
            <w:r>
              <w:rPr>
                <w:sz w:val="20"/>
                <w:szCs w:val="20"/>
                <w:lang w:val="es-UY"/>
              </w:rPr>
              <w:t>648.000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11</w:t>
            </w:r>
          </w:p>
        </w:tc>
        <w:tc>
          <w:tcPr>
            <w:tcW w:w="1985" w:type="dxa"/>
            <w:vAlign w:val="center"/>
          </w:tcPr>
          <w:p w:rsidR="006F2430" w:rsidRDefault="006F2430">
            <w:pPr>
              <w:pStyle w:val="Textoindependiente"/>
              <w:jc w:val="center"/>
              <w:rPr>
                <w:sz w:val="20"/>
                <w:szCs w:val="20"/>
                <w:lang w:val="es-UY"/>
              </w:rPr>
            </w:pPr>
            <w:r>
              <w:rPr>
                <w:sz w:val="20"/>
                <w:szCs w:val="20"/>
                <w:lang w:val="es-UY"/>
              </w:rPr>
              <w:t>Nogali S.A</w:t>
            </w:r>
          </w:p>
        </w:tc>
        <w:tc>
          <w:tcPr>
            <w:tcW w:w="1771" w:type="dxa"/>
            <w:vAlign w:val="center"/>
          </w:tcPr>
          <w:p w:rsidR="006F2430" w:rsidRDefault="006F2430">
            <w:pPr>
              <w:pStyle w:val="Textoindependiente"/>
              <w:jc w:val="center"/>
              <w:rPr>
                <w:sz w:val="20"/>
                <w:szCs w:val="20"/>
                <w:lang w:val="es-UY"/>
              </w:rPr>
            </w:pPr>
            <w:r>
              <w:rPr>
                <w:sz w:val="20"/>
                <w:szCs w:val="20"/>
                <w:lang w:val="es-UY"/>
              </w:rPr>
              <w:t>400</w:t>
            </w:r>
          </w:p>
        </w:tc>
        <w:tc>
          <w:tcPr>
            <w:tcW w:w="1766" w:type="dxa"/>
            <w:vAlign w:val="center"/>
          </w:tcPr>
          <w:p w:rsidR="006F2430" w:rsidRDefault="006F2430">
            <w:pPr>
              <w:pStyle w:val="Textoindependiente"/>
              <w:jc w:val="center"/>
              <w:rPr>
                <w:sz w:val="20"/>
                <w:szCs w:val="20"/>
                <w:lang w:val="es-UY"/>
              </w:rPr>
            </w:pPr>
            <w:r>
              <w:rPr>
                <w:sz w:val="20"/>
                <w:szCs w:val="20"/>
                <w:lang w:val="es-UY"/>
              </w:rPr>
              <w:t>158,60</w:t>
            </w:r>
          </w:p>
        </w:tc>
        <w:tc>
          <w:tcPr>
            <w:tcW w:w="1751" w:type="dxa"/>
            <w:vAlign w:val="center"/>
          </w:tcPr>
          <w:p w:rsidR="006F2430" w:rsidRDefault="006F2430">
            <w:pPr>
              <w:pStyle w:val="Textoindependiente"/>
              <w:jc w:val="center"/>
              <w:rPr>
                <w:sz w:val="20"/>
                <w:szCs w:val="20"/>
                <w:lang w:val="es-UY"/>
              </w:rPr>
            </w:pPr>
            <w:r>
              <w:rPr>
                <w:sz w:val="20"/>
                <w:szCs w:val="20"/>
                <w:lang w:val="es-UY"/>
              </w:rPr>
              <w:t>63.400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12</w:t>
            </w:r>
          </w:p>
        </w:tc>
        <w:tc>
          <w:tcPr>
            <w:tcW w:w="1985" w:type="dxa"/>
            <w:vAlign w:val="center"/>
          </w:tcPr>
          <w:p w:rsidR="006F2430" w:rsidRDefault="006F2430">
            <w:pPr>
              <w:pStyle w:val="Textoindependiente"/>
              <w:jc w:val="center"/>
              <w:rPr>
                <w:sz w:val="20"/>
                <w:szCs w:val="20"/>
                <w:lang w:val="es-UY"/>
              </w:rPr>
            </w:pPr>
            <w:r>
              <w:rPr>
                <w:sz w:val="20"/>
                <w:szCs w:val="20"/>
                <w:lang w:val="es-UY"/>
              </w:rPr>
              <w:t>Frama S.R.L</w:t>
            </w:r>
          </w:p>
        </w:tc>
        <w:tc>
          <w:tcPr>
            <w:tcW w:w="1771" w:type="dxa"/>
            <w:vAlign w:val="center"/>
          </w:tcPr>
          <w:p w:rsidR="006F2430" w:rsidRDefault="006F2430">
            <w:pPr>
              <w:pStyle w:val="Textoindependiente"/>
              <w:jc w:val="center"/>
              <w:rPr>
                <w:sz w:val="20"/>
                <w:szCs w:val="20"/>
                <w:lang w:val="es-UY"/>
              </w:rPr>
            </w:pPr>
            <w:r>
              <w:rPr>
                <w:sz w:val="20"/>
                <w:szCs w:val="20"/>
                <w:lang w:val="es-UY"/>
              </w:rPr>
              <w:t>200</w:t>
            </w:r>
          </w:p>
        </w:tc>
        <w:tc>
          <w:tcPr>
            <w:tcW w:w="1766" w:type="dxa"/>
            <w:vAlign w:val="center"/>
          </w:tcPr>
          <w:p w:rsidR="006F2430" w:rsidRDefault="006F2430">
            <w:pPr>
              <w:pStyle w:val="Textoindependiente"/>
              <w:jc w:val="center"/>
              <w:rPr>
                <w:sz w:val="20"/>
                <w:szCs w:val="20"/>
                <w:lang w:val="es-UY"/>
              </w:rPr>
            </w:pPr>
            <w:r>
              <w:rPr>
                <w:sz w:val="20"/>
                <w:szCs w:val="20"/>
                <w:lang w:val="es-UY"/>
              </w:rPr>
              <w:t>79,30</w:t>
            </w:r>
          </w:p>
        </w:tc>
        <w:tc>
          <w:tcPr>
            <w:tcW w:w="1751" w:type="dxa"/>
            <w:vAlign w:val="center"/>
          </w:tcPr>
          <w:p w:rsidR="006F2430" w:rsidRDefault="006F2430">
            <w:pPr>
              <w:pStyle w:val="Textoindependiente"/>
              <w:jc w:val="center"/>
              <w:rPr>
                <w:sz w:val="20"/>
                <w:szCs w:val="20"/>
                <w:lang w:val="es-UY"/>
              </w:rPr>
            </w:pPr>
            <w:r>
              <w:rPr>
                <w:sz w:val="20"/>
                <w:szCs w:val="20"/>
                <w:lang w:val="es-UY"/>
              </w:rPr>
              <w:t>15.860</w:t>
            </w:r>
          </w:p>
        </w:tc>
      </w:tr>
      <w:tr w:rsidR="006F2430">
        <w:trPr>
          <w:trHeight w:val="343"/>
        </w:trPr>
        <w:tc>
          <w:tcPr>
            <w:tcW w:w="1526" w:type="dxa"/>
            <w:vAlign w:val="center"/>
          </w:tcPr>
          <w:p w:rsidR="006F2430" w:rsidRDefault="006F2430">
            <w:pPr>
              <w:pStyle w:val="Textoindependiente"/>
              <w:jc w:val="center"/>
              <w:rPr>
                <w:sz w:val="20"/>
                <w:szCs w:val="20"/>
                <w:lang w:val="es-UY"/>
              </w:rPr>
            </w:pPr>
            <w:r>
              <w:rPr>
                <w:sz w:val="20"/>
                <w:szCs w:val="20"/>
                <w:lang w:val="es-UY"/>
              </w:rPr>
              <w:t>13</w:t>
            </w:r>
          </w:p>
        </w:tc>
        <w:tc>
          <w:tcPr>
            <w:tcW w:w="1985" w:type="dxa"/>
            <w:vAlign w:val="center"/>
          </w:tcPr>
          <w:p w:rsidR="006F2430" w:rsidRDefault="006F2430">
            <w:pPr>
              <w:pStyle w:val="Textoindependiente"/>
              <w:jc w:val="center"/>
              <w:rPr>
                <w:sz w:val="20"/>
                <w:szCs w:val="20"/>
                <w:lang w:val="es-UY"/>
              </w:rPr>
            </w:pPr>
            <w:r>
              <w:rPr>
                <w:sz w:val="20"/>
                <w:szCs w:val="20"/>
                <w:lang w:val="es-UY"/>
              </w:rPr>
              <w:t>De Marco S.A</w:t>
            </w:r>
          </w:p>
        </w:tc>
        <w:tc>
          <w:tcPr>
            <w:tcW w:w="1771" w:type="dxa"/>
            <w:vAlign w:val="center"/>
          </w:tcPr>
          <w:p w:rsidR="006F2430" w:rsidRDefault="006F2430">
            <w:pPr>
              <w:pStyle w:val="Textoindependiente"/>
              <w:jc w:val="center"/>
              <w:rPr>
                <w:sz w:val="20"/>
                <w:szCs w:val="20"/>
                <w:lang w:val="es-UY"/>
              </w:rPr>
            </w:pPr>
            <w:r>
              <w:rPr>
                <w:sz w:val="20"/>
                <w:szCs w:val="20"/>
                <w:lang w:val="es-UY"/>
              </w:rPr>
              <w:t>250</w:t>
            </w:r>
          </w:p>
        </w:tc>
        <w:tc>
          <w:tcPr>
            <w:tcW w:w="1766" w:type="dxa"/>
            <w:vAlign w:val="center"/>
          </w:tcPr>
          <w:p w:rsidR="006F2430" w:rsidRDefault="006F2430">
            <w:pPr>
              <w:pStyle w:val="Textoindependiente"/>
              <w:jc w:val="center"/>
              <w:rPr>
                <w:sz w:val="20"/>
                <w:szCs w:val="20"/>
                <w:lang w:val="es-UY"/>
              </w:rPr>
            </w:pPr>
            <w:r>
              <w:rPr>
                <w:sz w:val="20"/>
                <w:szCs w:val="20"/>
                <w:lang w:val="es-UY"/>
              </w:rPr>
              <w:t>19,76</w:t>
            </w:r>
          </w:p>
        </w:tc>
        <w:tc>
          <w:tcPr>
            <w:tcW w:w="1751" w:type="dxa"/>
            <w:vAlign w:val="center"/>
          </w:tcPr>
          <w:p w:rsidR="006F2430" w:rsidRDefault="006F2430">
            <w:pPr>
              <w:pStyle w:val="Textoindependiente"/>
              <w:jc w:val="center"/>
              <w:rPr>
                <w:sz w:val="20"/>
                <w:szCs w:val="20"/>
                <w:lang w:val="es-UY"/>
              </w:rPr>
            </w:pPr>
            <w:r>
              <w:rPr>
                <w:sz w:val="20"/>
                <w:szCs w:val="20"/>
                <w:lang w:val="es-UY"/>
              </w:rPr>
              <w:t>4.940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14</w:t>
            </w:r>
          </w:p>
        </w:tc>
        <w:tc>
          <w:tcPr>
            <w:tcW w:w="1985" w:type="dxa"/>
            <w:vAlign w:val="center"/>
          </w:tcPr>
          <w:p w:rsidR="006F2430" w:rsidRDefault="006F2430">
            <w:pPr>
              <w:pStyle w:val="Textoindependiente"/>
              <w:jc w:val="center"/>
              <w:rPr>
                <w:sz w:val="20"/>
                <w:szCs w:val="20"/>
                <w:lang w:val="es-UY"/>
              </w:rPr>
            </w:pPr>
            <w:r>
              <w:rPr>
                <w:sz w:val="20"/>
                <w:szCs w:val="20"/>
                <w:lang w:val="es-UY"/>
              </w:rPr>
              <w:t>Frama S.R.L</w:t>
            </w:r>
          </w:p>
        </w:tc>
        <w:tc>
          <w:tcPr>
            <w:tcW w:w="1771" w:type="dxa"/>
            <w:vAlign w:val="center"/>
          </w:tcPr>
          <w:p w:rsidR="006F2430" w:rsidRDefault="006F2430">
            <w:pPr>
              <w:pStyle w:val="Textoindependiente"/>
              <w:jc w:val="center"/>
              <w:rPr>
                <w:sz w:val="20"/>
                <w:szCs w:val="20"/>
                <w:lang w:val="es-UY"/>
              </w:rPr>
            </w:pPr>
            <w:r>
              <w:rPr>
                <w:sz w:val="20"/>
                <w:szCs w:val="20"/>
                <w:lang w:val="es-UY"/>
              </w:rPr>
              <w:t>100</w:t>
            </w:r>
          </w:p>
        </w:tc>
        <w:tc>
          <w:tcPr>
            <w:tcW w:w="1766" w:type="dxa"/>
            <w:vAlign w:val="center"/>
          </w:tcPr>
          <w:p w:rsidR="006F2430" w:rsidRDefault="006F2430">
            <w:pPr>
              <w:pStyle w:val="Textoindependiente"/>
              <w:jc w:val="center"/>
              <w:rPr>
                <w:sz w:val="20"/>
                <w:szCs w:val="20"/>
                <w:lang w:val="es-UY"/>
              </w:rPr>
            </w:pPr>
            <w:r>
              <w:rPr>
                <w:sz w:val="20"/>
                <w:szCs w:val="20"/>
                <w:lang w:val="es-UY"/>
              </w:rPr>
              <w:t>15,86</w:t>
            </w:r>
          </w:p>
        </w:tc>
        <w:tc>
          <w:tcPr>
            <w:tcW w:w="1751" w:type="dxa"/>
            <w:vAlign w:val="center"/>
          </w:tcPr>
          <w:p w:rsidR="006F2430" w:rsidRDefault="006F2430">
            <w:pPr>
              <w:pStyle w:val="Textoindependiente"/>
              <w:jc w:val="center"/>
              <w:rPr>
                <w:sz w:val="20"/>
                <w:szCs w:val="20"/>
                <w:lang w:val="es-UY"/>
              </w:rPr>
            </w:pPr>
            <w:r>
              <w:rPr>
                <w:sz w:val="20"/>
                <w:szCs w:val="20"/>
                <w:lang w:val="es-UY"/>
              </w:rPr>
              <w:t>1.586</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15</w:t>
            </w:r>
          </w:p>
        </w:tc>
        <w:tc>
          <w:tcPr>
            <w:tcW w:w="1985" w:type="dxa"/>
            <w:vAlign w:val="center"/>
          </w:tcPr>
          <w:p w:rsidR="006F2430" w:rsidRDefault="006F2430">
            <w:pPr>
              <w:pStyle w:val="Textoindependiente"/>
              <w:jc w:val="center"/>
              <w:rPr>
                <w:sz w:val="20"/>
                <w:szCs w:val="20"/>
                <w:lang w:val="es-UY"/>
              </w:rPr>
            </w:pPr>
            <w:r>
              <w:rPr>
                <w:sz w:val="20"/>
                <w:szCs w:val="20"/>
                <w:lang w:val="es-UY"/>
              </w:rPr>
              <w:t>Nogali S.A</w:t>
            </w:r>
          </w:p>
        </w:tc>
        <w:tc>
          <w:tcPr>
            <w:tcW w:w="1771" w:type="dxa"/>
            <w:vAlign w:val="center"/>
          </w:tcPr>
          <w:p w:rsidR="006F2430" w:rsidRDefault="006F2430">
            <w:pPr>
              <w:pStyle w:val="Textoindependiente"/>
              <w:jc w:val="center"/>
              <w:rPr>
                <w:sz w:val="20"/>
                <w:szCs w:val="20"/>
                <w:lang w:val="es-UY"/>
              </w:rPr>
            </w:pPr>
            <w:r>
              <w:rPr>
                <w:sz w:val="20"/>
                <w:szCs w:val="20"/>
                <w:lang w:val="es-UY"/>
              </w:rPr>
              <w:t>100</w:t>
            </w:r>
          </w:p>
        </w:tc>
        <w:tc>
          <w:tcPr>
            <w:tcW w:w="1766" w:type="dxa"/>
            <w:vAlign w:val="center"/>
          </w:tcPr>
          <w:p w:rsidR="006F2430" w:rsidRDefault="006F2430">
            <w:pPr>
              <w:pStyle w:val="Textoindependiente"/>
              <w:jc w:val="center"/>
              <w:rPr>
                <w:sz w:val="20"/>
                <w:szCs w:val="20"/>
                <w:lang w:val="es-UY"/>
              </w:rPr>
            </w:pPr>
            <w:r>
              <w:rPr>
                <w:sz w:val="20"/>
                <w:szCs w:val="20"/>
                <w:lang w:val="es-UY"/>
              </w:rPr>
              <w:t>158,60</w:t>
            </w:r>
          </w:p>
        </w:tc>
        <w:tc>
          <w:tcPr>
            <w:tcW w:w="1751" w:type="dxa"/>
            <w:vAlign w:val="center"/>
          </w:tcPr>
          <w:p w:rsidR="006F2430" w:rsidRDefault="006F2430">
            <w:pPr>
              <w:pStyle w:val="Textoindependiente"/>
              <w:jc w:val="center"/>
              <w:rPr>
                <w:sz w:val="20"/>
                <w:szCs w:val="20"/>
                <w:lang w:val="es-UY"/>
              </w:rPr>
            </w:pPr>
            <w:r>
              <w:rPr>
                <w:sz w:val="20"/>
                <w:szCs w:val="20"/>
                <w:lang w:val="es-UY"/>
              </w:rPr>
              <w:t>15.860</w:t>
            </w:r>
          </w:p>
        </w:tc>
      </w:tr>
      <w:tr w:rsidR="006F2430">
        <w:trPr>
          <w:trHeight w:val="359"/>
        </w:trPr>
        <w:tc>
          <w:tcPr>
            <w:tcW w:w="1526" w:type="dxa"/>
            <w:vAlign w:val="center"/>
          </w:tcPr>
          <w:p w:rsidR="006F2430" w:rsidRDefault="006F2430">
            <w:pPr>
              <w:pStyle w:val="Textoindependiente"/>
              <w:jc w:val="center"/>
              <w:rPr>
                <w:sz w:val="20"/>
                <w:szCs w:val="20"/>
                <w:lang w:val="es-UY"/>
              </w:rPr>
            </w:pPr>
            <w:r>
              <w:rPr>
                <w:sz w:val="20"/>
                <w:szCs w:val="20"/>
                <w:lang w:val="es-UY"/>
              </w:rPr>
              <w:t>16</w:t>
            </w:r>
          </w:p>
        </w:tc>
        <w:tc>
          <w:tcPr>
            <w:tcW w:w="1985" w:type="dxa"/>
            <w:vAlign w:val="center"/>
          </w:tcPr>
          <w:p w:rsidR="006F2430" w:rsidRDefault="006F2430">
            <w:pPr>
              <w:pStyle w:val="Textoindependiente"/>
              <w:jc w:val="center"/>
              <w:rPr>
                <w:sz w:val="20"/>
                <w:szCs w:val="20"/>
                <w:lang w:val="es-UY"/>
              </w:rPr>
            </w:pPr>
            <w:r>
              <w:rPr>
                <w:sz w:val="20"/>
                <w:szCs w:val="20"/>
                <w:lang w:val="es-UY"/>
              </w:rPr>
              <w:t>Frama S.R.L</w:t>
            </w:r>
          </w:p>
        </w:tc>
        <w:tc>
          <w:tcPr>
            <w:tcW w:w="1771" w:type="dxa"/>
            <w:vAlign w:val="center"/>
          </w:tcPr>
          <w:p w:rsidR="006F2430" w:rsidRDefault="006F2430">
            <w:pPr>
              <w:pStyle w:val="Textoindependiente"/>
              <w:jc w:val="center"/>
              <w:rPr>
                <w:sz w:val="20"/>
                <w:szCs w:val="20"/>
                <w:lang w:val="es-UY"/>
              </w:rPr>
            </w:pPr>
            <w:r>
              <w:rPr>
                <w:sz w:val="20"/>
                <w:szCs w:val="20"/>
                <w:lang w:val="es-UY"/>
              </w:rPr>
              <w:t>400</w:t>
            </w:r>
          </w:p>
        </w:tc>
        <w:tc>
          <w:tcPr>
            <w:tcW w:w="1766" w:type="dxa"/>
            <w:vAlign w:val="center"/>
          </w:tcPr>
          <w:p w:rsidR="006F2430" w:rsidRDefault="006F2430">
            <w:pPr>
              <w:pStyle w:val="Textoindependiente"/>
              <w:jc w:val="center"/>
              <w:rPr>
                <w:sz w:val="20"/>
                <w:szCs w:val="20"/>
                <w:lang w:val="es-UY"/>
              </w:rPr>
            </w:pPr>
            <w:r>
              <w:rPr>
                <w:sz w:val="20"/>
                <w:szCs w:val="20"/>
                <w:lang w:val="es-UY"/>
              </w:rPr>
              <w:t>17,08</w:t>
            </w:r>
          </w:p>
        </w:tc>
        <w:tc>
          <w:tcPr>
            <w:tcW w:w="1751" w:type="dxa"/>
            <w:vAlign w:val="center"/>
          </w:tcPr>
          <w:p w:rsidR="006F2430" w:rsidRDefault="006F2430">
            <w:pPr>
              <w:pStyle w:val="Textoindependiente"/>
              <w:jc w:val="center"/>
              <w:rPr>
                <w:sz w:val="20"/>
                <w:szCs w:val="20"/>
                <w:lang w:val="es-UY"/>
              </w:rPr>
            </w:pPr>
            <w:r>
              <w:rPr>
                <w:sz w:val="20"/>
                <w:szCs w:val="20"/>
                <w:lang w:val="es-UY"/>
              </w:rPr>
              <w:t>6.832</w:t>
            </w:r>
          </w:p>
        </w:tc>
      </w:tr>
    </w:tbl>
    <w:p w:rsidR="0077076C" w:rsidRDefault="006F2430" w:rsidP="00211C14">
      <w:pPr>
        <w:pStyle w:val="Textoindependiente"/>
        <w:ind w:firstLine="2694"/>
      </w:pPr>
      <w:r w:rsidRPr="0077076C">
        <w:rPr>
          <w:b/>
          <w:bCs/>
          <w:lang w:val="es-UY"/>
        </w:rPr>
        <w:lastRenderedPageBreak/>
        <w:t xml:space="preserve">6) </w:t>
      </w:r>
      <w:r w:rsidR="0077076C">
        <w:rPr>
          <w:lang w:val="es-UY"/>
        </w:rPr>
        <w:t>que en cumplimiento del A</w:t>
      </w:r>
      <w:r w:rsidRPr="0077076C">
        <w:rPr>
          <w:lang w:val="es-UY"/>
        </w:rPr>
        <w:t>rtículo 67 del TOCAF, se dio vista de la</w:t>
      </w:r>
      <w:r w:rsidRPr="0077076C">
        <w:t>s actuaciones a los oferentes, por el plazo comprendido entre el 21.04.16 al 26.04.16;</w:t>
      </w:r>
    </w:p>
    <w:p w:rsidR="00A0705A" w:rsidRDefault="006F2430" w:rsidP="00A0705A">
      <w:pPr>
        <w:spacing w:line="360" w:lineRule="auto"/>
        <w:ind w:firstLine="2694"/>
        <w:jc w:val="both"/>
        <w:rPr>
          <w:lang w:val="es-MX"/>
        </w:rPr>
      </w:pPr>
      <w:r>
        <w:rPr>
          <w:b/>
          <w:bCs/>
          <w:lang w:val="es-MX"/>
        </w:rPr>
        <w:t xml:space="preserve">7) </w:t>
      </w:r>
      <w:r>
        <w:rPr>
          <w:lang w:val="es-MX"/>
        </w:rPr>
        <w:t>que con fecha 25.04.16, la firma Industrias Forestales Arazatí S.A</w:t>
      </w:r>
      <w:r w:rsidR="00A0705A">
        <w:rPr>
          <w:lang w:val="es-MX"/>
        </w:rPr>
        <w:t>.</w:t>
      </w:r>
      <w:r>
        <w:rPr>
          <w:lang w:val="es-MX"/>
        </w:rPr>
        <w:t xml:space="preserve"> expresó su disconformidad con las recomendaciones de adjudicación realizadas por la Comisión As</w:t>
      </w:r>
      <w:r w:rsidR="00A0705A">
        <w:rPr>
          <w:lang w:val="es-MX"/>
        </w:rPr>
        <w:t>esora, en relación a los item</w:t>
      </w:r>
      <w:r>
        <w:rPr>
          <w:lang w:val="es-MX"/>
        </w:rPr>
        <w:t xml:space="preserve"> 2, 11 y 15, manifestando que:</w:t>
      </w:r>
    </w:p>
    <w:p w:rsidR="00A0705A" w:rsidRDefault="006F2430" w:rsidP="00A0705A">
      <w:pPr>
        <w:spacing w:line="360" w:lineRule="auto"/>
        <w:ind w:firstLine="2694"/>
        <w:jc w:val="both"/>
        <w:rPr>
          <w:lang w:val="es-MX"/>
        </w:rPr>
      </w:pPr>
      <w:r>
        <w:rPr>
          <w:b/>
          <w:bCs/>
          <w:lang w:val="es-MX"/>
        </w:rPr>
        <w:t>7.1)</w:t>
      </w:r>
      <w:r>
        <w:rPr>
          <w:lang w:val="es-MX"/>
        </w:rPr>
        <w:t xml:space="preserve"> su propues</w:t>
      </w:r>
      <w:r w:rsidR="00A0705A">
        <w:rPr>
          <w:lang w:val="es-MX"/>
        </w:rPr>
        <w:t>ta no fue considerada para los item</w:t>
      </w:r>
      <w:r>
        <w:rPr>
          <w:lang w:val="es-MX"/>
        </w:rPr>
        <w:t xml:space="preserve"> 11 y 15, y sin embargo se recomendó la adjudicación a otras firmas que ofertaron un producto de calidad inadecuada para la finalidad prevista;</w:t>
      </w:r>
    </w:p>
    <w:p w:rsidR="00A0705A" w:rsidRDefault="006F2430" w:rsidP="00A0705A">
      <w:pPr>
        <w:spacing w:line="360" w:lineRule="auto"/>
        <w:ind w:firstLine="2694"/>
        <w:jc w:val="both"/>
        <w:rPr>
          <w:lang w:val="es-MX"/>
        </w:rPr>
      </w:pPr>
      <w:r>
        <w:rPr>
          <w:b/>
          <w:bCs/>
          <w:lang w:val="es-MX"/>
        </w:rPr>
        <w:t>7.2)</w:t>
      </w:r>
      <w:r>
        <w:rPr>
          <w:lang w:val="es-MX"/>
        </w:rPr>
        <w:t xml:space="preserve"> se</w:t>
      </w:r>
      <w:r w:rsidR="00A0705A">
        <w:rPr>
          <w:lang w:val="es-MX"/>
        </w:rPr>
        <w:t xml:space="preserve"> recomendó la adjudicación del i</w:t>
      </w:r>
      <w:r>
        <w:rPr>
          <w:lang w:val="es-MX"/>
        </w:rPr>
        <w:t>tem 2 (tabla con caballete) a una firma que presentó una muestra barnizada y pintada con laca y, sin embargo, la muestra que se recibió como ejemplo para ofertar, era de madera de “pino Brasil” en estadio natural y sin barniz. La firma podría haber ofertado la pieza con barniz protector, pero no lo hizo porque no fue lo requerido en el Pliego de Condiciones Particulares; y</w:t>
      </w:r>
    </w:p>
    <w:p w:rsidR="00A0705A" w:rsidRDefault="006F2430" w:rsidP="00A0705A">
      <w:pPr>
        <w:spacing w:line="360" w:lineRule="auto"/>
        <w:ind w:firstLine="2694"/>
        <w:jc w:val="both"/>
        <w:rPr>
          <w:lang w:val="es-MX"/>
        </w:rPr>
      </w:pPr>
      <w:r>
        <w:rPr>
          <w:b/>
          <w:bCs/>
          <w:lang w:val="es-MX"/>
        </w:rPr>
        <w:t>7.3)</w:t>
      </w:r>
      <w:r>
        <w:rPr>
          <w:lang w:val="es-MX"/>
        </w:rPr>
        <w:t xml:space="preserve"> las recomendaciones de adjudicaciones corresponden a precios muy por encima de los ofertados por Industrias Forestales Arazatí S.A</w:t>
      </w:r>
      <w:r w:rsidR="00A0705A">
        <w:rPr>
          <w:lang w:val="es-MX"/>
        </w:rPr>
        <w:t>.</w:t>
      </w:r>
      <w:r>
        <w:rPr>
          <w:lang w:val="es-MX"/>
        </w:rPr>
        <w:t>;</w:t>
      </w:r>
    </w:p>
    <w:p w:rsidR="00A0705A" w:rsidRDefault="006F2430" w:rsidP="00A0705A">
      <w:pPr>
        <w:spacing w:line="360" w:lineRule="auto"/>
        <w:ind w:firstLine="2694"/>
        <w:jc w:val="both"/>
        <w:rPr>
          <w:lang w:val="es-MX"/>
        </w:rPr>
      </w:pPr>
      <w:r>
        <w:rPr>
          <w:b/>
          <w:bCs/>
          <w:lang w:val="es-MX"/>
        </w:rPr>
        <w:t xml:space="preserve">8) </w:t>
      </w:r>
      <w:r>
        <w:rPr>
          <w:lang w:val="es-MX"/>
        </w:rPr>
        <w:t>que, tomando las apreciaciones realizadas por Industrias Forestales Arazatí S.A</w:t>
      </w:r>
      <w:r w:rsidR="00A0705A">
        <w:rPr>
          <w:lang w:val="es-MX"/>
        </w:rPr>
        <w:t>.</w:t>
      </w:r>
      <w:r>
        <w:rPr>
          <w:lang w:val="es-MX"/>
        </w:rPr>
        <w:t xml:space="preserve">, con fecha 28.04.16 la Comisión Asesora de Adjudicaciones informó que se procedió a un nuevo </w:t>
      </w:r>
      <w:r w:rsidR="00A0705A">
        <w:rPr>
          <w:lang w:val="es-MX"/>
        </w:rPr>
        <w:t>estudio de las muestras de los item</w:t>
      </w:r>
      <w:r>
        <w:rPr>
          <w:lang w:val="es-MX"/>
        </w:rPr>
        <w:t xml:space="preserve"> 2, 11 y 15 concluyendo que:</w:t>
      </w:r>
    </w:p>
    <w:p w:rsidR="00A0705A" w:rsidRDefault="006F2430" w:rsidP="00A0705A">
      <w:pPr>
        <w:spacing w:line="360" w:lineRule="auto"/>
        <w:ind w:firstLine="2694"/>
        <w:jc w:val="both"/>
        <w:rPr>
          <w:lang w:val="es-MX"/>
        </w:rPr>
      </w:pPr>
      <w:r>
        <w:rPr>
          <w:b/>
          <w:bCs/>
          <w:lang w:val="es-MX"/>
        </w:rPr>
        <w:t>8.1)</w:t>
      </w:r>
      <w:r>
        <w:rPr>
          <w:lang w:val="es-MX"/>
        </w:rPr>
        <w:t xml:space="preserve"> fueron reconsideradas todas las ofertas presentadas para el </w:t>
      </w:r>
      <w:r w:rsidR="00A0705A">
        <w:rPr>
          <w:lang w:val="es-MX"/>
        </w:rPr>
        <w:t>i</w:t>
      </w:r>
      <w:r>
        <w:rPr>
          <w:lang w:val="es-MX"/>
        </w:rPr>
        <w:t xml:space="preserve">tem 2 y, respecto del factor calidad, </w:t>
      </w:r>
      <w:r>
        <w:rPr>
          <w:i/>
          <w:iCs/>
          <w:lang w:val="es-MX"/>
        </w:rPr>
        <w:t xml:space="preserve">“se otorgó un puntaje de 3 a aquellas empresas que presentaron una muestra mejorada (más resistente al sol y al agua – lustradas) y un puntaje de 2 a aquellas </w:t>
      </w:r>
      <w:r w:rsidR="00A0705A">
        <w:rPr>
          <w:i/>
          <w:iCs/>
          <w:lang w:val="es-MX"/>
        </w:rPr>
        <w:t>empresas cuyas muestras se adecu</w:t>
      </w:r>
      <w:r>
        <w:rPr>
          <w:i/>
          <w:iCs/>
          <w:lang w:val="es-MX"/>
        </w:rPr>
        <w:t>an a la del Organismo</w:t>
      </w:r>
      <w:r>
        <w:rPr>
          <w:lang w:val="es-MX"/>
        </w:rPr>
        <w:t>”;</w:t>
      </w:r>
    </w:p>
    <w:p w:rsidR="00A0705A" w:rsidRDefault="006F2430" w:rsidP="00A0705A">
      <w:pPr>
        <w:spacing w:line="360" w:lineRule="auto"/>
        <w:ind w:firstLine="2694"/>
        <w:jc w:val="both"/>
        <w:rPr>
          <w:lang w:val="es-MX"/>
        </w:rPr>
      </w:pPr>
      <w:r>
        <w:rPr>
          <w:b/>
          <w:bCs/>
          <w:lang w:val="es-MX"/>
        </w:rPr>
        <w:lastRenderedPageBreak/>
        <w:t>8.2)</w:t>
      </w:r>
      <w:r>
        <w:rPr>
          <w:lang w:val="es-MX"/>
        </w:rPr>
        <w:t xml:space="preserve"> fueron reconsiderad</w:t>
      </w:r>
      <w:bookmarkStart w:id="0" w:name="_GoBack"/>
      <w:bookmarkEnd w:id="0"/>
      <w:r>
        <w:rPr>
          <w:lang w:val="es-MX"/>
        </w:rPr>
        <w:t>as toda</w:t>
      </w:r>
      <w:r w:rsidR="00A0705A">
        <w:rPr>
          <w:lang w:val="es-MX"/>
        </w:rPr>
        <w:t>s ofertas presentadas para los item</w:t>
      </w:r>
      <w:r>
        <w:rPr>
          <w:lang w:val="es-MX"/>
        </w:rPr>
        <w:t xml:space="preserve"> 11 y 15 y para el factor calidad </w:t>
      </w:r>
      <w:r>
        <w:rPr>
          <w:i/>
          <w:iCs/>
          <w:lang w:val="es-MX"/>
        </w:rPr>
        <w:t>“se otorgó un puntaje de 3 a aquellas empresas que presentaron muestras que se equiparan a las del Organismo y a los fines que serán utilizados, considerando principalmente lo detallado por la firma In</w:t>
      </w:r>
      <w:r w:rsidR="00A0705A">
        <w:rPr>
          <w:i/>
          <w:iCs/>
          <w:lang w:val="es-MX"/>
        </w:rPr>
        <w:t>dustrias Forestales Arazatí S.A.</w:t>
      </w:r>
      <w:r>
        <w:rPr>
          <w:i/>
          <w:iCs/>
          <w:lang w:val="es-MX"/>
        </w:rPr>
        <w:t xml:space="preserve"> y un puntaje de 2 a aquellas empresas que se adecuan a la muestra del Organismo”</w:t>
      </w:r>
      <w:r>
        <w:rPr>
          <w:lang w:val="es-MX"/>
        </w:rPr>
        <w:t>;</w:t>
      </w:r>
    </w:p>
    <w:p w:rsidR="00A0705A" w:rsidRDefault="006F2430" w:rsidP="00A0705A">
      <w:pPr>
        <w:spacing w:line="360" w:lineRule="auto"/>
        <w:ind w:firstLine="2694"/>
        <w:jc w:val="both"/>
        <w:rPr>
          <w:lang w:val="es-MX"/>
        </w:rPr>
      </w:pPr>
      <w:r>
        <w:rPr>
          <w:b/>
          <w:bCs/>
          <w:lang w:val="es-MX"/>
        </w:rPr>
        <w:t xml:space="preserve">9) </w:t>
      </w:r>
      <w:r>
        <w:rPr>
          <w:lang w:val="es-MX"/>
        </w:rPr>
        <w:t>que en la misma fecha, la Comisión Asesora realizó una nueva recomendación modificando únicamente la propuest</w:t>
      </w:r>
      <w:r w:rsidR="00A0705A">
        <w:rPr>
          <w:lang w:val="es-MX"/>
        </w:rPr>
        <w:t>a de adjudicación respecto del i</w:t>
      </w:r>
      <w:r>
        <w:rPr>
          <w:lang w:val="es-MX"/>
        </w:rPr>
        <w:t>tem 2, en favor de Industrias Forestales Arazatí S.A</w:t>
      </w:r>
      <w:r w:rsidR="00A0705A">
        <w:rPr>
          <w:lang w:val="es-MX"/>
        </w:rPr>
        <w:t>.</w:t>
      </w:r>
      <w:r>
        <w:rPr>
          <w:lang w:val="es-MX"/>
        </w:rPr>
        <w:t>, y posteriormente, las actuaciones fueron nuevamente puestas de manifiesto;</w:t>
      </w:r>
    </w:p>
    <w:p w:rsidR="00A0705A" w:rsidRDefault="006F2430" w:rsidP="00A0705A">
      <w:pPr>
        <w:spacing w:line="360" w:lineRule="auto"/>
        <w:ind w:firstLine="2694"/>
        <w:jc w:val="both"/>
        <w:rPr>
          <w:lang w:val="es-MX"/>
        </w:rPr>
      </w:pPr>
      <w:r>
        <w:rPr>
          <w:b/>
          <w:bCs/>
          <w:lang w:val="es-MX"/>
        </w:rPr>
        <w:t xml:space="preserve">10) </w:t>
      </w:r>
      <w:r>
        <w:rPr>
          <w:lang w:val="es-MX"/>
        </w:rPr>
        <w:t>que el 04.05.16, la Comisión Asesora de Adjudicaciones informó que se reiteró la inspección</w:t>
      </w:r>
      <w:r w:rsidR="00A0705A">
        <w:rPr>
          <w:lang w:val="es-MX"/>
        </w:rPr>
        <w:t xml:space="preserve"> ocular de las muestras de los item</w:t>
      </w:r>
      <w:r>
        <w:rPr>
          <w:lang w:val="es-MX"/>
        </w:rPr>
        <w:t xml:space="preserve"> 2, 11 y 15 y recomendó:</w:t>
      </w:r>
    </w:p>
    <w:p w:rsidR="00A0705A" w:rsidRDefault="006F2430" w:rsidP="00A0705A">
      <w:pPr>
        <w:spacing w:line="360" w:lineRule="auto"/>
        <w:ind w:firstLine="2694"/>
        <w:jc w:val="both"/>
        <w:rPr>
          <w:lang w:val="es-MX"/>
        </w:rPr>
      </w:pPr>
      <w:r>
        <w:rPr>
          <w:b/>
          <w:bCs/>
          <w:lang w:val="es-MX"/>
        </w:rPr>
        <w:t>10.1)</w:t>
      </w:r>
      <w:r>
        <w:rPr>
          <w:lang w:val="es-MX"/>
        </w:rPr>
        <w:t xml:space="preserve"> des</w:t>
      </w:r>
      <w:r w:rsidR="00A0705A">
        <w:rPr>
          <w:lang w:val="es-MX"/>
        </w:rPr>
        <w:t>estimar la adjudicación de los item</w:t>
      </w:r>
      <w:r>
        <w:rPr>
          <w:lang w:val="es-MX"/>
        </w:rPr>
        <w:t xml:space="preserve"> 2, 11 y 15 dado que existen diversas incertidumbres respecto de la calidad de las muestras de las empresas que se propusieron adjudicar con fecha 28.04.16;</w:t>
      </w:r>
    </w:p>
    <w:p w:rsidR="00A0705A" w:rsidRDefault="006F2430" w:rsidP="00A0705A">
      <w:pPr>
        <w:spacing w:line="360" w:lineRule="auto"/>
        <w:ind w:firstLine="2694"/>
        <w:jc w:val="both"/>
        <w:rPr>
          <w:lang w:val="es-MX"/>
        </w:rPr>
      </w:pPr>
      <w:r>
        <w:rPr>
          <w:b/>
          <w:bCs/>
          <w:lang w:val="es-MX"/>
        </w:rPr>
        <w:t>10.2)</w:t>
      </w:r>
      <w:r>
        <w:rPr>
          <w:lang w:val="es-MX"/>
        </w:rPr>
        <w:t xml:space="preserve"> por consiguiente, y al tratarse de un conjunto de carpinterías relacionadas a un mism</w:t>
      </w:r>
      <w:r w:rsidR="00A0705A">
        <w:rPr>
          <w:lang w:val="es-MX"/>
        </w:rPr>
        <w:t>o juego, desestimar además los item</w:t>
      </w:r>
      <w:r>
        <w:rPr>
          <w:lang w:val="es-MX"/>
        </w:rPr>
        <w:t xml:space="preserve"> 14 y 16; y</w:t>
      </w:r>
    </w:p>
    <w:p w:rsidR="00A0705A" w:rsidRDefault="006F2430" w:rsidP="00A0705A">
      <w:pPr>
        <w:spacing w:line="360" w:lineRule="auto"/>
        <w:ind w:firstLine="2694"/>
        <w:jc w:val="both"/>
        <w:rPr>
          <w:lang w:val="es-MX"/>
        </w:rPr>
      </w:pPr>
      <w:r>
        <w:rPr>
          <w:b/>
          <w:bCs/>
          <w:lang w:val="es-MX"/>
        </w:rPr>
        <w:t>10.3)</w:t>
      </w:r>
      <w:r>
        <w:rPr>
          <w:lang w:val="es-MX"/>
        </w:rPr>
        <w:t xml:space="preserve"> no proceder al estudio del resto de l</w:t>
      </w:r>
      <w:r w:rsidR="00A0705A">
        <w:rPr>
          <w:lang w:val="es-MX"/>
        </w:rPr>
        <w:t>as ofertas nuevamente para los item</w:t>
      </w:r>
      <w:r>
        <w:rPr>
          <w:lang w:val="es-MX"/>
        </w:rPr>
        <w:t xml:space="preserve"> 2, 11 y 15, por resultar económicamente inconveniente;</w:t>
      </w:r>
    </w:p>
    <w:p w:rsidR="00A0705A" w:rsidRDefault="006F2430" w:rsidP="00A0705A">
      <w:pPr>
        <w:spacing w:line="360" w:lineRule="auto"/>
        <w:ind w:firstLine="2694"/>
        <w:jc w:val="both"/>
        <w:rPr>
          <w:lang w:val="es-MX"/>
        </w:rPr>
      </w:pPr>
      <w:r>
        <w:rPr>
          <w:b/>
          <w:bCs/>
          <w:lang w:val="es-MX"/>
        </w:rPr>
        <w:t xml:space="preserve">11) </w:t>
      </w:r>
      <w:r>
        <w:rPr>
          <w:lang w:val="es-MX"/>
        </w:rPr>
        <w:t xml:space="preserve">que con fecha 10.05.16, la División Hacienda del Departamento de Contabilidad efectuó la reserva de la suma de $ 35:213.693 imputable al </w:t>
      </w:r>
      <w:r w:rsidR="00A0705A">
        <w:rPr>
          <w:lang w:val="es-MX"/>
        </w:rPr>
        <w:t>P</w:t>
      </w:r>
      <w:r>
        <w:rPr>
          <w:lang w:val="es-MX"/>
        </w:rPr>
        <w:t>rograma 608, Proyecto 701, Objeto del Gasto SIIF N° 344;</w:t>
      </w:r>
    </w:p>
    <w:p w:rsidR="006F2430" w:rsidRDefault="006F2430" w:rsidP="00A0705A">
      <w:pPr>
        <w:spacing w:line="360" w:lineRule="auto"/>
        <w:ind w:firstLine="2694"/>
        <w:jc w:val="both"/>
        <w:rPr>
          <w:rFonts w:ascii="Times New Roman" w:hAnsi="Times New Roman" w:cs="Times New Roman"/>
        </w:rPr>
      </w:pPr>
      <w:r>
        <w:rPr>
          <w:b/>
          <w:bCs/>
          <w:lang w:val="es-MX"/>
        </w:rPr>
        <w:t xml:space="preserve">12) </w:t>
      </w:r>
      <w:r>
        <w:rPr>
          <w:lang w:val="es-MX"/>
        </w:rPr>
        <w:t>que por Resolución N° 76 de fecha 10.05.16, el  Consejo de Educación Inicial y</w:t>
      </w:r>
      <w:r w:rsidR="009C38EE">
        <w:rPr>
          <w:lang w:val="es-MX"/>
        </w:rPr>
        <w:t xml:space="preserve"> Primaria dispuso adjudicar la L</w:t>
      </w:r>
      <w:r>
        <w:rPr>
          <w:lang w:val="es-MX"/>
        </w:rPr>
        <w:t xml:space="preserve">icitación de referencia, de conformidad con la última recomendación realizada por la </w:t>
      </w:r>
      <w:r>
        <w:rPr>
          <w:lang w:val="es-MX"/>
        </w:rPr>
        <w:lastRenderedPageBreak/>
        <w:t>Comisión Asesora de Adjudica</w:t>
      </w:r>
      <w:r w:rsidR="009C38EE">
        <w:rPr>
          <w:lang w:val="es-MX"/>
        </w:rPr>
        <w:t>ciones, dejando sin efecto los item Nos.</w:t>
      </w:r>
      <w:r>
        <w:rPr>
          <w:lang w:val="es-MX"/>
        </w:rPr>
        <w:t xml:space="preserve"> 2, 11, 14, 15 y 16, por un total de U$S 1:112.105, discriminado de la siguiente manera: a Prontometal S.A</w:t>
      </w:r>
      <w:r w:rsidR="009C38EE">
        <w:rPr>
          <w:lang w:val="es-MX"/>
        </w:rPr>
        <w:t>.</w:t>
      </w:r>
      <w:r>
        <w:rPr>
          <w:lang w:val="es-MX"/>
        </w:rPr>
        <w:t xml:space="preserve"> U$S 94.855; a Tameca S.R.L</w:t>
      </w:r>
      <w:r w:rsidR="009C38EE">
        <w:rPr>
          <w:lang w:val="es-MX"/>
        </w:rPr>
        <w:t>. U$S 155.600,</w:t>
      </w:r>
      <w:r>
        <w:rPr>
          <w:lang w:val="es-MX"/>
        </w:rPr>
        <w:t xml:space="preserve"> a Metalúrgica del Este S.A</w:t>
      </w:r>
      <w:r w:rsidR="009C38EE">
        <w:rPr>
          <w:lang w:val="es-MX"/>
        </w:rPr>
        <w:t>. U$S 34.770,</w:t>
      </w:r>
      <w:r>
        <w:rPr>
          <w:lang w:val="es-MX"/>
        </w:rPr>
        <w:t xml:space="preserve"> a </w:t>
      </w:r>
      <w:r w:rsidR="009C38EE">
        <w:rPr>
          <w:lang w:val="es-MX"/>
        </w:rPr>
        <w:t>Nicolás De Marco y Cía. S.A U$S163.020, a Taxton S.A U$S 648.000,</w:t>
      </w:r>
      <w:r>
        <w:rPr>
          <w:lang w:val="es-MX"/>
        </w:rPr>
        <w:t xml:space="preserve"> y a Frama S.R.L</w:t>
      </w:r>
      <w:r w:rsidR="009C38EE">
        <w:rPr>
          <w:lang w:val="es-MX"/>
        </w:rPr>
        <w:t>.</w:t>
      </w:r>
      <w:r>
        <w:rPr>
          <w:lang w:val="es-MX"/>
        </w:rPr>
        <w:t xml:space="preserve"> U$S 15.860;</w:t>
      </w:r>
      <w:r>
        <w:rPr>
          <w:rFonts w:ascii="Times New Roman" w:hAnsi="Times New Roman" w:cs="Times New Roman"/>
        </w:rPr>
        <w:t xml:space="preserve">                               </w:t>
      </w:r>
    </w:p>
    <w:p w:rsidR="009C38EE" w:rsidRDefault="006F2430" w:rsidP="009C38EE">
      <w:pPr>
        <w:spacing w:line="360" w:lineRule="auto"/>
        <w:ind w:firstLine="851"/>
        <w:jc w:val="both"/>
        <w:rPr>
          <w:rFonts w:ascii="Times New Roman" w:hAnsi="Times New Roman" w:cs="Times New Roman"/>
        </w:rPr>
      </w:pPr>
      <w:r>
        <w:rPr>
          <w:b/>
          <w:bCs/>
        </w:rPr>
        <w:t>CONSIDERANDO:</w:t>
      </w:r>
      <w:r w:rsidR="009C38EE">
        <w:rPr>
          <w:b/>
          <w:bCs/>
        </w:rPr>
        <w:t xml:space="preserve"> </w:t>
      </w:r>
      <w:r>
        <w:rPr>
          <w:b/>
          <w:bCs/>
        </w:rPr>
        <w:t>1)</w:t>
      </w:r>
      <w:r>
        <w:rPr>
          <w:b/>
          <w:bCs/>
          <w:lang w:val="es-MX"/>
        </w:rPr>
        <w:t xml:space="preserve"> </w:t>
      </w:r>
      <w:r>
        <w:rPr>
          <w:lang w:val="es-MX"/>
        </w:rPr>
        <w:t xml:space="preserve">que el numeral 8.3.3 del Pliego de Condiciones Particulares establece </w:t>
      </w:r>
      <w:r>
        <w:rPr>
          <w:i/>
          <w:iCs/>
          <w:lang w:val="es-MX"/>
        </w:rPr>
        <w:t xml:space="preserve"> “no se podrán establecer cláusulas que condicionen el mantenimiento de la oferta en forma alguna o que indiquen otros plazos; en caso contrario esta Administración, a su exclusivo juicio, podrá desestimar la oferta presentada”</w:t>
      </w:r>
      <w:r>
        <w:rPr>
          <w:lang w:val="es-MX"/>
        </w:rPr>
        <w:t xml:space="preserve">. </w:t>
      </w:r>
      <w:r>
        <w:t>Esta norma habilita a los oferentes a apartarse de los requisitos de mantenimiento de oferta y al mismo tiempo, faculta a la Administración a rechazar propuestas sin basarse en parámetros objetivos para hacerlo, en contravención del principio de estricto cumplimiento del Pliego de Condiciones Particulares, que deriva de los principios de legalidad, transparencia e igualdad de l</w:t>
      </w:r>
      <w:r w:rsidR="009C38EE">
        <w:t>os oferentes estipulados en el Artículo 149 L</w:t>
      </w:r>
      <w:r>
        <w:t>iteral B) del TOCAF</w:t>
      </w:r>
      <w:r w:rsidR="009C38EE">
        <w:rPr>
          <w:rFonts w:ascii="Times New Roman" w:hAnsi="Times New Roman" w:cs="Times New Roman"/>
        </w:rPr>
        <w:t>;</w:t>
      </w:r>
    </w:p>
    <w:p w:rsidR="009C38EE" w:rsidRDefault="006F2430" w:rsidP="009C38EE">
      <w:pPr>
        <w:spacing w:line="360" w:lineRule="auto"/>
        <w:ind w:firstLine="2977"/>
        <w:jc w:val="both"/>
        <w:rPr>
          <w:rFonts w:ascii="Times New Roman" w:hAnsi="Times New Roman" w:cs="Times New Roman"/>
        </w:rPr>
      </w:pPr>
      <w:r w:rsidRPr="009C38EE">
        <w:rPr>
          <w:b/>
        </w:rPr>
        <w:t>2)</w:t>
      </w:r>
      <w:r>
        <w:rPr>
          <w:rFonts w:ascii="Times New Roman" w:hAnsi="Times New Roman" w:cs="Times New Roman"/>
        </w:rPr>
        <w:t xml:space="preserve"> </w:t>
      </w:r>
      <w:r>
        <w:t>que, asimismo</w:t>
      </w:r>
      <w:r>
        <w:rPr>
          <w:rFonts w:ascii="Times New Roman" w:hAnsi="Times New Roman" w:cs="Times New Roman"/>
        </w:rPr>
        <w:t xml:space="preserve">, </w:t>
      </w:r>
      <w:r>
        <w:t xml:space="preserve">para el estudio de las propuestas, en </w:t>
      </w:r>
      <w:r w:rsidR="009C38EE">
        <w:t>relación al factor calidad, el A</w:t>
      </w:r>
      <w:r>
        <w:t>rt</w:t>
      </w:r>
      <w:r w:rsidR="009C38EE">
        <w:t>ículo</w:t>
      </w:r>
      <w:r>
        <w:t xml:space="preserve"> 3 del Pliego de Condiciones Particulares proporciona una serie de elementos o sub factores que deben ser considerados (muestras, utilidad, comodidad), sin determinar criterios de evaluación objetivos para cada uno de éstos, agregando incluso un elemento no objetivo o indeterminado, “</w:t>
      </w:r>
      <w:r>
        <w:rPr>
          <w:i/>
          <w:iCs/>
          <w:lang w:val="es-MX"/>
        </w:rPr>
        <w:t>otros factores destacables”</w:t>
      </w:r>
      <w:r>
        <w:t xml:space="preserve">. </w:t>
      </w:r>
      <w:r>
        <w:rPr>
          <w:lang w:val="es-MX"/>
        </w:rPr>
        <w:t>sin especificar de qué manera han de ser analizados cada uno de éstos y sin determinar cuáles son y en qué consisten lo</w:t>
      </w:r>
      <w:r w:rsidR="009C38EE">
        <w:rPr>
          <w:lang w:val="es-MX"/>
        </w:rPr>
        <w:t>s mismos , contraviniéndose el Artículo 65 Literal C) del TOCAF</w:t>
      </w:r>
      <w:r>
        <w:rPr>
          <w:rFonts w:ascii="Times New Roman" w:hAnsi="Times New Roman" w:cs="Times New Roman"/>
        </w:rPr>
        <w:t>;</w:t>
      </w:r>
    </w:p>
    <w:p w:rsidR="00211C14" w:rsidRDefault="00C13E22" w:rsidP="00211C14">
      <w:pPr>
        <w:spacing w:line="360" w:lineRule="auto"/>
        <w:ind w:firstLine="2977"/>
        <w:jc w:val="both"/>
        <w:rPr>
          <w:lang w:val="es-MX"/>
        </w:rPr>
      </w:pPr>
      <w:r>
        <w:rPr>
          <w:b/>
          <w:bCs/>
          <w:lang w:val="es-MX"/>
        </w:rPr>
        <w:t>3</w:t>
      </w:r>
      <w:r w:rsidR="006F2430">
        <w:rPr>
          <w:b/>
          <w:bCs/>
          <w:lang w:val="es-MX"/>
        </w:rPr>
        <w:t>)</w:t>
      </w:r>
      <w:r w:rsidR="006F2430">
        <w:rPr>
          <w:lang w:val="es-MX"/>
        </w:rPr>
        <w:t xml:space="preserve"> que asimismo, </w:t>
      </w:r>
      <w:r w:rsidR="00211C14">
        <w:rPr>
          <w:lang w:val="es-MX"/>
        </w:rPr>
        <w:t>el A</w:t>
      </w:r>
      <w:r w:rsidR="006F2430">
        <w:rPr>
          <w:lang w:val="es-MX"/>
        </w:rPr>
        <w:t xml:space="preserve">rtículo 3 prevé el siguiente sistema de calificación para el estudio del factor calidad: </w:t>
      </w:r>
      <w:r w:rsidR="006F2430">
        <w:rPr>
          <w:i/>
          <w:iCs/>
          <w:lang w:val="es-MX"/>
        </w:rPr>
        <w:t xml:space="preserve">“Tres puntos a la mejor opción o a la(s) recomendada(s) técnicamente; dos puntos a las que, en </w:t>
      </w:r>
      <w:r w:rsidR="006F2430">
        <w:rPr>
          <w:i/>
          <w:iCs/>
          <w:lang w:val="es-MX"/>
        </w:rPr>
        <w:lastRenderedPageBreak/>
        <w:t>igualdad de condiciones, no resulten recomendadas; y un punto al resto de las ofertas”</w:t>
      </w:r>
      <w:r w:rsidR="006F2430">
        <w:rPr>
          <w:lang w:val="es-MX"/>
        </w:rPr>
        <w:t>. Sin embargo, la Comisión Asesora de Adjudicaciones calificó de manera diferente a la prevista:</w:t>
      </w:r>
    </w:p>
    <w:p w:rsidR="00211C14" w:rsidRDefault="00C13E22" w:rsidP="00211C14">
      <w:pPr>
        <w:spacing w:line="360" w:lineRule="auto"/>
        <w:ind w:firstLine="2977"/>
        <w:jc w:val="both"/>
        <w:rPr>
          <w:lang w:val="es-MX"/>
        </w:rPr>
      </w:pPr>
      <w:r>
        <w:rPr>
          <w:b/>
          <w:bCs/>
          <w:lang w:val="es-MX"/>
        </w:rPr>
        <w:t>3</w:t>
      </w:r>
      <w:r w:rsidR="006F2430">
        <w:rPr>
          <w:b/>
          <w:bCs/>
          <w:lang w:val="es-MX"/>
        </w:rPr>
        <w:t>.1)</w:t>
      </w:r>
      <w:r w:rsidR="006F2430">
        <w:rPr>
          <w:lang w:val="es-MX"/>
        </w:rPr>
        <w:t xml:space="preserve"> respecto</w:t>
      </w:r>
      <w:r w:rsidR="006F2430">
        <w:rPr>
          <w:rFonts w:ascii="Times New Roman" w:hAnsi="Times New Roman" w:cs="Times New Roman"/>
          <w:lang w:val="es-UY"/>
        </w:rPr>
        <w:t xml:space="preserve"> </w:t>
      </w:r>
      <w:r w:rsidR="00211C14">
        <w:rPr>
          <w:lang w:val="es-UY"/>
        </w:rPr>
        <w:t>al i</w:t>
      </w:r>
      <w:r w:rsidR="006F2430">
        <w:rPr>
          <w:lang w:val="es-UY"/>
        </w:rPr>
        <w:t>tem 2, tras la disconformidad expresada</w:t>
      </w:r>
      <w:r w:rsidR="006F2430">
        <w:rPr>
          <w:rFonts w:ascii="Times New Roman" w:hAnsi="Times New Roman" w:cs="Times New Roman"/>
          <w:lang w:val="es-UY"/>
        </w:rPr>
        <w:t xml:space="preserve"> </w:t>
      </w:r>
      <w:r w:rsidR="006F2430">
        <w:rPr>
          <w:lang w:val="es-UY"/>
        </w:rPr>
        <w:t xml:space="preserve">por </w:t>
      </w:r>
      <w:r w:rsidR="006F2430">
        <w:rPr>
          <w:lang w:val="es-MX"/>
        </w:rPr>
        <w:t>la firma Industrias Forestales Arazatí S.A</w:t>
      </w:r>
      <w:r w:rsidR="00211C14">
        <w:rPr>
          <w:lang w:val="es-MX"/>
        </w:rPr>
        <w:t>.</w:t>
      </w:r>
      <w:r w:rsidR="006F2430">
        <w:rPr>
          <w:lang w:val="es-MX"/>
        </w:rPr>
        <w:t xml:space="preserve"> el 25.04.16, el 28.04.16  procedió a un nuevo estudio de las muestras, otorgándose</w:t>
      </w:r>
      <w:r w:rsidR="006F2430">
        <w:rPr>
          <w:i/>
          <w:iCs/>
          <w:lang w:val="es-MX"/>
        </w:rPr>
        <w:t xml:space="preserve"> “un puntaje de tres a aquellas empresas que presentaron una muestra mejorada (más resistente al sol y al agua – lustradas) y un puntaje de dos a aquellas empresas cuyas muestras se adecúan a la del Organismo”</w:t>
      </w:r>
      <w:r w:rsidR="006F2430">
        <w:rPr>
          <w:lang w:val="es-MX"/>
        </w:rPr>
        <w:t>; y</w:t>
      </w:r>
    </w:p>
    <w:p w:rsidR="006F2430" w:rsidRDefault="00C13E22" w:rsidP="00211C14">
      <w:pPr>
        <w:spacing w:line="360" w:lineRule="auto"/>
        <w:ind w:firstLine="2977"/>
        <w:jc w:val="both"/>
        <w:rPr>
          <w:lang w:val="es-MX"/>
        </w:rPr>
      </w:pPr>
      <w:r>
        <w:rPr>
          <w:b/>
          <w:bCs/>
          <w:lang w:val="es-MX"/>
        </w:rPr>
        <w:t>3</w:t>
      </w:r>
      <w:r w:rsidR="006F2430">
        <w:rPr>
          <w:b/>
          <w:bCs/>
          <w:lang w:val="es-MX"/>
        </w:rPr>
        <w:t>.2)</w:t>
      </w:r>
      <w:r w:rsidR="006F2430">
        <w:rPr>
          <w:lang w:val="es-MX"/>
        </w:rPr>
        <w:t xml:space="preserve"> en relación a los 11 y 15 procedió del mismo modo, reconsiderando las muestras y otorgando “</w:t>
      </w:r>
      <w:r w:rsidR="006F2430">
        <w:rPr>
          <w:i/>
          <w:iCs/>
          <w:lang w:val="es-MX"/>
        </w:rPr>
        <w:t>un puntaje de tres a aquellas empresas que presentaron muestras que se equiparan a las del Organismo y a los fines que serán utilizados, considerando principalmente lo detallado por la firma Industrias Forestales Arazatí S.A (…), y un puntaje de dos a aquellas empresas que se adecuan a la muestra del organismo”</w:t>
      </w:r>
      <w:r w:rsidR="006F2430">
        <w:rPr>
          <w:lang w:val="es-MX"/>
        </w:rPr>
        <w:t xml:space="preserve">, </w:t>
      </w:r>
    </w:p>
    <w:p w:rsidR="00211C14" w:rsidRDefault="006F2430">
      <w:pPr>
        <w:spacing w:line="360" w:lineRule="auto"/>
        <w:jc w:val="both"/>
        <w:rPr>
          <w:lang w:val="es-MX"/>
        </w:rPr>
      </w:pPr>
      <w:r>
        <w:rPr>
          <w:lang w:val="es-MX"/>
        </w:rPr>
        <w:t>El proceder de la Comisión, difirió del sistema de calificación previsto en el pliego, contraviniéndose  el principio d</w:t>
      </w:r>
      <w:r w:rsidR="00211C14">
        <w:rPr>
          <w:lang w:val="es-MX"/>
        </w:rPr>
        <w:t>e estricto cumplimiento de los P</w:t>
      </w:r>
      <w:r>
        <w:rPr>
          <w:lang w:val="es-MX"/>
        </w:rPr>
        <w:t>liegos;</w:t>
      </w:r>
    </w:p>
    <w:p w:rsidR="00211C14" w:rsidRDefault="00C13E22" w:rsidP="00211C14">
      <w:pPr>
        <w:spacing w:line="360" w:lineRule="auto"/>
        <w:ind w:firstLine="2977"/>
        <w:jc w:val="both"/>
        <w:rPr>
          <w:lang w:val="es-MX"/>
        </w:rPr>
      </w:pPr>
      <w:r w:rsidRPr="00C13E22">
        <w:rPr>
          <w:b/>
          <w:lang w:val="es-MX"/>
        </w:rPr>
        <w:t>4</w:t>
      </w:r>
      <w:r w:rsidR="006F2430" w:rsidRPr="00C13E22">
        <w:rPr>
          <w:b/>
          <w:bCs/>
          <w:lang w:val="es-MX"/>
        </w:rPr>
        <w:t>)</w:t>
      </w:r>
      <w:r w:rsidR="00211C14">
        <w:rPr>
          <w:lang w:val="es-MX"/>
        </w:rPr>
        <w:t xml:space="preserve"> que también se contravino el A</w:t>
      </w:r>
      <w:r w:rsidR="006F2430">
        <w:rPr>
          <w:lang w:val="es-MX"/>
        </w:rPr>
        <w:t xml:space="preserve">rtículo 1 del Pliego de Condiciones Particulares el que dispone expresamente que </w:t>
      </w:r>
      <w:r w:rsidR="00211C14">
        <w:rPr>
          <w:i/>
          <w:iCs/>
          <w:lang w:val="es-MX"/>
        </w:rPr>
        <w:t>“para todos los item</w:t>
      </w:r>
      <w:r w:rsidR="006F2430">
        <w:rPr>
          <w:i/>
          <w:iCs/>
          <w:lang w:val="es-MX"/>
        </w:rPr>
        <w:t>, se deberán tener en cuenta las muestras que posee el Organismo. En especial desde el renglón 6 al 10, dichas muestras serán tenidas en cuenta como referencia en relación al diseño y estilo que se pretende adquirir. Podrán presentar variantes o alternativas solamente para dichos renglones, la cual estará condicionada a mantener la misma calidad y resistencia del objeto del llamado”.</w:t>
      </w:r>
      <w:r w:rsidR="006F2430">
        <w:rPr>
          <w:lang w:val="es-MX"/>
        </w:rPr>
        <w:t xml:space="preserve"> Al aceptar y calificar muestras diferentes a las proporcionadas </w:t>
      </w:r>
      <w:r w:rsidR="006F2430">
        <w:rPr>
          <w:i/>
          <w:iCs/>
          <w:lang w:val="es-MX"/>
        </w:rPr>
        <w:t>(“muestra mejorada, más resistente al sol y al agua – lustradas</w:t>
      </w:r>
      <w:r w:rsidR="00211C14">
        <w:rPr>
          <w:lang w:val="es-MX"/>
        </w:rPr>
        <w:t>”), en un i</w:t>
      </w:r>
      <w:r w:rsidR="006F2430">
        <w:rPr>
          <w:lang w:val="es-MX"/>
        </w:rPr>
        <w:t xml:space="preserve">tem que no admitía la presentación de variantes o alternativas por no tratarse de los renglones 6 al 10, y al modificar el sistema de </w:t>
      </w:r>
      <w:r w:rsidR="006F2430">
        <w:rPr>
          <w:lang w:val="es-MX"/>
        </w:rPr>
        <w:lastRenderedPageBreak/>
        <w:t>calificación, la Comisión Asesora de Adjudicaciones contravino las bases del llamado, afectando el principio de respeto a</w:t>
      </w:r>
      <w:r w:rsidR="00211C14">
        <w:rPr>
          <w:lang w:val="es-MX"/>
        </w:rPr>
        <w:t>l estricto cumplimiento de los P</w:t>
      </w:r>
      <w:r w:rsidR="006F2430">
        <w:rPr>
          <w:lang w:val="es-MX"/>
        </w:rPr>
        <w:t>liegos, en detriment</w:t>
      </w:r>
      <w:r w:rsidR="00211C14">
        <w:rPr>
          <w:lang w:val="es-MX"/>
        </w:rPr>
        <w:t>o de la igualdad de oferentes (A</w:t>
      </w:r>
      <w:r w:rsidR="006F2430">
        <w:rPr>
          <w:lang w:val="es-MX"/>
        </w:rPr>
        <w:t>rtículo 149 del TOCAF).  Este extremo resulta aún más incoherente si se considera que con fecha 08.04.16, en la etapa de estudio de admisibilidad de las ofertas recibidas, la propuesta de la firma Pri &amp; Asociados S.R.L</w:t>
      </w:r>
      <w:r w:rsidR="00211C14">
        <w:rPr>
          <w:lang w:val="es-MX"/>
        </w:rPr>
        <w:t>.</w:t>
      </w:r>
      <w:r w:rsidR="006F2430">
        <w:rPr>
          <w:lang w:val="es-MX"/>
        </w:rPr>
        <w:t xml:space="preserve"> había sido rechazada por presentar una muestra que no coincidía con la presentada por la Administración;</w:t>
      </w:r>
    </w:p>
    <w:p w:rsidR="006F2430" w:rsidRDefault="00C13E22" w:rsidP="00211C14">
      <w:pPr>
        <w:spacing w:line="360" w:lineRule="auto"/>
        <w:ind w:firstLine="2977"/>
        <w:jc w:val="both"/>
        <w:rPr>
          <w:lang w:val="es-MX"/>
        </w:rPr>
      </w:pPr>
      <w:r w:rsidRPr="00C13E22">
        <w:rPr>
          <w:b/>
          <w:lang w:val="es-MX"/>
        </w:rPr>
        <w:t>5</w:t>
      </w:r>
      <w:r w:rsidR="006F2430" w:rsidRPr="00C13E22">
        <w:rPr>
          <w:b/>
          <w:bCs/>
          <w:lang w:val="es-MX"/>
        </w:rPr>
        <w:t>)</w:t>
      </w:r>
      <w:r w:rsidR="006F2430">
        <w:rPr>
          <w:b/>
          <w:bCs/>
          <w:lang w:val="es-MX"/>
        </w:rPr>
        <w:t xml:space="preserve"> </w:t>
      </w:r>
      <w:r w:rsidR="006F2430">
        <w:rPr>
          <w:lang w:val="es-MX"/>
        </w:rPr>
        <w:t>que habiéndose realizado la reserva de la suma de $ 35:213.693, no luce en las actuaciones informe sobre la disponibilidad presupuestal para comprometer el gasto;</w:t>
      </w:r>
    </w:p>
    <w:p w:rsidR="006F2430" w:rsidRDefault="006F2430" w:rsidP="00211C14">
      <w:pPr>
        <w:shd w:val="clear" w:color="auto" w:fill="FFFFFF"/>
        <w:spacing w:line="360" w:lineRule="auto"/>
        <w:ind w:firstLine="851"/>
        <w:jc w:val="both"/>
      </w:pPr>
      <w:r>
        <w:rPr>
          <w:b/>
          <w:bCs/>
        </w:rPr>
        <w:t xml:space="preserve">ATENTO: </w:t>
      </w:r>
      <w:r>
        <w:t>a lo ex</w:t>
      </w:r>
      <w:r w:rsidR="00211C14">
        <w:t>puesto y a lo dispuesto por el Artículo 211 L</w:t>
      </w:r>
      <w:r>
        <w:t>iteral B) de la Constitución de la República;</w:t>
      </w:r>
    </w:p>
    <w:p w:rsidR="006F2430" w:rsidRDefault="006F2430">
      <w:pPr>
        <w:shd w:val="clear" w:color="auto" w:fill="FFFFFF"/>
        <w:spacing w:line="360" w:lineRule="auto"/>
        <w:jc w:val="center"/>
        <w:rPr>
          <w:b/>
          <w:bCs/>
        </w:rPr>
      </w:pPr>
      <w:r>
        <w:rPr>
          <w:b/>
          <w:bCs/>
        </w:rPr>
        <w:t>EL TRIBUNAL ACUERDA</w:t>
      </w:r>
    </w:p>
    <w:p w:rsidR="006F2430" w:rsidRDefault="006F2430">
      <w:pPr>
        <w:numPr>
          <w:ilvl w:val="0"/>
          <w:numId w:val="2"/>
        </w:numPr>
        <w:shd w:val="clear" w:color="auto" w:fill="FFFFFF"/>
        <w:spacing w:line="360" w:lineRule="auto"/>
        <w:jc w:val="both"/>
      </w:pPr>
      <w:r>
        <w:t>Observar el gasto;</w:t>
      </w:r>
    </w:p>
    <w:p w:rsidR="006F2430" w:rsidRDefault="006F2430">
      <w:pPr>
        <w:numPr>
          <w:ilvl w:val="0"/>
          <w:numId w:val="2"/>
        </w:numPr>
        <w:shd w:val="clear" w:color="auto" w:fill="FFFFFF"/>
        <w:spacing w:line="360" w:lineRule="auto"/>
        <w:jc w:val="both"/>
      </w:pPr>
      <w:r>
        <w:t>Devolver las actuaciones.</w:t>
      </w:r>
    </w:p>
    <w:p w:rsidR="00211C14" w:rsidRDefault="00211C14" w:rsidP="00211C14">
      <w:pPr>
        <w:shd w:val="clear" w:color="auto" w:fill="FFFFFF"/>
        <w:spacing w:line="360" w:lineRule="auto"/>
        <w:jc w:val="both"/>
      </w:pPr>
    </w:p>
    <w:p w:rsidR="00211C14" w:rsidRDefault="00211C14" w:rsidP="00211C14">
      <w:pPr>
        <w:shd w:val="clear" w:color="auto" w:fill="FFFFFF"/>
        <w:spacing w:line="360" w:lineRule="auto"/>
        <w:jc w:val="both"/>
      </w:pPr>
    </w:p>
    <w:p w:rsidR="00211C14" w:rsidRDefault="00211C14" w:rsidP="00211C14">
      <w:pPr>
        <w:shd w:val="clear" w:color="auto" w:fill="FFFFFF"/>
        <w:spacing w:line="360" w:lineRule="auto"/>
        <w:jc w:val="both"/>
      </w:pPr>
    </w:p>
    <w:p w:rsidR="00211C14" w:rsidRDefault="00211C14" w:rsidP="00211C14">
      <w:pPr>
        <w:shd w:val="clear" w:color="auto" w:fill="FFFFFF"/>
        <w:spacing w:line="360" w:lineRule="auto"/>
        <w:jc w:val="both"/>
      </w:pPr>
    </w:p>
    <w:p w:rsidR="00211C14" w:rsidRDefault="00211C14" w:rsidP="00211C14">
      <w:pPr>
        <w:shd w:val="clear" w:color="auto" w:fill="FFFFFF"/>
        <w:spacing w:line="360" w:lineRule="auto"/>
        <w:ind w:hanging="284"/>
        <w:jc w:val="both"/>
      </w:pPr>
      <w:r>
        <w:t>dc</w:t>
      </w:r>
    </w:p>
    <w:sectPr w:rsidR="00211C14" w:rsidSect="0077076C">
      <w:footerReference w:type="default" r:id="rId8"/>
      <w:pgSz w:w="11907" w:h="16840" w:code="9"/>
      <w:pgMar w:top="3402"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30" w:rsidRDefault="006F2430">
      <w:pPr>
        <w:rPr>
          <w:rFonts w:ascii="Times New Roman" w:hAnsi="Times New Roman" w:cs="Times New Roman"/>
        </w:rPr>
      </w:pPr>
      <w:r>
        <w:rPr>
          <w:rFonts w:ascii="Times New Roman" w:hAnsi="Times New Roman" w:cs="Times New Roman"/>
        </w:rPr>
        <w:separator/>
      </w:r>
    </w:p>
  </w:endnote>
  <w:endnote w:type="continuationSeparator" w:id="0">
    <w:p w:rsidR="006F2430" w:rsidRDefault="006F243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430" w:rsidRDefault="006F2430">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1C14">
      <w:rPr>
        <w:rStyle w:val="Nmerodepgina"/>
        <w:noProof/>
      </w:rPr>
      <w:t>4</w:t>
    </w:r>
    <w:r>
      <w:rPr>
        <w:rStyle w:val="Nmerodepgina"/>
      </w:rPr>
      <w:fldChar w:fldCharType="end"/>
    </w:r>
  </w:p>
  <w:p w:rsidR="006F2430" w:rsidRDefault="006F2430">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30" w:rsidRDefault="006F2430">
      <w:pPr>
        <w:rPr>
          <w:rFonts w:ascii="Times New Roman" w:hAnsi="Times New Roman" w:cs="Times New Roman"/>
        </w:rPr>
      </w:pPr>
      <w:r>
        <w:rPr>
          <w:rFonts w:ascii="Times New Roman" w:hAnsi="Times New Roman" w:cs="Times New Roman"/>
        </w:rPr>
        <w:separator/>
      </w:r>
    </w:p>
  </w:footnote>
  <w:footnote w:type="continuationSeparator" w:id="0">
    <w:p w:rsidR="006F2430" w:rsidRDefault="006F2430">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B3D21"/>
    <w:multiLevelType w:val="hybridMultilevel"/>
    <w:tmpl w:val="33B4C782"/>
    <w:lvl w:ilvl="0" w:tplc="4258A890">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6B417195"/>
    <w:multiLevelType w:val="hybridMultilevel"/>
    <w:tmpl w:val="D9FE843C"/>
    <w:lvl w:ilvl="0" w:tplc="0C0A0017">
      <w:start w:val="1"/>
      <w:numFmt w:val="lowerLetter"/>
      <w:lvlText w:val="%1)"/>
      <w:lvlJc w:val="left"/>
      <w:pPr>
        <w:tabs>
          <w:tab w:val="num" w:pos="720"/>
        </w:tabs>
        <w:ind w:left="720" w:hanging="360"/>
      </w:pPr>
      <w:rPr>
        <w:rFonts w:ascii="Times New Roman" w:hAnsi="Times New Roman" w:cs="Times New Roman" w:hint="default"/>
      </w:rPr>
    </w:lvl>
    <w:lvl w:ilvl="1" w:tplc="84181792">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30"/>
    <w:rsid w:val="00211C14"/>
    <w:rsid w:val="006F2430"/>
    <w:rsid w:val="0077076C"/>
    <w:rsid w:val="009C38EE"/>
    <w:rsid w:val="00A0705A"/>
    <w:rsid w:val="00C1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hd w:val="clear" w:color="auto" w:fill="FFFFFF"/>
      <w:spacing w:line="360" w:lineRule="auto"/>
      <w:jc w:val="both"/>
      <w:outlineLvl w:val="1"/>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i/>
      <w:iCs/>
      <w:sz w:val="20"/>
      <w:szCs w:val="20"/>
      <w:shd w:val="clear" w:color="auto" w:fill="FFFFFF"/>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spacing w:line="360" w:lineRule="auto"/>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spacing w:line="360" w:lineRule="auto"/>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hd w:val="clear" w:color="auto" w:fill="FFFFFF"/>
      <w:spacing w:line="360" w:lineRule="auto"/>
      <w:jc w:val="both"/>
      <w:outlineLvl w:val="1"/>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i/>
      <w:iCs/>
      <w:sz w:val="20"/>
      <w:szCs w:val="20"/>
      <w:shd w:val="clear" w:color="auto" w:fill="FFFFFF"/>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spacing w:line="360" w:lineRule="auto"/>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spacing w:line="360" w:lineRule="auto"/>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1802</Words>
  <Characters>9318</Characters>
  <Application>Microsoft Office Word</Application>
  <DocSecurity>4</DocSecurity>
  <Lines>77</Lines>
  <Paragraphs>22</Paragraphs>
  <ScaleCrop>false</ScaleCrop>
  <HeadingPairs>
    <vt:vector size="2" baseType="variant">
      <vt:variant>
        <vt:lpstr>Título</vt:lpstr>
      </vt:variant>
      <vt:variant>
        <vt:i4>1</vt:i4>
      </vt:variant>
    </vt:vector>
  </HeadingPairs>
  <TitlesOfParts>
    <vt:vector size="1" baseType="lpstr">
      <vt:lpstr>Carpeta N°: 2016-17-1-0003274</vt:lpstr>
    </vt:vector>
  </TitlesOfParts>
  <Company>Tribunal de Cuentas</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2016-17-1-0003274</dc:title>
  <dc:creator>MARIA ALEJANDRA ALVAREZ LOPEZ</dc:creator>
  <cp:lastModifiedBy>Tribunal1</cp:lastModifiedBy>
  <cp:revision>2</cp:revision>
  <cp:lastPrinted>2016-06-13T20:32:00Z</cp:lastPrinted>
  <dcterms:created xsi:type="dcterms:W3CDTF">2016-06-13T20:32:00Z</dcterms:created>
  <dcterms:modified xsi:type="dcterms:W3CDTF">2016-06-13T20:32:00Z</dcterms:modified>
</cp:coreProperties>
</file>