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8BE" w:rsidRPr="00786EEB" w:rsidRDefault="006408BE" w:rsidP="00786EEB">
      <w:pPr>
        <w:tabs>
          <w:tab w:val="center" w:pos="4253"/>
        </w:tabs>
        <w:suppressAutoHyphens/>
        <w:jc w:val="right"/>
        <w:rPr>
          <w:b/>
          <w:sz w:val="28"/>
          <w:szCs w:val="28"/>
          <w:lang w:val="es-ES_tradnl"/>
        </w:rPr>
      </w:pPr>
      <w:r w:rsidRPr="00786EEB">
        <w:rPr>
          <w:b/>
          <w:sz w:val="28"/>
          <w:szCs w:val="28"/>
          <w:lang w:val="es-ES_tradnl"/>
        </w:rPr>
        <w:t xml:space="preserve">RES. </w:t>
      </w:r>
      <w:r>
        <w:rPr>
          <w:b/>
          <w:sz w:val="28"/>
          <w:szCs w:val="28"/>
          <w:lang w:val="es-ES_tradnl"/>
        </w:rPr>
        <w:t>1867</w:t>
      </w:r>
      <w:r w:rsidRPr="00786EEB">
        <w:rPr>
          <w:b/>
          <w:sz w:val="28"/>
          <w:szCs w:val="28"/>
          <w:lang w:val="es-ES_tradnl"/>
        </w:rPr>
        <w:t>/16</w:t>
      </w:r>
    </w:p>
    <w:p w:rsidR="006408BE" w:rsidRDefault="006408BE" w:rsidP="00786EEB">
      <w:pPr>
        <w:tabs>
          <w:tab w:val="center" w:pos="4253"/>
        </w:tabs>
        <w:suppressAutoHyphens/>
        <w:jc w:val="right"/>
        <w:rPr>
          <w:b/>
          <w:lang w:val="es-ES_tradnl"/>
        </w:rPr>
      </w:pPr>
    </w:p>
    <w:p w:rsidR="006408BE" w:rsidRPr="00762B34" w:rsidRDefault="006408BE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762B34">
        <w:rPr>
          <w:b/>
          <w:lang w:val="es-ES_tradnl"/>
        </w:rPr>
        <w:t>RESOLUCION ADOPTADA POR EL</w:t>
      </w:r>
    </w:p>
    <w:p w:rsidR="006408BE" w:rsidRPr="00762B34" w:rsidRDefault="006408BE">
      <w:pPr>
        <w:tabs>
          <w:tab w:val="left" w:pos="-720"/>
        </w:tabs>
        <w:suppressAutoHyphens/>
        <w:jc w:val="center"/>
        <w:rPr>
          <w:b/>
          <w:lang w:val="es-ES_tradnl"/>
        </w:rPr>
      </w:pPr>
    </w:p>
    <w:p w:rsidR="006408BE" w:rsidRPr="00762B34" w:rsidRDefault="006408BE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762B34">
        <w:rPr>
          <w:b/>
          <w:lang w:val="es-ES_tradnl"/>
        </w:rPr>
        <w:t>TRIBUNAL DE CUENTAS</w:t>
      </w:r>
    </w:p>
    <w:p w:rsidR="006408BE" w:rsidRPr="00762B34" w:rsidRDefault="006408BE">
      <w:pPr>
        <w:tabs>
          <w:tab w:val="left" w:pos="-720"/>
        </w:tabs>
        <w:suppressAutoHyphens/>
        <w:jc w:val="center"/>
        <w:rPr>
          <w:b/>
          <w:lang w:val="es-ES_tradnl"/>
        </w:rPr>
      </w:pPr>
    </w:p>
    <w:p w:rsidR="006408BE" w:rsidRPr="00762B34" w:rsidRDefault="006408BE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762B34">
        <w:rPr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1 DE JUNIO DE 2016</w:t>
      </w:r>
    </w:p>
    <w:p w:rsidR="006408BE" w:rsidRPr="00762B34" w:rsidRDefault="006408BE">
      <w:pPr>
        <w:tabs>
          <w:tab w:val="center" w:pos="4253"/>
        </w:tabs>
        <w:suppressAutoHyphens/>
        <w:jc w:val="center"/>
        <w:rPr>
          <w:b/>
          <w:lang w:val="es-ES_tradnl"/>
        </w:rPr>
      </w:pPr>
    </w:p>
    <w:p w:rsidR="006408BE" w:rsidRPr="00762B34" w:rsidRDefault="006408BE">
      <w:pPr>
        <w:tabs>
          <w:tab w:val="center" w:pos="4253"/>
        </w:tabs>
        <w:suppressAutoHyphens/>
        <w:jc w:val="center"/>
        <w:rPr>
          <w:b/>
          <w:lang w:val="en-US"/>
        </w:rPr>
      </w:pPr>
      <w:r w:rsidRPr="00762B34">
        <w:rPr>
          <w:b/>
          <w:lang w:val="en-US"/>
        </w:rPr>
        <w:t xml:space="preserve">(E. E. Nº </w:t>
      </w:r>
      <w:r>
        <w:rPr>
          <w:b/>
          <w:lang w:val="en-US"/>
        </w:rPr>
        <w:t>2016-17-1-0002686</w:t>
      </w:r>
      <w:r w:rsidRPr="00762B34">
        <w:rPr>
          <w:b/>
          <w:lang w:val="en-US"/>
        </w:rPr>
        <w:t xml:space="preserve">, </w:t>
      </w:r>
      <w:proofErr w:type="spellStart"/>
      <w:proofErr w:type="gramStart"/>
      <w:r w:rsidRPr="00762B34">
        <w:rPr>
          <w:b/>
          <w:lang w:val="en-US"/>
        </w:rPr>
        <w:t>Ent</w:t>
      </w:r>
      <w:proofErr w:type="spellEnd"/>
      <w:proofErr w:type="gramEnd"/>
      <w:r w:rsidRPr="00762B34">
        <w:rPr>
          <w:b/>
          <w:lang w:val="en-US"/>
        </w:rPr>
        <w:t xml:space="preserve">. N° </w:t>
      </w:r>
      <w:r>
        <w:rPr>
          <w:b/>
          <w:lang w:val="en-US"/>
        </w:rPr>
        <w:t>2005/16</w:t>
      </w:r>
      <w:r w:rsidRPr="00762B34">
        <w:rPr>
          <w:b/>
          <w:lang w:val="en-US"/>
        </w:rPr>
        <w:t>)</w:t>
      </w:r>
    </w:p>
    <w:p w:rsidR="006408BE" w:rsidRDefault="006408B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  <w:bookmarkStart w:id="0" w:name="_GoBack"/>
      <w:bookmarkEnd w:id="0"/>
    </w:p>
    <w:p w:rsidR="006408BE" w:rsidRDefault="006408BE" w:rsidP="00DA1ECC">
      <w:pPr>
        <w:pStyle w:val="Textoindependiente"/>
        <w:ind w:firstLine="708"/>
        <w:rPr>
          <w:rFonts w:cs="Arial"/>
          <w:b/>
          <w:bCs/>
        </w:rPr>
      </w:pPr>
    </w:p>
    <w:p w:rsidR="005F17C7" w:rsidRDefault="005F17C7" w:rsidP="00DA1ECC">
      <w:pPr>
        <w:pStyle w:val="Textoindependiente"/>
        <w:ind w:firstLine="708"/>
        <w:rPr>
          <w:rFonts w:cs="Arial"/>
        </w:rPr>
      </w:pPr>
      <w:r>
        <w:rPr>
          <w:rFonts w:cs="Arial"/>
          <w:b/>
          <w:bCs/>
        </w:rPr>
        <w:t>VISTO</w:t>
      </w:r>
      <w:r>
        <w:rPr>
          <w:rFonts w:cs="Arial"/>
        </w:rPr>
        <w:t xml:space="preserve">: las actuaciones remitidas por la Contadora Delegada ante la Administración de Ferrocarriles del Estado (AFE), </w:t>
      </w:r>
      <w:r>
        <w:rPr>
          <w:rFonts w:cs="Arial"/>
          <w:lang w:val="es-MX"/>
        </w:rPr>
        <w:t>relacionadas con la reiteración del gasto derivado del pago de la sentencia judicial de condena recaída en autos caratulados: “</w:t>
      </w:r>
      <w:proofErr w:type="spellStart"/>
      <w:r>
        <w:rPr>
          <w:rFonts w:cs="Arial"/>
        </w:rPr>
        <w:t>Muslera</w:t>
      </w:r>
      <w:proofErr w:type="spellEnd"/>
      <w:r>
        <w:rPr>
          <w:rFonts w:cs="Arial"/>
        </w:rPr>
        <w:t xml:space="preserve"> Adriana por sí y en representación de sus menores hijos y otra c/ AFE. Daños y perjuicios” (Ficha Nº 330-103/2007); </w:t>
      </w:r>
    </w:p>
    <w:p w:rsidR="005F17C7" w:rsidRDefault="005F17C7" w:rsidP="00DA1ECC">
      <w:pPr>
        <w:pStyle w:val="Textoindependiente"/>
        <w:ind w:firstLine="708"/>
        <w:rPr>
          <w:rFonts w:cs="Arial"/>
        </w:rPr>
      </w:pPr>
      <w:r>
        <w:rPr>
          <w:rFonts w:cs="Arial"/>
          <w:b/>
          <w:bCs/>
        </w:rPr>
        <w:t>RESULTANDO: 1)</w:t>
      </w:r>
      <w:r>
        <w:rPr>
          <w:rFonts w:cs="Arial"/>
        </w:rPr>
        <w:t xml:space="preserve"> que por  Resolución de fecha 26 de diciembre de 2013, el Directorio dispuso  el pago de $ 329.934, $ 2.000 y </w:t>
      </w:r>
      <w:proofErr w:type="spellStart"/>
      <w:r>
        <w:rPr>
          <w:rFonts w:cs="Arial"/>
        </w:rPr>
        <w:t>UR</w:t>
      </w:r>
      <w:proofErr w:type="spellEnd"/>
      <w:r>
        <w:rPr>
          <w:rFonts w:cs="Arial"/>
        </w:rPr>
        <w:t xml:space="preserve"> 46 correspondiente a la Sentencia Nº 5933/2012, dictada por el Juzgado Letrado de Primera Instancia de 4º Turno de Rivera,  recaída en autos caratulados </w:t>
      </w:r>
      <w:r>
        <w:rPr>
          <w:rFonts w:cs="Arial"/>
          <w:i/>
          <w:iCs/>
        </w:rPr>
        <w:t>“</w:t>
      </w:r>
      <w:proofErr w:type="spellStart"/>
      <w:r>
        <w:rPr>
          <w:rFonts w:cs="Arial"/>
        </w:rPr>
        <w:t>Muslera</w:t>
      </w:r>
      <w:proofErr w:type="spellEnd"/>
      <w:r>
        <w:rPr>
          <w:rFonts w:cs="Arial"/>
        </w:rPr>
        <w:t xml:space="preserve"> Adriana por sí y en representación de sus menores hijos y otra c/ AFE. Daños y perjuicios” (Ficha Nº 330-103/2007);</w:t>
      </w:r>
    </w:p>
    <w:p w:rsidR="00DA1ECC" w:rsidRDefault="00DA1ECC" w:rsidP="00DA1ECC">
      <w:pPr>
        <w:pStyle w:val="Textoindependiente"/>
        <w:tabs>
          <w:tab w:val="left" w:pos="1843"/>
        </w:tabs>
        <w:ind w:firstLine="2552"/>
        <w:rPr>
          <w:rFonts w:cs="Arial"/>
        </w:rPr>
      </w:pPr>
      <w:r>
        <w:rPr>
          <w:rFonts w:cs="Arial"/>
          <w:b/>
        </w:rPr>
        <w:t xml:space="preserve"> </w:t>
      </w:r>
      <w:r w:rsidRPr="00DA1ECC">
        <w:rPr>
          <w:rFonts w:cs="Arial"/>
          <w:b/>
        </w:rPr>
        <w:t>2</w:t>
      </w:r>
      <w:r w:rsidR="005F17C7">
        <w:rPr>
          <w:rFonts w:cs="Arial"/>
          <w:b/>
          <w:bCs/>
        </w:rPr>
        <w:t>)</w:t>
      </w:r>
      <w:r w:rsidR="005F17C7">
        <w:rPr>
          <w:rFonts w:cs="Arial"/>
        </w:rPr>
        <w:t xml:space="preserve"> que con fecha 27 de enero de 2014, la Contadora Delegada procedió a observar el gasto, en razón  de que se carecía de asignación en el Programa 3 “Administración”, Grupo 7 “Gastos no clasificados”, Objeto 711 “Sentencias Judiciales”; </w:t>
      </w:r>
    </w:p>
    <w:p w:rsidR="00DA1ECC" w:rsidRDefault="00DA1ECC" w:rsidP="00DA1ECC">
      <w:pPr>
        <w:pStyle w:val="Textoindependiente"/>
        <w:tabs>
          <w:tab w:val="left" w:pos="1843"/>
        </w:tabs>
        <w:ind w:firstLine="2552"/>
        <w:rPr>
          <w:rFonts w:cs="Arial"/>
        </w:rPr>
      </w:pPr>
      <w:r>
        <w:rPr>
          <w:rFonts w:cs="Arial"/>
        </w:rPr>
        <w:t xml:space="preserve"> </w:t>
      </w:r>
      <w:r w:rsidR="005F17C7">
        <w:rPr>
          <w:rFonts w:cs="Arial"/>
          <w:b/>
          <w:bCs/>
          <w:lang w:val="es-MX"/>
        </w:rPr>
        <w:t>3)</w:t>
      </w:r>
      <w:r w:rsidR="005F17C7">
        <w:rPr>
          <w:rFonts w:cs="Arial"/>
          <w:lang w:val="es-MX"/>
        </w:rPr>
        <w:t xml:space="preserve"> que por Resolución de fecha 5 de febrero de 2014, el Directorio dispuso reiterar el gasto por $ 363.384,20;</w:t>
      </w:r>
    </w:p>
    <w:p w:rsidR="005F17C7" w:rsidRDefault="00DA1ECC" w:rsidP="00DA1ECC">
      <w:pPr>
        <w:pStyle w:val="Textoindependiente"/>
        <w:tabs>
          <w:tab w:val="left" w:pos="1843"/>
        </w:tabs>
        <w:ind w:firstLine="2552"/>
        <w:rPr>
          <w:rFonts w:cs="Arial"/>
        </w:rPr>
      </w:pPr>
      <w:r>
        <w:rPr>
          <w:rFonts w:cs="Arial"/>
        </w:rPr>
        <w:t xml:space="preserve"> </w:t>
      </w:r>
      <w:r w:rsidR="005F17C7">
        <w:rPr>
          <w:rFonts w:cs="Arial"/>
          <w:b/>
          <w:bCs/>
          <w:lang w:val="es-MX"/>
        </w:rPr>
        <w:t>4)</w:t>
      </w:r>
      <w:r w:rsidR="005F17C7">
        <w:rPr>
          <w:rFonts w:cs="Arial"/>
          <w:lang w:val="es-MX"/>
        </w:rPr>
        <w:t xml:space="preserve"> que con fecha 11 de febrero de 2014, la Contadora Delegada </w:t>
      </w:r>
      <w:proofErr w:type="gramStart"/>
      <w:r w:rsidR="005F17C7">
        <w:rPr>
          <w:rFonts w:cs="Arial"/>
          <w:lang w:val="es-MX"/>
        </w:rPr>
        <w:t>intervino ,por</w:t>
      </w:r>
      <w:proofErr w:type="gramEnd"/>
      <w:r w:rsidR="005F17C7">
        <w:rPr>
          <w:rFonts w:cs="Arial"/>
          <w:lang w:val="es-MX"/>
        </w:rPr>
        <w:t xml:space="preserve"> reiteración, el gasto referido;</w:t>
      </w:r>
    </w:p>
    <w:p w:rsidR="005F17C7" w:rsidRDefault="005F17C7" w:rsidP="00DA1ECC">
      <w:pPr>
        <w:spacing w:line="360" w:lineRule="auto"/>
        <w:ind w:firstLine="708"/>
        <w:jc w:val="both"/>
        <w:rPr>
          <w:lang w:val="es-MX"/>
        </w:rPr>
      </w:pPr>
      <w:r>
        <w:rPr>
          <w:b/>
          <w:bCs/>
        </w:rPr>
        <w:t xml:space="preserve">CONSIDERANDO: </w:t>
      </w:r>
      <w:r w:rsidRPr="00DA1ECC">
        <w:rPr>
          <w:b/>
          <w:bCs/>
        </w:rPr>
        <w:t>1</w:t>
      </w:r>
      <w:r w:rsidRPr="00DA1ECC">
        <w:rPr>
          <w:b/>
          <w:bCs/>
          <w:lang w:val="es-MX"/>
        </w:rPr>
        <w:t>)</w:t>
      </w:r>
      <w:r>
        <w:rPr>
          <w:b/>
          <w:bCs/>
          <w:lang w:val="es-MX"/>
        </w:rPr>
        <w:t xml:space="preserve"> </w:t>
      </w:r>
      <w:r>
        <w:rPr>
          <w:lang w:val="es-MX"/>
        </w:rPr>
        <w:t xml:space="preserve">que el </w:t>
      </w:r>
      <w:r w:rsidR="00DA1ECC">
        <w:rPr>
          <w:lang w:val="es-MX"/>
        </w:rPr>
        <w:t>A</w:t>
      </w:r>
      <w:r>
        <w:rPr>
          <w:lang w:val="es-MX"/>
        </w:rPr>
        <w:t>rtículo 475 de la Ley</w:t>
      </w:r>
      <w:r w:rsidR="00DA1ECC">
        <w:rPr>
          <w:lang w:val="es-MX"/>
        </w:rPr>
        <w:t xml:space="preserve"> Nº</w:t>
      </w:r>
      <w:r>
        <w:rPr>
          <w:lang w:val="es-MX"/>
        </w:rPr>
        <w:t xml:space="preserve"> 17.296 de 21/2/01, establece que los Ordenadores de gastos o pagos, al ejercer la facultad de insistencia o reiteración que les acuerda el </w:t>
      </w:r>
      <w:r w:rsidR="00DA1ECC">
        <w:rPr>
          <w:lang w:val="es-MX"/>
        </w:rPr>
        <w:t>A</w:t>
      </w:r>
      <w:r>
        <w:rPr>
          <w:lang w:val="es-MX"/>
        </w:rPr>
        <w:t xml:space="preserve">rtículo 211 </w:t>
      </w:r>
      <w:r w:rsidR="00DA1ECC">
        <w:rPr>
          <w:lang w:val="es-MX"/>
        </w:rPr>
        <w:t>Literal</w:t>
      </w:r>
      <w:r>
        <w:rPr>
          <w:lang w:val="es-MX"/>
        </w:rPr>
        <w:t xml:space="preserve"> B) de </w:t>
      </w:r>
      <w:r>
        <w:rPr>
          <w:lang w:val="es-MX"/>
        </w:rPr>
        <w:lastRenderedPageBreak/>
        <w:t>la Constitución de la República, deben hacerlo en forma fundada, detallando los motivos que a su juicio justifican seguir el curso del gasto o pago;</w:t>
      </w:r>
    </w:p>
    <w:p w:rsidR="00DA1ECC" w:rsidRDefault="005F17C7" w:rsidP="00DA1ECC">
      <w:pPr>
        <w:spacing w:line="360" w:lineRule="auto"/>
        <w:ind w:firstLine="2977"/>
        <w:jc w:val="both"/>
        <w:rPr>
          <w:lang w:val="es-MX"/>
        </w:rPr>
      </w:pPr>
      <w:r>
        <w:rPr>
          <w:b/>
          <w:bCs/>
          <w:lang w:val="es-MX"/>
        </w:rPr>
        <w:t xml:space="preserve">2) </w:t>
      </w:r>
      <w:r>
        <w:rPr>
          <w:lang w:val="es-MX"/>
        </w:rPr>
        <w:t xml:space="preserve">que en el presente caso, la Administración no ha manifestado argumentos a efectos de reiterar el gasto; </w:t>
      </w:r>
    </w:p>
    <w:p w:rsidR="005F17C7" w:rsidRPr="00DA1ECC" w:rsidRDefault="005F17C7" w:rsidP="00DA1ECC">
      <w:pPr>
        <w:spacing w:line="360" w:lineRule="auto"/>
        <w:ind w:firstLine="2977"/>
        <w:jc w:val="both"/>
        <w:rPr>
          <w:lang w:val="es-MX"/>
        </w:rPr>
      </w:pPr>
      <w:r>
        <w:rPr>
          <w:b/>
          <w:bCs/>
          <w:lang w:val="es-MX"/>
        </w:rPr>
        <w:t>3)</w:t>
      </w:r>
      <w:r>
        <w:rPr>
          <w:lang w:val="es-MX"/>
        </w:rPr>
        <w:t xml:space="preserve"> que sin perjuicio de ello,  siendo  que la presente situación encuadra en lo previsto por el </w:t>
      </w:r>
      <w:r w:rsidR="00DA1ECC">
        <w:rPr>
          <w:lang w:val="es-MX"/>
        </w:rPr>
        <w:t>N</w:t>
      </w:r>
      <w:r>
        <w:rPr>
          <w:lang w:val="es-MX"/>
        </w:rPr>
        <w:t xml:space="preserve">umeral 1) del </w:t>
      </w:r>
      <w:r w:rsidR="00DA1ECC">
        <w:rPr>
          <w:lang w:val="es-MX"/>
        </w:rPr>
        <w:t>Artículo</w:t>
      </w:r>
      <w:r>
        <w:rPr>
          <w:lang w:val="es-MX"/>
        </w:rPr>
        <w:t xml:space="preserve"> 15 del </w:t>
      </w:r>
      <w:proofErr w:type="spellStart"/>
      <w:r>
        <w:rPr>
          <w:lang w:val="es-MX"/>
        </w:rPr>
        <w:t>TOCAF</w:t>
      </w:r>
      <w:proofErr w:type="spellEnd"/>
      <w:r>
        <w:rPr>
          <w:lang w:val="es-MX"/>
        </w:rPr>
        <w:t xml:space="preserve">, por el que se prevé que </w:t>
      </w:r>
      <w:r w:rsidRPr="00DA1ECC">
        <w:rPr>
          <w:i/>
          <w:iCs/>
          <w:lang w:val="es-MX"/>
        </w:rPr>
        <w:t>“N</w:t>
      </w:r>
      <w:r w:rsidRPr="00DA1ECC">
        <w:rPr>
          <w:i/>
          <w:iCs/>
        </w:rPr>
        <w:t>o podrán comprometerse gastos de funcionamiento o de inversiones sin que exista crédito disponible, salvo en los siguientes casos: 1) Cumplimiento de sentencias judiciales, laudos arbitrales o situaciones derivadas de lo establecido en los artículos 24 y 25 de la Constitución de la República”,</w:t>
      </w:r>
      <w:r>
        <w:rPr>
          <w:rFonts w:ascii="Times New Roman" w:hAnsi="Times New Roman" w:cs="Times New Roman"/>
        </w:rPr>
        <w:t xml:space="preserve"> </w:t>
      </w:r>
      <w:r w:rsidRPr="00DA1ECC">
        <w:t>no resulta observable el gasto;</w:t>
      </w:r>
    </w:p>
    <w:p w:rsidR="005F17C7" w:rsidRDefault="005F17C7" w:rsidP="00DA1ECC">
      <w:pPr>
        <w:pStyle w:val="Textoindependiente"/>
        <w:ind w:firstLine="708"/>
        <w:rPr>
          <w:rFonts w:cs="Arial"/>
        </w:rPr>
      </w:pPr>
      <w:r>
        <w:rPr>
          <w:rFonts w:cs="Arial"/>
          <w:b/>
          <w:bCs/>
        </w:rPr>
        <w:t>ATENTO</w:t>
      </w:r>
      <w:r w:rsidR="00DA1ECC">
        <w:rPr>
          <w:rFonts w:cs="Arial"/>
          <w:b/>
          <w:bCs/>
        </w:rPr>
        <w:t>: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 xml:space="preserve">a lo precedentemente expuesto y a lo establecido por el </w:t>
      </w:r>
      <w:r w:rsidR="00DA1ECC">
        <w:rPr>
          <w:rFonts w:cs="Arial"/>
        </w:rPr>
        <w:t>Artículo</w:t>
      </w:r>
      <w:r>
        <w:rPr>
          <w:rFonts w:cs="Arial"/>
        </w:rPr>
        <w:t xml:space="preserve"> 211 </w:t>
      </w:r>
      <w:r w:rsidR="00DA1ECC">
        <w:rPr>
          <w:rFonts w:cs="Arial"/>
        </w:rPr>
        <w:t>L</w:t>
      </w:r>
      <w:r>
        <w:rPr>
          <w:rFonts w:cs="Arial"/>
        </w:rPr>
        <w:t xml:space="preserve">iteral B) de la Constitución de la República; </w:t>
      </w:r>
    </w:p>
    <w:p w:rsidR="005F17C7" w:rsidRDefault="005F17C7" w:rsidP="00DA1ECC">
      <w:pPr>
        <w:pStyle w:val="Ttulo3"/>
        <w:spacing w:before="0" w:after="0"/>
        <w:jc w:val="center"/>
      </w:pPr>
      <w:r>
        <w:t>EL TRIBUNAL ACUERDA</w:t>
      </w:r>
    </w:p>
    <w:p w:rsidR="005F17C7" w:rsidRDefault="00DA1ECC" w:rsidP="00DA1ECC">
      <w:pPr>
        <w:pStyle w:val="Ttulo2"/>
        <w:ind w:left="284" w:hanging="284"/>
        <w:jc w:val="both"/>
        <w:rPr>
          <w:b w:val="0"/>
          <w:bCs w:val="0"/>
        </w:rPr>
      </w:pPr>
      <w:r w:rsidRPr="00DA1ECC">
        <w:rPr>
          <w:bCs w:val="0"/>
        </w:rPr>
        <w:t>1)</w:t>
      </w:r>
      <w:r>
        <w:rPr>
          <w:b w:val="0"/>
          <w:bCs w:val="0"/>
          <w:lang w:val="es-MX"/>
        </w:rPr>
        <w:t xml:space="preserve"> </w:t>
      </w:r>
      <w:r w:rsidR="005F17C7">
        <w:rPr>
          <w:b w:val="0"/>
          <w:bCs w:val="0"/>
          <w:lang w:val="es-MX"/>
        </w:rPr>
        <w:t xml:space="preserve">Levantar la observación formulada por la Contadora Delegada con fecha 27 de enero de </w:t>
      </w:r>
      <w:r w:rsidR="005F17C7">
        <w:rPr>
          <w:b w:val="0"/>
          <w:bCs w:val="0"/>
        </w:rPr>
        <w:t>2014;</w:t>
      </w:r>
    </w:p>
    <w:p w:rsidR="005F17C7" w:rsidRDefault="00DA1ECC" w:rsidP="00DA1ECC">
      <w:pPr>
        <w:pStyle w:val="Ttulo2"/>
        <w:jc w:val="both"/>
        <w:rPr>
          <w:b w:val="0"/>
          <w:bCs w:val="0"/>
        </w:rPr>
      </w:pPr>
      <w:r w:rsidRPr="00DA1ECC">
        <w:rPr>
          <w:bCs w:val="0"/>
          <w:lang w:val="es-MX"/>
        </w:rPr>
        <w:t>2)</w:t>
      </w:r>
      <w:r>
        <w:rPr>
          <w:b w:val="0"/>
          <w:bCs w:val="0"/>
          <w:lang w:val="es-MX"/>
        </w:rPr>
        <w:t xml:space="preserve"> </w:t>
      </w:r>
      <w:r w:rsidR="005F17C7">
        <w:rPr>
          <w:b w:val="0"/>
          <w:bCs w:val="0"/>
          <w:lang w:val="es-MX"/>
        </w:rPr>
        <w:t xml:space="preserve">Comunicar a la Contadora Delegada; </w:t>
      </w:r>
      <w:r w:rsidR="005F17C7">
        <w:rPr>
          <w:b w:val="0"/>
          <w:bCs w:val="0"/>
        </w:rPr>
        <w:t>y</w:t>
      </w:r>
    </w:p>
    <w:p w:rsidR="005F17C7" w:rsidRDefault="00DA1ECC" w:rsidP="00DA1ECC">
      <w:pPr>
        <w:pStyle w:val="Ttulo2"/>
        <w:jc w:val="both"/>
        <w:rPr>
          <w:b w:val="0"/>
          <w:bCs w:val="0"/>
        </w:rPr>
      </w:pPr>
      <w:r w:rsidRPr="00DA1ECC">
        <w:rPr>
          <w:bCs w:val="0"/>
        </w:rPr>
        <w:t>3)</w:t>
      </w:r>
      <w:r>
        <w:rPr>
          <w:b w:val="0"/>
          <w:bCs w:val="0"/>
        </w:rPr>
        <w:t xml:space="preserve"> </w:t>
      </w:r>
      <w:r w:rsidR="005F17C7">
        <w:rPr>
          <w:b w:val="0"/>
          <w:bCs w:val="0"/>
        </w:rPr>
        <w:t xml:space="preserve">Comunicar a la Administración. </w:t>
      </w:r>
    </w:p>
    <w:p w:rsidR="00DA1ECC" w:rsidRDefault="00DA1ECC" w:rsidP="00DA1ECC">
      <w:pPr>
        <w:pStyle w:val="Textoindependiente"/>
        <w:rPr>
          <w:rFonts w:cs="Arial"/>
        </w:rPr>
      </w:pPr>
    </w:p>
    <w:p w:rsidR="00DA1ECC" w:rsidRDefault="00DA1ECC" w:rsidP="00DA1ECC">
      <w:pPr>
        <w:pStyle w:val="Textoindependiente"/>
        <w:rPr>
          <w:rFonts w:cs="Arial"/>
        </w:rPr>
      </w:pPr>
      <w:proofErr w:type="spellStart"/>
      <w:proofErr w:type="gramStart"/>
      <w:r>
        <w:rPr>
          <w:rFonts w:cs="Arial"/>
        </w:rPr>
        <w:t>aa</w:t>
      </w:r>
      <w:proofErr w:type="spellEnd"/>
      <w:proofErr w:type="gramEnd"/>
    </w:p>
    <w:p w:rsidR="00DA1ECC" w:rsidRDefault="00DA1ECC" w:rsidP="00DA1ECC"/>
    <w:p w:rsidR="00DA1ECC" w:rsidRPr="00DA1ECC" w:rsidRDefault="00DA1ECC" w:rsidP="00DA1ECC">
      <w:pPr>
        <w:tabs>
          <w:tab w:val="left" w:pos="1395"/>
        </w:tabs>
      </w:pPr>
      <w:r>
        <w:tab/>
      </w:r>
    </w:p>
    <w:sectPr w:rsidR="00DA1ECC" w:rsidRPr="00DA1ECC" w:rsidSect="006408BE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E7D8A"/>
    <w:multiLevelType w:val="hybridMultilevel"/>
    <w:tmpl w:val="69B60B50"/>
    <w:lvl w:ilvl="0" w:tplc="11C2AB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">
    <w:nsid w:val="6ECD7395"/>
    <w:multiLevelType w:val="hybridMultilevel"/>
    <w:tmpl w:val="7C72A886"/>
    <w:lvl w:ilvl="0" w:tplc="122EF5C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7C7"/>
    <w:rsid w:val="005F17C7"/>
    <w:rsid w:val="006408BE"/>
    <w:rsid w:val="00DA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center"/>
      <w:outlineLvl w:val="0"/>
    </w:pPr>
    <w:rPr>
      <w:rFonts w:cstheme="minorBidi"/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line="360" w:lineRule="auto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Times New Roman" w:hAnsi="Times New Roman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rPr>
      <w:rFonts w:ascii="Arial" w:hAnsi="Arial" w:cs="Arial"/>
      <w:b/>
      <w:bCs/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cstheme="minorBid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Times New Roman" w:hAnsi="Times New Roman" w:cs="Times New Roman"/>
      <w:sz w:val="24"/>
      <w:szCs w:val="24"/>
      <w:lang w:eastAsia="es-ES"/>
    </w:rPr>
  </w:style>
  <w:style w:type="paragraph" w:styleId="Lista">
    <w:name w:val="List"/>
    <w:basedOn w:val="Normal"/>
    <w:uiPriority w:val="99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center"/>
      <w:outlineLvl w:val="0"/>
    </w:pPr>
    <w:rPr>
      <w:rFonts w:cstheme="minorBidi"/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line="360" w:lineRule="auto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Times New Roman" w:hAnsi="Times New Roman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rPr>
      <w:rFonts w:ascii="Arial" w:hAnsi="Arial" w:cs="Arial"/>
      <w:b/>
      <w:bCs/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cstheme="minorBid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Times New Roman" w:hAnsi="Times New Roman" w:cs="Times New Roman"/>
      <w:sz w:val="24"/>
      <w:szCs w:val="24"/>
      <w:lang w:eastAsia="es-ES"/>
    </w:rPr>
  </w:style>
  <w:style w:type="paragraph" w:styleId="Lista">
    <w:name w:val="List"/>
    <w:basedOn w:val="Normal"/>
    <w:uiPriority w:val="99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2226</Characters>
  <Application>Microsoft Office Word</Application>
  <DocSecurity>0</DocSecurity>
  <Lines>18</Lines>
  <Paragraphs>5</Paragraphs>
  <ScaleCrop>false</ScaleCrop>
  <Company>Tribunal de Cuentas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2016-17-1-0002686</dc:title>
  <dc:subject/>
  <dc:creator>DIEGO MARTIN LAMAS GARCIA</dc:creator>
  <cp:keywords/>
  <dc:description/>
  <cp:lastModifiedBy>Adrian Acosta</cp:lastModifiedBy>
  <cp:revision>2</cp:revision>
  <cp:lastPrinted>2016-06-06T13:48:00Z</cp:lastPrinted>
  <dcterms:created xsi:type="dcterms:W3CDTF">2016-06-06T13:49:00Z</dcterms:created>
  <dcterms:modified xsi:type="dcterms:W3CDTF">2016-06-06T13:49:00Z</dcterms:modified>
</cp:coreProperties>
</file>