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E4" w:rsidRPr="00786EEB" w:rsidRDefault="00B16CE4" w:rsidP="008C472E">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1770</w:t>
      </w:r>
      <w:r w:rsidRPr="00786EEB">
        <w:rPr>
          <w:b/>
          <w:sz w:val="28"/>
          <w:szCs w:val="28"/>
          <w:lang w:val="es-ES_tradnl"/>
        </w:rPr>
        <w:t>/16</w:t>
      </w:r>
    </w:p>
    <w:p w:rsidR="00B16CE4" w:rsidRDefault="00B16CE4" w:rsidP="00B16CE4">
      <w:pPr>
        <w:tabs>
          <w:tab w:val="center" w:pos="4253"/>
        </w:tabs>
        <w:suppressAutoHyphens/>
        <w:spacing w:line="240" w:lineRule="auto"/>
        <w:jc w:val="right"/>
        <w:rPr>
          <w:b/>
          <w:lang w:val="es-ES_tradnl"/>
        </w:rPr>
      </w:pPr>
    </w:p>
    <w:p w:rsidR="00B16CE4" w:rsidRPr="00762B34" w:rsidRDefault="00B16CE4" w:rsidP="00B16CE4">
      <w:pPr>
        <w:tabs>
          <w:tab w:val="center" w:pos="4253"/>
        </w:tabs>
        <w:suppressAutoHyphens/>
        <w:spacing w:line="240" w:lineRule="auto"/>
        <w:jc w:val="center"/>
        <w:rPr>
          <w:b/>
          <w:lang w:val="es-ES_tradnl"/>
        </w:rPr>
      </w:pPr>
      <w:r w:rsidRPr="00762B34">
        <w:rPr>
          <w:b/>
          <w:lang w:val="es-ES_tradnl"/>
        </w:rPr>
        <w:t>RESOLUCION ADOPTADA POR EL</w:t>
      </w:r>
    </w:p>
    <w:p w:rsidR="00B16CE4" w:rsidRPr="00762B34" w:rsidRDefault="00B16CE4" w:rsidP="00B16CE4">
      <w:pPr>
        <w:tabs>
          <w:tab w:val="left" w:pos="-720"/>
        </w:tabs>
        <w:suppressAutoHyphens/>
        <w:spacing w:line="240" w:lineRule="auto"/>
        <w:jc w:val="center"/>
        <w:rPr>
          <w:b/>
          <w:lang w:val="es-ES_tradnl"/>
        </w:rPr>
      </w:pPr>
    </w:p>
    <w:p w:rsidR="00B16CE4" w:rsidRPr="00762B34" w:rsidRDefault="00B16CE4" w:rsidP="00B16CE4">
      <w:pPr>
        <w:tabs>
          <w:tab w:val="center" w:pos="4253"/>
        </w:tabs>
        <w:suppressAutoHyphens/>
        <w:spacing w:line="240" w:lineRule="auto"/>
        <w:jc w:val="center"/>
        <w:rPr>
          <w:b/>
          <w:lang w:val="es-ES_tradnl"/>
        </w:rPr>
      </w:pPr>
      <w:r w:rsidRPr="00762B34">
        <w:rPr>
          <w:b/>
          <w:lang w:val="es-ES_tradnl"/>
        </w:rPr>
        <w:t>TRIBUNAL DE CUENTAS</w:t>
      </w:r>
    </w:p>
    <w:p w:rsidR="00B16CE4" w:rsidRPr="00762B34" w:rsidRDefault="00B16CE4" w:rsidP="00B16CE4">
      <w:pPr>
        <w:tabs>
          <w:tab w:val="left" w:pos="-720"/>
        </w:tabs>
        <w:suppressAutoHyphens/>
        <w:spacing w:line="240" w:lineRule="auto"/>
        <w:jc w:val="center"/>
        <w:rPr>
          <w:b/>
          <w:lang w:val="es-ES_tradnl"/>
        </w:rPr>
      </w:pPr>
    </w:p>
    <w:p w:rsidR="00B16CE4" w:rsidRPr="00762B34" w:rsidRDefault="00B16CE4" w:rsidP="00B16CE4">
      <w:pPr>
        <w:tabs>
          <w:tab w:val="center" w:pos="4253"/>
        </w:tabs>
        <w:suppressAutoHyphens/>
        <w:spacing w:line="240" w:lineRule="auto"/>
        <w:jc w:val="center"/>
        <w:rPr>
          <w:b/>
          <w:lang w:val="es-ES_tradnl"/>
        </w:rPr>
      </w:pPr>
      <w:r w:rsidRPr="00762B34">
        <w:rPr>
          <w:b/>
          <w:lang w:val="es-ES_tradnl"/>
        </w:rPr>
        <w:t xml:space="preserve">EN SESION DE FECHA </w:t>
      </w:r>
      <w:r>
        <w:rPr>
          <w:rFonts w:ascii="Helvetica" w:hAnsi="Helvetica"/>
          <w:b/>
          <w:lang w:val="es-ES_tradnl"/>
        </w:rPr>
        <w:t>25 DE MAYO DE 2016</w:t>
      </w:r>
    </w:p>
    <w:p w:rsidR="00B16CE4" w:rsidRPr="00762B34" w:rsidRDefault="00B16CE4" w:rsidP="00B16CE4">
      <w:pPr>
        <w:tabs>
          <w:tab w:val="center" w:pos="4253"/>
        </w:tabs>
        <w:suppressAutoHyphens/>
        <w:spacing w:line="240" w:lineRule="auto"/>
        <w:jc w:val="center"/>
        <w:rPr>
          <w:b/>
          <w:lang w:val="es-ES_tradnl"/>
        </w:rPr>
      </w:pPr>
    </w:p>
    <w:p w:rsidR="00B16CE4" w:rsidRPr="00762B34" w:rsidRDefault="00B16CE4" w:rsidP="00B16CE4">
      <w:pPr>
        <w:tabs>
          <w:tab w:val="center" w:pos="4253"/>
        </w:tabs>
        <w:suppressAutoHyphens/>
        <w:spacing w:line="240" w:lineRule="auto"/>
        <w:jc w:val="center"/>
        <w:rPr>
          <w:b/>
          <w:lang w:val="en-US"/>
        </w:rPr>
      </w:pPr>
      <w:r w:rsidRPr="00762B34">
        <w:rPr>
          <w:b/>
          <w:lang w:val="en-US"/>
        </w:rPr>
        <w:t xml:space="preserve">(E. E. Nº </w:t>
      </w:r>
      <w:r>
        <w:rPr>
          <w:b/>
          <w:lang w:val="en-US"/>
        </w:rPr>
        <w:t xml:space="preserve">2016-17-1- </w:t>
      </w:r>
      <w:proofErr w:type="gramStart"/>
      <w:r>
        <w:rPr>
          <w:b/>
          <w:lang w:val="en-US"/>
        </w:rPr>
        <w:t>0002882</w:t>
      </w:r>
      <w:r w:rsidRPr="00762B34">
        <w:rPr>
          <w:b/>
          <w:lang w:val="en-US"/>
        </w:rPr>
        <w:t xml:space="preserve"> ,</w:t>
      </w:r>
      <w:proofErr w:type="gramEnd"/>
      <w:r w:rsidRPr="00762B34">
        <w:rPr>
          <w:b/>
          <w:lang w:val="en-US"/>
        </w:rPr>
        <w:t xml:space="preserve"> </w:t>
      </w:r>
      <w:proofErr w:type="spellStart"/>
      <w:r w:rsidRPr="00762B34">
        <w:rPr>
          <w:b/>
          <w:lang w:val="en-US"/>
        </w:rPr>
        <w:t>Ent</w:t>
      </w:r>
      <w:proofErr w:type="spellEnd"/>
      <w:r w:rsidRPr="00762B34">
        <w:rPr>
          <w:b/>
          <w:lang w:val="en-US"/>
        </w:rPr>
        <w:t>. N°</w:t>
      </w:r>
      <w:r>
        <w:rPr>
          <w:b/>
          <w:lang w:val="en-US"/>
        </w:rPr>
        <w:t>2190/16</w:t>
      </w:r>
      <w:r w:rsidRPr="00762B34">
        <w:rPr>
          <w:b/>
          <w:lang w:val="en-US"/>
        </w:rPr>
        <w:t>)</w:t>
      </w:r>
    </w:p>
    <w:p w:rsidR="00B16CE4" w:rsidRDefault="00B16CE4">
      <w:pPr>
        <w:rPr>
          <w:lang w:val="en-US"/>
        </w:rPr>
      </w:pPr>
    </w:p>
    <w:p w:rsidR="00D60711" w:rsidRDefault="00D60711" w:rsidP="008C472E">
      <w:pPr>
        <w:ind w:firstLine="851"/>
        <w:jc w:val="both"/>
        <w:rPr>
          <w:lang w:val="es-MX"/>
        </w:rPr>
      </w:pPr>
      <w:r>
        <w:rPr>
          <w:b/>
          <w:bCs/>
        </w:rPr>
        <w:t>VISTO:</w:t>
      </w:r>
      <w:r>
        <w:t xml:space="preserve"> las actuaciones remitidas por la Administración de las Obras Sanitarias del Estado, relacionadas con la</w:t>
      </w:r>
      <w:r>
        <w:rPr>
          <w:lang w:val="es-MX"/>
        </w:rPr>
        <w:t xml:space="preserve"> Licitación Pública Internacional convocada para  la contratación de servicios de consultoría, con la finalidad de elaborar los estudios, proyecto básico y documentos de la licitación para la posterior construcción de la presa del Arroyo </w:t>
      </w:r>
      <w:proofErr w:type="spellStart"/>
      <w:r>
        <w:rPr>
          <w:lang w:val="es-MX"/>
        </w:rPr>
        <w:t>Casupá</w:t>
      </w:r>
      <w:proofErr w:type="spellEnd"/>
      <w:r>
        <w:rPr>
          <w:lang w:val="es-MX"/>
        </w:rPr>
        <w:t>, destinada a aumentar las reservas de agua para la ciudad de Montevideo y Área Metropolitana;</w:t>
      </w:r>
    </w:p>
    <w:p w:rsidR="00D60711" w:rsidRDefault="00D60711" w:rsidP="008C472E">
      <w:pPr>
        <w:ind w:firstLine="851"/>
        <w:jc w:val="both"/>
        <w:rPr>
          <w:lang w:val="es-MX"/>
        </w:rPr>
      </w:pPr>
      <w:r>
        <w:rPr>
          <w:b/>
          <w:bCs/>
          <w:lang w:val="es-MX"/>
        </w:rPr>
        <w:t xml:space="preserve">RESULTANDO:1) </w:t>
      </w:r>
      <w:r>
        <w:rPr>
          <w:lang w:val="es-MX"/>
        </w:rPr>
        <w:t>que el 12.11.14 se aprobó el texto del Convenio suscrito entre CAF (Corporación Andina de Fomento), en su calidad de administrador del fondo LAIF, gestionado conjuntamente por el Banco de Desarrollo KFW y la Unión Europea, con la Administración de las Obras Sanitarias de</w:t>
      </w:r>
      <w:r w:rsidR="008C472E">
        <w:rPr>
          <w:lang w:val="es-MX"/>
        </w:rPr>
        <w:t>l Estado, correspondiente a la C</w:t>
      </w:r>
      <w:r>
        <w:rPr>
          <w:lang w:val="es-MX"/>
        </w:rPr>
        <w:t>ooperaci</w:t>
      </w:r>
      <w:r w:rsidR="008C472E">
        <w:rPr>
          <w:lang w:val="es-MX"/>
        </w:rPr>
        <w:t>ón Técnica no R</w:t>
      </w:r>
      <w:r>
        <w:rPr>
          <w:lang w:val="es-MX"/>
        </w:rPr>
        <w:t xml:space="preserve">eembolsable del </w:t>
      </w:r>
      <w:r w:rsidR="008C472E">
        <w:rPr>
          <w:lang w:val="es-MX"/>
        </w:rPr>
        <w:t>F</w:t>
      </w:r>
      <w:r>
        <w:rPr>
          <w:lang w:val="es-MX"/>
        </w:rPr>
        <w:t xml:space="preserve">ondo LAIF, para la elaboración del proyecto básico y los documentos de la licitación, para la construcción de una presa sobre el Arroyo </w:t>
      </w:r>
      <w:proofErr w:type="spellStart"/>
      <w:r>
        <w:rPr>
          <w:lang w:val="es-MX"/>
        </w:rPr>
        <w:t>Casupá</w:t>
      </w:r>
      <w:proofErr w:type="spellEnd"/>
      <w:r>
        <w:rPr>
          <w:lang w:val="es-MX"/>
        </w:rPr>
        <w:t>, destinada a aumentar las reservas de agua para la ciudad de Montevideo y Área Metropolitana;</w:t>
      </w:r>
    </w:p>
    <w:p w:rsidR="00D60711" w:rsidRDefault="00D60711" w:rsidP="008C472E">
      <w:pPr>
        <w:ind w:firstLine="2694"/>
        <w:jc w:val="both"/>
        <w:rPr>
          <w:lang w:val="es-MX"/>
        </w:rPr>
      </w:pPr>
      <w:r>
        <w:rPr>
          <w:b/>
          <w:bCs/>
          <w:lang w:val="es-MX"/>
        </w:rPr>
        <w:t>2)</w:t>
      </w:r>
      <w:r>
        <w:rPr>
          <w:lang w:val="es-MX"/>
        </w:rPr>
        <w:t xml:space="preserve"> que habiéndose realizado publicaciones en diversos medios, con fecha 23.02.15, se recibieron dieciocho manifestaciones de interés, correspondientes a firmas consultoras de diferentes países;</w:t>
      </w:r>
    </w:p>
    <w:p w:rsidR="00D60711" w:rsidRDefault="00D60711" w:rsidP="008C472E">
      <w:pPr>
        <w:ind w:firstLine="2694"/>
        <w:jc w:val="both"/>
        <w:rPr>
          <w:lang w:val="es-UY"/>
        </w:rPr>
      </w:pPr>
      <w:r>
        <w:rPr>
          <w:b/>
          <w:bCs/>
          <w:lang w:val="es-MX"/>
        </w:rPr>
        <w:t xml:space="preserve">3) </w:t>
      </w:r>
      <w:r>
        <w:rPr>
          <w:lang w:val="es-MX"/>
        </w:rPr>
        <w:t xml:space="preserve">que, analizados los aspectos jurídicos y contables de las ofertas, el Tribunal de Evaluación recomendó invitar a las cinco firmas mejor calificadas a participar la siguiente etapa del proceso, consistente en la presentación de una oferta técnica y económica: </w:t>
      </w:r>
      <w:proofErr w:type="spellStart"/>
      <w:r>
        <w:rPr>
          <w:lang w:val="es-UY"/>
        </w:rPr>
        <w:t>Intertechne</w:t>
      </w:r>
      <w:proofErr w:type="spellEnd"/>
      <w:r>
        <w:rPr>
          <w:lang w:val="es-UY"/>
        </w:rPr>
        <w:t xml:space="preserve"> Consultores S.A;  </w:t>
      </w:r>
      <w:proofErr w:type="spellStart"/>
      <w:r>
        <w:rPr>
          <w:lang w:val="es-UY"/>
        </w:rPr>
        <w:lastRenderedPageBreak/>
        <w:t>Tractebel</w:t>
      </w:r>
      <w:proofErr w:type="spellEnd"/>
      <w:r>
        <w:rPr>
          <w:lang w:val="es-UY"/>
        </w:rPr>
        <w:t xml:space="preserve"> </w:t>
      </w:r>
      <w:proofErr w:type="spellStart"/>
      <w:r>
        <w:rPr>
          <w:lang w:val="es-UY"/>
        </w:rPr>
        <w:t>Engineering-Lahmeyer</w:t>
      </w:r>
      <w:proofErr w:type="spellEnd"/>
      <w:r>
        <w:rPr>
          <w:lang w:val="es-UY"/>
        </w:rPr>
        <w:t xml:space="preserve"> Internacional-</w:t>
      </w:r>
      <w:proofErr w:type="spellStart"/>
      <w:r>
        <w:rPr>
          <w:lang w:val="es-UY"/>
        </w:rPr>
        <w:t>Leme</w:t>
      </w:r>
      <w:proofErr w:type="spellEnd"/>
      <w:r>
        <w:rPr>
          <w:lang w:val="es-UY"/>
        </w:rPr>
        <w:t xml:space="preserve"> </w:t>
      </w:r>
      <w:proofErr w:type="spellStart"/>
      <w:r>
        <w:rPr>
          <w:lang w:val="es-UY"/>
        </w:rPr>
        <w:t>Engenharia</w:t>
      </w:r>
      <w:proofErr w:type="spellEnd"/>
      <w:r>
        <w:rPr>
          <w:lang w:val="es-UY"/>
        </w:rPr>
        <w:t xml:space="preserve">;  </w:t>
      </w:r>
      <w:proofErr w:type="spellStart"/>
      <w:r>
        <w:rPr>
          <w:lang w:val="es-UY"/>
        </w:rPr>
        <w:t>Typsa-Engecorps</w:t>
      </w:r>
      <w:proofErr w:type="spellEnd"/>
      <w:r>
        <w:rPr>
          <w:lang w:val="es-UY"/>
        </w:rPr>
        <w:t xml:space="preserve">;  </w:t>
      </w:r>
      <w:proofErr w:type="spellStart"/>
      <w:r>
        <w:rPr>
          <w:lang w:val="es-UY"/>
        </w:rPr>
        <w:t>Fichtner</w:t>
      </w:r>
      <w:proofErr w:type="spellEnd"/>
      <w:r>
        <w:rPr>
          <w:lang w:val="es-UY"/>
        </w:rPr>
        <w:t xml:space="preserve"> </w:t>
      </w:r>
      <w:proofErr w:type="spellStart"/>
      <w:r>
        <w:rPr>
          <w:lang w:val="es-UY"/>
        </w:rPr>
        <w:t>GmbH</w:t>
      </w:r>
      <w:proofErr w:type="spellEnd"/>
      <w:r>
        <w:rPr>
          <w:lang w:val="es-UY"/>
        </w:rPr>
        <w:t xml:space="preserve"> &amp; Co.KG-Estudio </w:t>
      </w:r>
      <w:proofErr w:type="spellStart"/>
      <w:r>
        <w:rPr>
          <w:lang w:val="es-UY"/>
        </w:rPr>
        <w:t>Guitelman</w:t>
      </w:r>
      <w:proofErr w:type="spellEnd"/>
      <w:r>
        <w:rPr>
          <w:lang w:val="es-UY"/>
        </w:rPr>
        <w:t xml:space="preserve"> S.A; y  </w:t>
      </w:r>
      <w:proofErr w:type="spellStart"/>
      <w:r>
        <w:rPr>
          <w:lang w:val="es-UY"/>
        </w:rPr>
        <w:t>Ingetec</w:t>
      </w:r>
      <w:proofErr w:type="spellEnd"/>
      <w:r>
        <w:rPr>
          <w:lang w:val="es-UY"/>
        </w:rPr>
        <w:t xml:space="preserve">- </w:t>
      </w:r>
      <w:proofErr w:type="spellStart"/>
      <w:r>
        <w:rPr>
          <w:lang w:val="es-UY"/>
        </w:rPr>
        <w:t>Everis</w:t>
      </w:r>
      <w:proofErr w:type="spellEnd"/>
      <w:r>
        <w:rPr>
          <w:lang w:val="es-UY"/>
        </w:rPr>
        <w:t xml:space="preserve"> </w:t>
      </w:r>
      <w:proofErr w:type="spellStart"/>
      <w:r>
        <w:rPr>
          <w:lang w:val="es-UY"/>
        </w:rPr>
        <w:t>Spain</w:t>
      </w:r>
      <w:proofErr w:type="spellEnd"/>
      <w:r>
        <w:rPr>
          <w:lang w:val="es-UY"/>
        </w:rPr>
        <w:t>;</w:t>
      </w:r>
      <w:r>
        <w:rPr>
          <w:lang w:val="es-UY"/>
        </w:rPr>
        <w:tab/>
      </w:r>
      <w:r>
        <w:rPr>
          <w:lang w:val="es-UY"/>
        </w:rPr>
        <w:tab/>
      </w:r>
      <w:r>
        <w:rPr>
          <w:lang w:val="es-UY"/>
        </w:rPr>
        <w:tab/>
        <w:t xml:space="preserve"> </w:t>
      </w:r>
    </w:p>
    <w:p w:rsidR="00D60711" w:rsidRDefault="00D60711" w:rsidP="008C472E">
      <w:pPr>
        <w:ind w:firstLine="2694"/>
        <w:jc w:val="both"/>
        <w:rPr>
          <w:lang w:val="es-UY"/>
        </w:rPr>
      </w:pPr>
      <w:r>
        <w:rPr>
          <w:b/>
          <w:bCs/>
          <w:lang w:val="es-UY"/>
        </w:rPr>
        <w:t>4)</w:t>
      </w:r>
      <w:r>
        <w:rPr>
          <w:lang w:val="es-UY"/>
        </w:rPr>
        <w:t xml:space="preserve"> que, habiéndose cursado las correspondientes invitaciones, con fecha 16.09.15 cuatro de los cinco proponentes precalificados presentaron sus ofertas técnicas, siendo que el Consorcio </w:t>
      </w:r>
      <w:proofErr w:type="spellStart"/>
      <w:r>
        <w:rPr>
          <w:lang w:val="es-UY"/>
        </w:rPr>
        <w:t>Ingetec-Everis</w:t>
      </w:r>
      <w:proofErr w:type="spellEnd"/>
      <w:r>
        <w:rPr>
          <w:lang w:val="es-UY"/>
        </w:rPr>
        <w:t xml:space="preserve"> comunicó </w:t>
      </w:r>
      <w:r w:rsidR="008C472E">
        <w:rPr>
          <w:lang w:val="es-UY"/>
        </w:rPr>
        <w:t xml:space="preserve"> </w:t>
      </w:r>
      <w:r>
        <w:rPr>
          <w:lang w:val="es-UY"/>
        </w:rPr>
        <w:t>su imposibilidad de presentarse a la licitación;</w:t>
      </w:r>
    </w:p>
    <w:p w:rsidR="00D60711" w:rsidRDefault="00D60711" w:rsidP="008C472E">
      <w:pPr>
        <w:ind w:firstLine="2694"/>
        <w:jc w:val="both"/>
        <w:rPr>
          <w:lang w:val="es-UY"/>
        </w:rPr>
      </w:pPr>
      <w:r>
        <w:rPr>
          <w:b/>
          <w:bCs/>
          <w:lang w:val="es-UY"/>
        </w:rPr>
        <w:t xml:space="preserve">5) </w:t>
      </w:r>
      <w:r>
        <w:rPr>
          <w:lang w:val="es-UY"/>
        </w:rPr>
        <w:t xml:space="preserve">que en cumplimiento de la etapa de evaluación previsto,  el informe técnico de fecha 19.11.15 concluyó que tres oferentes superaron el límite mínimo de calificación, por lo que el </w:t>
      </w:r>
      <w:r>
        <w:rPr>
          <w:lang w:val="es-MX"/>
        </w:rPr>
        <w:t xml:space="preserve">04.12.15 </w:t>
      </w:r>
      <w:r>
        <w:rPr>
          <w:lang w:val="es-UY"/>
        </w:rPr>
        <w:t xml:space="preserve">se procedió a la apertura de sus correspondientes ofertas económicas. El informe de Evaluación Final de fecha </w:t>
      </w:r>
      <w:r>
        <w:rPr>
          <w:lang w:val="es-MX"/>
        </w:rPr>
        <w:t xml:space="preserve">16.12.15, aprobado por la Gerencia General el 23.12.15, determinó que la propuesta de  </w:t>
      </w:r>
      <w:proofErr w:type="spellStart"/>
      <w:r>
        <w:rPr>
          <w:lang w:val="es-MX"/>
        </w:rPr>
        <w:t>Typsa</w:t>
      </w:r>
      <w:proofErr w:type="spellEnd"/>
      <w:r>
        <w:rPr>
          <w:lang w:val="es-MX"/>
        </w:rPr>
        <w:t xml:space="preserve"> –</w:t>
      </w:r>
      <w:proofErr w:type="spellStart"/>
      <w:r>
        <w:rPr>
          <w:lang w:val="es-MX"/>
        </w:rPr>
        <w:t>Engecorps</w:t>
      </w:r>
      <w:proofErr w:type="spellEnd"/>
      <w:r>
        <w:rPr>
          <w:lang w:val="es-MX"/>
        </w:rPr>
        <w:t xml:space="preserve"> fue la mejor puntuada del llamado;</w:t>
      </w:r>
    </w:p>
    <w:p w:rsidR="00D60711" w:rsidRDefault="00D60711" w:rsidP="008C472E">
      <w:pPr>
        <w:ind w:firstLine="2694"/>
        <w:jc w:val="both"/>
        <w:rPr>
          <w:lang w:val="es-MX"/>
        </w:rPr>
      </w:pPr>
      <w:r>
        <w:rPr>
          <w:b/>
          <w:bCs/>
          <w:lang w:val="es-UY"/>
        </w:rPr>
        <w:t>6</w:t>
      </w:r>
      <w:r>
        <w:rPr>
          <w:b/>
          <w:bCs/>
          <w:lang w:val="es-MX"/>
        </w:rPr>
        <w:t>)</w:t>
      </w:r>
      <w:r>
        <w:rPr>
          <w:lang w:val="es-MX"/>
        </w:rPr>
        <w:t xml:space="preserve"> que habiendo sido notificada el 24.12.15, el 04.04.16  </w:t>
      </w:r>
      <w:proofErr w:type="spellStart"/>
      <w:r>
        <w:rPr>
          <w:lang w:val="es-MX"/>
        </w:rPr>
        <w:t>Typsa-Engecorps</w:t>
      </w:r>
      <w:proofErr w:type="spellEnd"/>
      <w:r>
        <w:rPr>
          <w:lang w:val="es-MX"/>
        </w:rPr>
        <w:t xml:space="preserve"> comunicó su conformidad formal con el Borrador de Contrato y el Acta de Negociación resultantes del proceso de negociación, según lo establecido en las bases del procedimiento;</w:t>
      </w:r>
    </w:p>
    <w:p w:rsidR="00D60711" w:rsidRDefault="00D60711" w:rsidP="008C472E">
      <w:pPr>
        <w:ind w:firstLine="2694"/>
        <w:jc w:val="both"/>
        <w:rPr>
          <w:lang w:val="es-MX"/>
        </w:rPr>
      </w:pPr>
      <w:r>
        <w:rPr>
          <w:b/>
          <w:bCs/>
          <w:lang w:val="es-MX"/>
        </w:rPr>
        <w:t>7)</w:t>
      </w:r>
      <w:r>
        <w:rPr>
          <w:lang w:val="es-MX"/>
        </w:rPr>
        <w:t xml:space="preserve"> que por Resolución N° 450/16 de fecha 20.04.16, el Directorio dispuso la adjudicación de la licitación de referencia en favor del consorcio </w:t>
      </w:r>
      <w:proofErr w:type="spellStart"/>
      <w:r>
        <w:rPr>
          <w:lang w:val="es-MX"/>
        </w:rPr>
        <w:t>Typsa</w:t>
      </w:r>
      <w:proofErr w:type="spellEnd"/>
      <w:r>
        <w:rPr>
          <w:lang w:val="es-MX"/>
        </w:rPr>
        <w:t xml:space="preserve"> – </w:t>
      </w:r>
      <w:proofErr w:type="spellStart"/>
      <w:r>
        <w:rPr>
          <w:lang w:val="es-MX"/>
        </w:rPr>
        <w:t>Engecorps</w:t>
      </w:r>
      <w:proofErr w:type="spellEnd"/>
      <w:r>
        <w:rPr>
          <w:lang w:val="es-MX"/>
        </w:rPr>
        <w:t xml:space="preserve"> y la autorización de un crédito por el monto de </w:t>
      </w:r>
      <w:r w:rsidR="008C472E">
        <w:rPr>
          <w:lang w:val="es-MX"/>
        </w:rPr>
        <w:t xml:space="preserve">   </w:t>
      </w:r>
      <w:r>
        <w:rPr>
          <w:lang w:val="es-MX"/>
        </w:rPr>
        <w:t>€ 1:417.954,00, que será financiado hasta la suma de € 1:233.907 correspondiente al valor libre de impuestos, con cargo a la Cooperación Técnica No Reembolsable del Fondo LAIF y hasta el monto equivalente a</w:t>
      </w:r>
      <w:r w:rsidR="008C472E">
        <w:rPr>
          <w:lang w:val="es-MX"/>
        </w:rPr>
        <w:t xml:space="preserve">       </w:t>
      </w:r>
      <w:r>
        <w:rPr>
          <w:lang w:val="es-MX"/>
        </w:rPr>
        <w:t xml:space="preserve"> € 184.047, por concepto de los impuestos correspondientes;</w:t>
      </w:r>
    </w:p>
    <w:p w:rsidR="00D60711" w:rsidRDefault="00D60711" w:rsidP="008C472E">
      <w:pPr>
        <w:ind w:firstLine="2694"/>
        <w:jc w:val="both"/>
        <w:rPr>
          <w:b/>
          <w:bCs/>
          <w:lang w:val="es-UY"/>
        </w:rPr>
      </w:pPr>
      <w:r>
        <w:rPr>
          <w:b/>
          <w:bCs/>
          <w:lang w:val="es-MX"/>
        </w:rPr>
        <w:t>8)</w:t>
      </w:r>
      <w:r>
        <w:rPr>
          <w:lang w:val="es-MX"/>
        </w:rPr>
        <w:t xml:space="preserve"> que según surge del Informe de Contabilidad Presupuestal de fecha 29.04.16,  fueron imputados los montos de $6:572.240, $9:620.838 más IVA, $5:226.844 y $2:089.943, con cargo al objeto 282 del Presupuesto de Compras 2016, con disponibilidad en el Grupo 2 “Servicios no Personales”;</w:t>
      </w:r>
      <w:r>
        <w:rPr>
          <w:b/>
          <w:bCs/>
          <w:lang w:val="es-UY"/>
        </w:rPr>
        <w:t xml:space="preserve"> </w:t>
      </w:r>
    </w:p>
    <w:p w:rsidR="00D60711" w:rsidRDefault="00D60711">
      <w:pPr>
        <w:jc w:val="both"/>
        <w:rPr>
          <w:lang w:val="es-MX"/>
        </w:rPr>
      </w:pPr>
      <w:r>
        <w:rPr>
          <w:b/>
          <w:bCs/>
          <w:lang w:val="es-UY"/>
        </w:rPr>
        <w:lastRenderedPageBreak/>
        <w:tab/>
      </w:r>
      <w:r>
        <w:rPr>
          <w:b/>
          <w:bCs/>
          <w:lang w:val="es-UY"/>
        </w:rPr>
        <w:tab/>
      </w:r>
      <w:r>
        <w:rPr>
          <w:b/>
          <w:bCs/>
          <w:lang w:val="es-UY"/>
        </w:rPr>
        <w:tab/>
        <w:t xml:space="preserve">9) </w:t>
      </w:r>
      <w:r>
        <w:rPr>
          <w:lang w:val="es-UY"/>
        </w:rPr>
        <w:t>que fue recabada la no objeción de KFW y la conformidad de CAF, en las diferentes etapas del procedimiento;</w:t>
      </w:r>
    </w:p>
    <w:p w:rsidR="00D60711" w:rsidRDefault="00D60711" w:rsidP="008C472E">
      <w:pPr>
        <w:ind w:firstLine="851"/>
        <w:jc w:val="both"/>
        <w:rPr>
          <w:rFonts w:ascii="Times New Roman" w:hAnsi="Times New Roman" w:cs="Times New Roman"/>
          <w:lang w:val="es-MX"/>
        </w:rPr>
      </w:pPr>
      <w:r>
        <w:rPr>
          <w:b/>
          <w:bCs/>
        </w:rPr>
        <w:t>CONSIDERANDO:</w:t>
      </w:r>
      <w:r>
        <w:rPr>
          <w:b/>
          <w:bCs/>
          <w:lang w:val="es-MX"/>
        </w:rPr>
        <w:t xml:space="preserve"> </w:t>
      </w:r>
      <w:r>
        <w:rPr>
          <w:lang w:val="es-MX"/>
        </w:rPr>
        <w:t xml:space="preserve">que de conformidad con la cláusula VI del texto del convenio suscrito entre el CAF, en calidad de Administrador del Fondo LAIF, que gestionan conjuntamente el Banco de Desarrollo KFW y la Unión Europea, y la Administración de las Obras Sanitarias del Estado (aprobado por R/D </w:t>
      </w:r>
      <w:r w:rsidR="008C472E">
        <w:rPr>
          <w:lang w:val="es-MX"/>
        </w:rPr>
        <w:t xml:space="preserve">      </w:t>
      </w:r>
      <w:r>
        <w:rPr>
          <w:lang w:val="es-MX"/>
        </w:rPr>
        <w:t xml:space="preserve">N° 1396/14 de fecha 12.11.14), las normas de contratación son las correspondientes a las “Directrices para la contratación de consultores en el marco de la Cooperación Financiera Oficial con Países en Desarrollo”, aplicables al amparo de lo establecido en el </w:t>
      </w:r>
      <w:r w:rsidR="008C472E">
        <w:rPr>
          <w:lang w:val="es-MX"/>
        </w:rPr>
        <w:t>A</w:t>
      </w:r>
      <w:r>
        <w:rPr>
          <w:lang w:val="es-MX"/>
        </w:rPr>
        <w:t>rtículo 45 del TOCAF;</w:t>
      </w:r>
    </w:p>
    <w:p w:rsidR="00D60711" w:rsidRDefault="00D60711" w:rsidP="005C3053">
      <w:pPr>
        <w:ind w:firstLine="851"/>
        <w:jc w:val="both"/>
        <w:rPr>
          <w:lang w:val="es-MX"/>
        </w:rPr>
      </w:pPr>
      <w:bookmarkStart w:id="0" w:name="_GoBack"/>
      <w:bookmarkEnd w:id="0"/>
      <w:r>
        <w:rPr>
          <w:b/>
          <w:bCs/>
          <w:lang w:val="es-MX"/>
        </w:rPr>
        <w:t>ATENTO:</w:t>
      </w:r>
      <w:r>
        <w:rPr>
          <w:lang w:val="es-MX"/>
        </w:rPr>
        <w:t xml:space="preserve"> a lo expuesto y a lo dispuesto por el </w:t>
      </w:r>
      <w:r w:rsidR="008C472E">
        <w:rPr>
          <w:lang w:val="es-MX"/>
        </w:rPr>
        <w:t>A</w:t>
      </w:r>
      <w:r>
        <w:rPr>
          <w:lang w:val="es-MX"/>
        </w:rPr>
        <w:t xml:space="preserve">rtículo 211 </w:t>
      </w:r>
      <w:r w:rsidR="008C472E">
        <w:rPr>
          <w:lang w:val="es-MX"/>
        </w:rPr>
        <w:t>L</w:t>
      </w:r>
      <w:r>
        <w:rPr>
          <w:lang w:val="es-MX"/>
        </w:rPr>
        <w:t>iteral B) de la Constitución de la República:</w:t>
      </w:r>
    </w:p>
    <w:p w:rsidR="00D60711" w:rsidRDefault="00D60711">
      <w:pPr>
        <w:jc w:val="both"/>
        <w:rPr>
          <w:lang w:val="es-MX"/>
        </w:rPr>
      </w:pPr>
    </w:p>
    <w:p w:rsidR="00D60711" w:rsidRDefault="00D60711">
      <w:pPr>
        <w:jc w:val="both"/>
        <w:rPr>
          <w:b/>
          <w:bCs/>
          <w:lang w:val="es-MX"/>
        </w:rPr>
      </w:pPr>
      <w:r>
        <w:rPr>
          <w:b/>
          <w:bCs/>
          <w:lang w:val="es-MX"/>
        </w:rPr>
        <w:t xml:space="preserve">                                   </w:t>
      </w:r>
      <w:r w:rsidR="004D3E1F">
        <w:rPr>
          <w:b/>
          <w:bCs/>
          <w:lang w:val="es-MX"/>
        </w:rPr>
        <w:t>EL TRIBUNAL ACUERDA:</w:t>
      </w:r>
    </w:p>
    <w:p w:rsidR="00D60711" w:rsidRDefault="00D60711">
      <w:pPr>
        <w:numPr>
          <w:ilvl w:val="0"/>
          <w:numId w:val="1"/>
        </w:numPr>
        <w:jc w:val="both"/>
      </w:pPr>
      <w:r>
        <w:rPr>
          <w:lang w:val="es-MX"/>
        </w:rPr>
        <w:t>Intervenir preventivamente los montos imputados al Ejercicio 2016;</w:t>
      </w:r>
    </w:p>
    <w:p w:rsidR="00D60711" w:rsidRDefault="00D60711">
      <w:pPr>
        <w:numPr>
          <w:ilvl w:val="0"/>
          <w:numId w:val="1"/>
        </w:numPr>
        <w:jc w:val="both"/>
        <w:rPr>
          <w:b/>
          <w:bCs/>
          <w:lang w:val="es-MX"/>
        </w:rPr>
      </w:pPr>
      <w:r>
        <w:t>Cometer al Contador Delegado la intervención del saldo correspondiente a los ejercicios siguientes, una vez imputado el mismo con cargo a rubro adecuado con disponibilidad presupuestal suficiente.</w:t>
      </w:r>
    </w:p>
    <w:p w:rsidR="00D60711" w:rsidRDefault="00D60711">
      <w:pPr>
        <w:numPr>
          <w:ilvl w:val="0"/>
          <w:numId w:val="1"/>
        </w:numPr>
        <w:jc w:val="both"/>
        <w:rPr>
          <w:b/>
          <w:bCs/>
          <w:lang w:val="es-MX"/>
        </w:rPr>
      </w:pPr>
      <w:r>
        <w:rPr>
          <w:lang w:val="es-MX"/>
        </w:rPr>
        <w:t>Comunicar al Contador Delegado.</w:t>
      </w:r>
    </w:p>
    <w:p w:rsidR="00D60711" w:rsidRDefault="00D60711">
      <w:pPr>
        <w:numPr>
          <w:ilvl w:val="0"/>
          <w:numId w:val="1"/>
        </w:numPr>
        <w:jc w:val="both"/>
        <w:rPr>
          <w:b/>
          <w:bCs/>
          <w:lang w:val="es-MX"/>
        </w:rPr>
      </w:pPr>
      <w:r>
        <w:rPr>
          <w:lang w:val="es-MX"/>
        </w:rPr>
        <w:t>Devolver las actuaciones.</w:t>
      </w:r>
    </w:p>
    <w:p w:rsidR="00D60711" w:rsidRDefault="00D60711">
      <w:pPr>
        <w:jc w:val="both"/>
        <w:rPr>
          <w:lang w:val="es-MX"/>
        </w:rPr>
      </w:pPr>
    </w:p>
    <w:p w:rsidR="00D60711" w:rsidRDefault="00D60711">
      <w:pPr>
        <w:jc w:val="right"/>
      </w:pPr>
      <w:r>
        <w:t>.-</w:t>
      </w:r>
    </w:p>
    <w:p w:rsidR="00D60711" w:rsidRDefault="00D60711" w:rsidP="008C472E">
      <w:pPr>
        <w:jc w:val="both"/>
      </w:pPr>
      <w:r>
        <w:t xml:space="preserve">  </w:t>
      </w:r>
      <w:r w:rsidR="008C472E">
        <w:t>CLC</w:t>
      </w:r>
    </w:p>
    <w:sectPr w:rsidR="00D60711" w:rsidSect="008C472E">
      <w:pgSz w:w="11907" w:h="16840"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2E" w:rsidRDefault="008C472E">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C472E" w:rsidRDefault="008C472E">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2E" w:rsidRDefault="008C472E">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C472E" w:rsidRDefault="008C472E">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212D"/>
    <w:multiLevelType w:val="hybridMultilevel"/>
    <w:tmpl w:val="8D465C6E"/>
    <w:lvl w:ilvl="0" w:tplc="5D226EC2">
      <w:start w:val="1"/>
      <w:numFmt w:val="decimal"/>
      <w:lvlText w:val="%1)"/>
      <w:lvlJc w:val="left"/>
      <w:pPr>
        <w:ind w:left="555" w:hanging="360"/>
      </w:pPr>
      <w:rPr>
        <w:rFonts w:ascii="Times New Roman" w:hAnsi="Times New Roman" w:cs="Times New Roman" w:hint="default"/>
        <w:b/>
        <w:bCs/>
      </w:rPr>
    </w:lvl>
    <w:lvl w:ilvl="1" w:tplc="380A0019">
      <w:start w:val="1"/>
      <w:numFmt w:val="lowerLetter"/>
      <w:lvlText w:val="%2."/>
      <w:lvlJc w:val="left"/>
      <w:pPr>
        <w:ind w:left="1275" w:hanging="360"/>
      </w:pPr>
      <w:rPr>
        <w:rFonts w:ascii="Times New Roman" w:hAnsi="Times New Roman" w:cs="Times New Roman"/>
      </w:rPr>
    </w:lvl>
    <w:lvl w:ilvl="2" w:tplc="380A001B">
      <w:start w:val="1"/>
      <w:numFmt w:val="lowerRoman"/>
      <w:lvlText w:val="%3."/>
      <w:lvlJc w:val="right"/>
      <w:pPr>
        <w:ind w:left="1995" w:hanging="180"/>
      </w:pPr>
      <w:rPr>
        <w:rFonts w:ascii="Times New Roman" w:hAnsi="Times New Roman" w:cs="Times New Roman"/>
      </w:rPr>
    </w:lvl>
    <w:lvl w:ilvl="3" w:tplc="380A000F">
      <w:start w:val="1"/>
      <w:numFmt w:val="decimal"/>
      <w:lvlText w:val="%4."/>
      <w:lvlJc w:val="left"/>
      <w:pPr>
        <w:ind w:left="2715" w:hanging="360"/>
      </w:pPr>
      <w:rPr>
        <w:rFonts w:ascii="Times New Roman" w:hAnsi="Times New Roman" w:cs="Times New Roman"/>
      </w:rPr>
    </w:lvl>
    <w:lvl w:ilvl="4" w:tplc="380A0019">
      <w:start w:val="1"/>
      <w:numFmt w:val="lowerLetter"/>
      <w:lvlText w:val="%5."/>
      <w:lvlJc w:val="left"/>
      <w:pPr>
        <w:ind w:left="3435" w:hanging="360"/>
      </w:pPr>
      <w:rPr>
        <w:rFonts w:ascii="Times New Roman" w:hAnsi="Times New Roman" w:cs="Times New Roman"/>
      </w:rPr>
    </w:lvl>
    <w:lvl w:ilvl="5" w:tplc="380A001B">
      <w:start w:val="1"/>
      <w:numFmt w:val="lowerRoman"/>
      <w:lvlText w:val="%6."/>
      <w:lvlJc w:val="right"/>
      <w:pPr>
        <w:ind w:left="4155" w:hanging="180"/>
      </w:pPr>
      <w:rPr>
        <w:rFonts w:ascii="Times New Roman" w:hAnsi="Times New Roman" w:cs="Times New Roman"/>
      </w:rPr>
    </w:lvl>
    <w:lvl w:ilvl="6" w:tplc="380A000F">
      <w:start w:val="1"/>
      <w:numFmt w:val="decimal"/>
      <w:lvlText w:val="%7."/>
      <w:lvlJc w:val="left"/>
      <w:pPr>
        <w:ind w:left="4875" w:hanging="360"/>
      </w:pPr>
      <w:rPr>
        <w:rFonts w:ascii="Times New Roman" w:hAnsi="Times New Roman" w:cs="Times New Roman"/>
      </w:rPr>
    </w:lvl>
    <w:lvl w:ilvl="7" w:tplc="380A0019">
      <w:start w:val="1"/>
      <w:numFmt w:val="lowerLetter"/>
      <w:lvlText w:val="%8."/>
      <w:lvlJc w:val="left"/>
      <w:pPr>
        <w:ind w:left="5595" w:hanging="360"/>
      </w:pPr>
      <w:rPr>
        <w:rFonts w:ascii="Times New Roman" w:hAnsi="Times New Roman" w:cs="Times New Roman"/>
      </w:rPr>
    </w:lvl>
    <w:lvl w:ilvl="8" w:tplc="380A001B">
      <w:start w:val="1"/>
      <w:numFmt w:val="lowerRoman"/>
      <w:lvlText w:val="%9."/>
      <w:lvlJc w:val="right"/>
      <w:pPr>
        <w:ind w:left="6315" w:hanging="180"/>
      </w:pPr>
      <w:rPr>
        <w:rFonts w:ascii="Times New Roman" w:hAnsi="Times New Roman" w:cs="Times New Roman"/>
      </w:rPr>
    </w:lvl>
  </w:abstractNum>
  <w:abstractNum w:abstractNumId="1">
    <w:nsid w:val="32191D91"/>
    <w:multiLevelType w:val="hybridMultilevel"/>
    <w:tmpl w:val="BF2EF1AE"/>
    <w:lvl w:ilvl="0" w:tplc="23A849C6">
      <w:numFmt w:val="bullet"/>
      <w:lvlText w:val="-"/>
      <w:lvlJc w:val="left"/>
      <w:pPr>
        <w:ind w:left="1500" w:hanging="360"/>
      </w:pPr>
      <w:rPr>
        <w:rFonts w:ascii="Arial" w:eastAsia="Times New Roman" w:hAnsi="Arial" w:hint="default"/>
      </w:rPr>
    </w:lvl>
    <w:lvl w:ilvl="1" w:tplc="380A0003">
      <w:start w:val="1"/>
      <w:numFmt w:val="bullet"/>
      <w:lvlText w:val="o"/>
      <w:lvlJc w:val="left"/>
      <w:pPr>
        <w:ind w:left="2220" w:hanging="360"/>
      </w:pPr>
      <w:rPr>
        <w:rFonts w:ascii="Courier New" w:hAnsi="Courier New" w:cs="Courier New" w:hint="default"/>
      </w:rPr>
    </w:lvl>
    <w:lvl w:ilvl="2" w:tplc="380A0005">
      <w:start w:val="1"/>
      <w:numFmt w:val="bullet"/>
      <w:lvlText w:val=""/>
      <w:lvlJc w:val="left"/>
      <w:pPr>
        <w:ind w:left="2940" w:hanging="360"/>
      </w:pPr>
      <w:rPr>
        <w:rFonts w:ascii="Wingdings" w:hAnsi="Wingdings" w:cs="Wingdings" w:hint="default"/>
      </w:rPr>
    </w:lvl>
    <w:lvl w:ilvl="3" w:tplc="380A0001">
      <w:start w:val="1"/>
      <w:numFmt w:val="bullet"/>
      <w:lvlText w:val=""/>
      <w:lvlJc w:val="left"/>
      <w:pPr>
        <w:ind w:left="3660" w:hanging="360"/>
      </w:pPr>
      <w:rPr>
        <w:rFonts w:ascii="Symbol" w:hAnsi="Symbol" w:cs="Symbol" w:hint="default"/>
      </w:rPr>
    </w:lvl>
    <w:lvl w:ilvl="4" w:tplc="380A0003">
      <w:start w:val="1"/>
      <w:numFmt w:val="bullet"/>
      <w:lvlText w:val="o"/>
      <w:lvlJc w:val="left"/>
      <w:pPr>
        <w:ind w:left="4380" w:hanging="360"/>
      </w:pPr>
      <w:rPr>
        <w:rFonts w:ascii="Courier New" w:hAnsi="Courier New" w:cs="Courier New" w:hint="default"/>
      </w:rPr>
    </w:lvl>
    <w:lvl w:ilvl="5" w:tplc="380A0005">
      <w:start w:val="1"/>
      <w:numFmt w:val="bullet"/>
      <w:lvlText w:val=""/>
      <w:lvlJc w:val="left"/>
      <w:pPr>
        <w:ind w:left="5100" w:hanging="360"/>
      </w:pPr>
      <w:rPr>
        <w:rFonts w:ascii="Wingdings" w:hAnsi="Wingdings" w:cs="Wingdings" w:hint="default"/>
      </w:rPr>
    </w:lvl>
    <w:lvl w:ilvl="6" w:tplc="380A0001">
      <w:start w:val="1"/>
      <w:numFmt w:val="bullet"/>
      <w:lvlText w:val=""/>
      <w:lvlJc w:val="left"/>
      <w:pPr>
        <w:ind w:left="5820" w:hanging="360"/>
      </w:pPr>
      <w:rPr>
        <w:rFonts w:ascii="Symbol" w:hAnsi="Symbol" w:cs="Symbol" w:hint="default"/>
      </w:rPr>
    </w:lvl>
    <w:lvl w:ilvl="7" w:tplc="380A0003">
      <w:start w:val="1"/>
      <w:numFmt w:val="bullet"/>
      <w:lvlText w:val="o"/>
      <w:lvlJc w:val="left"/>
      <w:pPr>
        <w:ind w:left="6540" w:hanging="360"/>
      </w:pPr>
      <w:rPr>
        <w:rFonts w:ascii="Courier New" w:hAnsi="Courier New" w:cs="Courier New" w:hint="default"/>
      </w:rPr>
    </w:lvl>
    <w:lvl w:ilvl="8" w:tplc="380A0005">
      <w:start w:val="1"/>
      <w:numFmt w:val="bullet"/>
      <w:lvlText w:val=""/>
      <w:lvlJc w:val="left"/>
      <w:pPr>
        <w:ind w:left="7260" w:hanging="360"/>
      </w:pPr>
      <w:rPr>
        <w:rFonts w:ascii="Wingdings" w:hAnsi="Wingdings" w:cs="Wingdings" w:hint="default"/>
      </w:rPr>
    </w:lvl>
  </w:abstractNum>
  <w:abstractNum w:abstractNumId="2">
    <w:nsid w:val="470A1FAA"/>
    <w:multiLevelType w:val="hybridMultilevel"/>
    <w:tmpl w:val="B066EA24"/>
    <w:lvl w:ilvl="0" w:tplc="380A0017">
      <w:start w:val="1"/>
      <w:numFmt w:val="lowerLetter"/>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3">
    <w:nsid w:val="66825958"/>
    <w:multiLevelType w:val="hybridMultilevel"/>
    <w:tmpl w:val="820219DC"/>
    <w:lvl w:ilvl="0" w:tplc="5A303F0E">
      <w:start w:val="1"/>
      <w:numFmt w:val="decimal"/>
      <w:lvlText w:val="%1)"/>
      <w:lvlJc w:val="left"/>
      <w:pPr>
        <w:ind w:left="690" w:hanging="360"/>
      </w:pPr>
      <w:rPr>
        <w:rFonts w:ascii="Times New Roman" w:hAnsi="Times New Roman" w:cs="Times New Roman" w:hint="default"/>
        <w:b/>
        <w:bCs/>
      </w:rPr>
    </w:lvl>
    <w:lvl w:ilvl="1" w:tplc="380A0019">
      <w:start w:val="1"/>
      <w:numFmt w:val="lowerLetter"/>
      <w:lvlText w:val="%2."/>
      <w:lvlJc w:val="left"/>
      <w:pPr>
        <w:ind w:left="1410" w:hanging="360"/>
      </w:pPr>
      <w:rPr>
        <w:rFonts w:ascii="Times New Roman" w:hAnsi="Times New Roman" w:cs="Times New Roman"/>
      </w:rPr>
    </w:lvl>
    <w:lvl w:ilvl="2" w:tplc="380A001B">
      <w:start w:val="1"/>
      <w:numFmt w:val="lowerRoman"/>
      <w:lvlText w:val="%3."/>
      <w:lvlJc w:val="right"/>
      <w:pPr>
        <w:ind w:left="2130" w:hanging="180"/>
      </w:pPr>
      <w:rPr>
        <w:rFonts w:ascii="Times New Roman" w:hAnsi="Times New Roman" w:cs="Times New Roman"/>
      </w:rPr>
    </w:lvl>
    <w:lvl w:ilvl="3" w:tplc="380A000F">
      <w:start w:val="1"/>
      <w:numFmt w:val="decimal"/>
      <w:lvlText w:val="%4."/>
      <w:lvlJc w:val="left"/>
      <w:pPr>
        <w:ind w:left="2850" w:hanging="360"/>
      </w:pPr>
      <w:rPr>
        <w:rFonts w:ascii="Times New Roman" w:hAnsi="Times New Roman" w:cs="Times New Roman"/>
      </w:rPr>
    </w:lvl>
    <w:lvl w:ilvl="4" w:tplc="380A0019">
      <w:start w:val="1"/>
      <w:numFmt w:val="lowerLetter"/>
      <w:lvlText w:val="%5."/>
      <w:lvlJc w:val="left"/>
      <w:pPr>
        <w:ind w:left="3570" w:hanging="360"/>
      </w:pPr>
      <w:rPr>
        <w:rFonts w:ascii="Times New Roman" w:hAnsi="Times New Roman" w:cs="Times New Roman"/>
      </w:rPr>
    </w:lvl>
    <w:lvl w:ilvl="5" w:tplc="380A001B">
      <w:start w:val="1"/>
      <w:numFmt w:val="lowerRoman"/>
      <w:lvlText w:val="%6."/>
      <w:lvlJc w:val="right"/>
      <w:pPr>
        <w:ind w:left="4290" w:hanging="180"/>
      </w:pPr>
      <w:rPr>
        <w:rFonts w:ascii="Times New Roman" w:hAnsi="Times New Roman" w:cs="Times New Roman"/>
      </w:rPr>
    </w:lvl>
    <w:lvl w:ilvl="6" w:tplc="380A000F">
      <w:start w:val="1"/>
      <w:numFmt w:val="decimal"/>
      <w:lvlText w:val="%7."/>
      <w:lvlJc w:val="left"/>
      <w:pPr>
        <w:ind w:left="5010" w:hanging="360"/>
      </w:pPr>
      <w:rPr>
        <w:rFonts w:ascii="Times New Roman" w:hAnsi="Times New Roman" w:cs="Times New Roman"/>
      </w:rPr>
    </w:lvl>
    <w:lvl w:ilvl="7" w:tplc="380A0019">
      <w:start w:val="1"/>
      <w:numFmt w:val="lowerLetter"/>
      <w:lvlText w:val="%8."/>
      <w:lvlJc w:val="left"/>
      <w:pPr>
        <w:ind w:left="5730" w:hanging="360"/>
      </w:pPr>
      <w:rPr>
        <w:rFonts w:ascii="Times New Roman" w:hAnsi="Times New Roman" w:cs="Times New Roman"/>
      </w:rPr>
    </w:lvl>
    <w:lvl w:ilvl="8" w:tplc="380A001B">
      <w:start w:val="1"/>
      <w:numFmt w:val="lowerRoman"/>
      <w:lvlText w:val="%9."/>
      <w:lvlJc w:val="right"/>
      <w:pPr>
        <w:ind w:left="6450" w:hanging="180"/>
      </w:pPr>
      <w:rPr>
        <w:rFonts w:ascii="Times New Roman" w:hAnsi="Times New Roman" w:cs="Times New Roman"/>
      </w:rPr>
    </w:lvl>
  </w:abstractNum>
  <w:abstractNum w:abstractNumId="4">
    <w:nsid w:val="670C10BB"/>
    <w:multiLevelType w:val="hybridMultilevel"/>
    <w:tmpl w:val="820219DC"/>
    <w:lvl w:ilvl="0" w:tplc="5A303F0E">
      <w:start w:val="1"/>
      <w:numFmt w:val="decimal"/>
      <w:lvlText w:val="%1)"/>
      <w:lvlJc w:val="left"/>
      <w:pPr>
        <w:ind w:left="690" w:hanging="360"/>
      </w:pPr>
      <w:rPr>
        <w:rFonts w:ascii="Times New Roman" w:hAnsi="Times New Roman" w:cs="Times New Roman" w:hint="default"/>
        <w:b/>
        <w:bCs/>
      </w:rPr>
    </w:lvl>
    <w:lvl w:ilvl="1" w:tplc="380A0019">
      <w:start w:val="1"/>
      <w:numFmt w:val="lowerLetter"/>
      <w:lvlText w:val="%2."/>
      <w:lvlJc w:val="left"/>
      <w:pPr>
        <w:ind w:left="1410" w:hanging="360"/>
      </w:pPr>
      <w:rPr>
        <w:rFonts w:ascii="Times New Roman" w:hAnsi="Times New Roman" w:cs="Times New Roman"/>
      </w:rPr>
    </w:lvl>
    <w:lvl w:ilvl="2" w:tplc="380A001B">
      <w:start w:val="1"/>
      <w:numFmt w:val="lowerRoman"/>
      <w:lvlText w:val="%3."/>
      <w:lvlJc w:val="right"/>
      <w:pPr>
        <w:ind w:left="2130" w:hanging="180"/>
      </w:pPr>
      <w:rPr>
        <w:rFonts w:ascii="Times New Roman" w:hAnsi="Times New Roman" w:cs="Times New Roman"/>
      </w:rPr>
    </w:lvl>
    <w:lvl w:ilvl="3" w:tplc="380A000F">
      <w:start w:val="1"/>
      <w:numFmt w:val="decimal"/>
      <w:lvlText w:val="%4."/>
      <w:lvlJc w:val="left"/>
      <w:pPr>
        <w:ind w:left="2850" w:hanging="360"/>
      </w:pPr>
      <w:rPr>
        <w:rFonts w:ascii="Times New Roman" w:hAnsi="Times New Roman" w:cs="Times New Roman"/>
      </w:rPr>
    </w:lvl>
    <w:lvl w:ilvl="4" w:tplc="380A0019">
      <w:start w:val="1"/>
      <w:numFmt w:val="lowerLetter"/>
      <w:lvlText w:val="%5."/>
      <w:lvlJc w:val="left"/>
      <w:pPr>
        <w:ind w:left="3570" w:hanging="360"/>
      </w:pPr>
      <w:rPr>
        <w:rFonts w:ascii="Times New Roman" w:hAnsi="Times New Roman" w:cs="Times New Roman"/>
      </w:rPr>
    </w:lvl>
    <w:lvl w:ilvl="5" w:tplc="380A001B">
      <w:start w:val="1"/>
      <w:numFmt w:val="lowerRoman"/>
      <w:lvlText w:val="%6."/>
      <w:lvlJc w:val="right"/>
      <w:pPr>
        <w:ind w:left="4290" w:hanging="180"/>
      </w:pPr>
      <w:rPr>
        <w:rFonts w:ascii="Times New Roman" w:hAnsi="Times New Roman" w:cs="Times New Roman"/>
      </w:rPr>
    </w:lvl>
    <w:lvl w:ilvl="6" w:tplc="380A000F">
      <w:start w:val="1"/>
      <w:numFmt w:val="decimal"/>
      <w:lvlText w:val="%7."/>
      <w:lvlJc w:val="left"/>
      <w:pPr>
        <w:ind w:left="5010" w:hanging="360"/>
      </w:pPr>
      <w:rPr>
        <w:rFonts w:ascii="Times New Roman" w:hAnsi="Times New Roman" w:cs="Times New Roman"/>
      </w:rPr>
    </w:lvl>
    <w:lvl w:ilvl="7" w:tplc="380A0019">
      <w:start w:val="1"/>
      <w:numFmt w:val="lowerLetter"/>
      <w:lvlText w:val="%8."/>
      <w:lvlJc w:val="left"/>
      <w:pPr>
        <w:ind w:left="5730" w:hanging="360"/>
      </w:pPr>
      <w:rPr>
        <w:rFonts w:ascii="Times New Roman" w:hAnsi="Times New Roman" w:cs="Times New Roman"/>
      </w:rPr>
    </w:lvl>
    <w:lvl w:ilvl="8" w:tplc="380A001B">
      <w:start w:val="1"/>
      <w:numFmt w:val="lowerRoman"/>
      <w:lvlText w:val="%9."/>
      <w:lvlJc w:val="right"/>
      <w:pPr>
        <w:ind w:left="6450" w:hanging="180"/>
      </w:pPr>
      <w:rPr>
        <w:rFonts w:ascii="Times New Roman" w:hAnsi="Times New Roman"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11"/>
    <w:rsid w:val="004D3E1F"/>
    <w:rsid w:val="00500DB4"/>
    <w:rsid w:val="005C3053"/>
    <w:rsid w:val="0066499B"/>
    <w:rsid w:val="008C472E"/>
    <w:rsid w:val="00B16CE4"/>
    <w:rsid w:val="00D60711"/>
    <w:rsid w:val="00F6506A"/>
    <w:rsid w:val="00FE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4"/>
      <w:szCs w:val="24"/>
      <w:lang w:val="es-MX" w:eastAsia="es-ES"/>
    </w:rPr>
  </w:style>
  <w:style w:type="paragraph" w:customStyle="1" w:styleId="Acta">
    <w:name w:val="Acta"/>
    <w:basedOn w:val="Normal"/>
    <w:uiPriority w:val="99"/>
    <w:pPr>
      <w:widowControl w:val="0"/>
      <w:tabs>
        <w:tab w:val="center" w:leader="dot" w:pos="4253"/>
        <w:tab w:val="right" w:leader="dot" w:pos="8789"/>
      </w:tabs>
      <w:spacing w:line="288" w:lineRule="auto"/>
      <w:jc w:val="both"/>
    </w:pPr>
    <w:rPr>
      <w:rFonts w:ascii="Bookman Old Style" w:hAnsi="Bookman Old Style" w:cs="Bookman Old Style"/>
    </w:rPr>
  </w:style>
  <w:style w:type="paragraph" w:styleId="Textoindependiente3">
    <w:name w:val="Body Text 3"/>
    <w:basedOn w:val="Normal"/>
    <w:link w:val="Textoindependiente3Car"/>
    <w:uiPriority w:val="99"/>
    <w:pPr>
      <w:jc w:val="both"/>
    </w:pPr>
    <w:rPr>
      <w:color w:val="FF0000"/>
      <w:lang w:val="es-MX"/>
    </w:rPr>
  </w:style>
  <w:style w:type="character" w:customStyle="1" w:styleId="Textoindependiente3Car">
    <w:name w:val="Texto independiente 3 Car"/>
    <w:basedOn w:val="Fuentedeprrafopredeter"/>
    <w:link w:val="Textoindependiente3"/>
    <w:uiPriority w:val="99"/>
    <w:rPr>
      <w:rFonts w:ascii="Arial" w:hAnsi="Arial" w:cs="Arial"/>
      <w:color w:val="FF0000"/>
      <w:sz w:val="24"/>
      <w:szCs w:val="24"/>
      <w:lang w:val="es-MX" w:eastAsia="es-ES"/>
    </w:rPr>
  </w:style>
  <w:style w:type="paragraph" w:styleId="Encabezado">
    <w:name w:val="header"/>
    <w:basedOn w:val="Normal"/>
    <w:link w:val="EncabezadoCar"/>
    <w:uiPriority w:val="99"/>
    <w:unhideWhenUsed/>
    <w:rsid w:val="00F650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6506A"/>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4"/>
      <w:szCs w:val="24"/>
      <w:lang w:val="es-MX" w:eastAsia="es-ES"/>
    </w:rPr>
  </w:style>
  <w:style w:type="paragraph" w:customStyle="1" w:styleId="Acta">
    <w:name w:val="Acta"/>
    <w:basedOn w:val="Normal"/>
    <w:uiPriority w:val="99"/>
    <w:pPr>
      <w:widowControl w:val="0"/>
      <w:tabs>
        <w:tab w:val="center" w:leader="dot" w:pos="4253"/>
        <w:tab w:val="right" w:leader="dot" w:pos="8789"/>
      </w:tabs>
      <w:spacing w:line="288" w:lineRule="auto"/>
      <w:jc w:val="both"/>
    </w:pPr>
    <w:rPr>
      <w:rFonts w:ascii="Bookman Old Style" w:hAnsi="Bookman Old Style" w:cs="Bookman Old Style"/>
    </w:rPr>
  </w:style>
  <w:style w:type="paragraph" w:styleId="Textoindependiente3">
    <w:name w:val="Body Text 3"/>
    <w:basedOn w:val="Normal"/>
    <w:link w:val="Textoindependiente3Car"/>
    <w:uiPriority w:val="99"/>
    <w:pPr>
      <w:jc w:val="both"/>
    </w:pPr>
    <w:rPr>
      <w:color w:val="FF0000"/>
      <w:lang w:val="es-MX"/>
    </w:rPr>
  </w:style>
  <w:style w:type="character" w:customStyle="1" w:styleId="Textoindependiente3Car">
    <w:name w:val="Texto independiente 3 Car"/>
    <w:basedOn w:val="Fuentedeprrafopredeter"/>
    <w:link w:val="Textoindependiente3"/>
    <w:uiPriority w:val="99"/>
    <w:rPr>
      <w:rFonts w:ascii="Arial" w:hAnsi="Arial" w:cs="Arial"/>
      <w:color w:val="FF0000"/>
      <w:sz w:val="24"/>
      <w:szCs w:val="24"/>
      <w:lang w:val="es-MX" w:eastAsia="es-ES"/>
    </w:rPr>
  </w:style>
  <w:style w:type="paragraph" w:styleId="Encabezado">
    <w:name w:val="header"/>
    <w:basedOn w:val="Normal"/>
    <w:link w:val="EncabezadoCar"/>
    <w:uiPriority w:val="99"/>
    <w:unhideWhenUsed/>
    <w:rsid w:val="00F650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6506A"/>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EC71-B50F-4AC2-B4C6-59985F69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 2016-17-1-0002882</vt:lpstr>
    </vt:vector>
  </TitlesOfParts>
  <Company>Tribunal de Cuentas</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2016-17-1-0002882</dc:title>
  <dc:creator>MARIA ALEJANDRA ALVAREZ LOPEZ</dc:creator>
  <cp:lastModifiedBy>Tribunal1</cp:lastModifiedBy>
  <cp:revision>3</cp:revision>
  <cp:lastPrinted>2016-05-09T18:05:00Z</cp:lastPrinted>
  <dcterms:created xsi:type="dcterms:W3CDTF">2016-05-31T15:27:00Z</dcterms:created>
  <dcterms:modified xsi:type="dcterms:W3CDTF">2016-05-31T15:27:00Z</dcterms:modified>
</cp:coreProperties>
</file>