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85" w:rsidRPr="00786EEB" w:rsidRDefault="00E4008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2517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E40085" w:rsidRPr="00E40085" w:rsidRDefault="00E40085" w:rsidP="00E4008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E40085" w:rsidRPr="00E40085" w:rsidRDefault="00E40085" w:rsidP="00E400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4008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40085" w:rsidRPr="00E40085" w:rsidRDefault="00E40085" w:rsidP="00E4008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40085" w:rsidRPr="00E40085" w:rsidRDefault="00E40085" w:rsidP="00E400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4008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40085" w:rsidRPr="00E40085" w:rsidRDefault="00E40085" w:rsidP="00E4008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40085" w:rsidRPr="00E40085" w:rsidRDefault="00E40085" w:rsidP="00E400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40085">
        <w:rPr>
          <w:rFonts w:ascii="Arial" w:hAnsi="Arial" w:cs="Arial"/>
          <w:b/>
          <w:sz w:val="24"/>
          <w:szCs w:val="24"/>
          <w:lang w:val="es-ES_tradnl"/>
        </w:rPr>
        <w:t xml:space="preserve">EN SESION DE FECHA 20 DE JULIO </w:t>
      </w:r>
      <w:r w:rsidRPr="00E40085">
        <w:rPr>
          <w:rFonts w:ascii="Helvetica" w:hAnsi="Helvetica"/>
          <w:b/>
          <w:sz w:val="24"/>
          <w:szCs w:val="24"/>
          <w:lang w:val="es-ES_tradnl"/>
        </w:rPr>
        <w:t>DE 2016</w:t>
      </w:r>
    </w:p>
    <w:p w:rsidR="00E40085" w:rsidRPr="00E40085" w:rsidRDefault="00E40085" w:rsidP="00E400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40085" w:rsidRPr="00E40085" w:rsidRDefault="00E40085" w:rsidP="00E4008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E40085">
        <w:rPr>
          <w:rFonts w:ascii="Arial" w:hAnsi="Arial" w:cs="Arial"/>
          <w:b/>
          <w:sz w:val="24"/>
          <w:szCs w:val="24"/>
          <w:lang w:val="es-AR"/>
        </w:rPr>
        <w:t xml:space="preserve">(E. E. Nº 2016-17-1-0001340, </w:t>
      </w:r>
      <w:proofErr w:type="spellStart"/>
      <w:r w:rsidRPr="00E40085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E40085">
        <w:rPr>
          <w:rFonts w:ascii="Arial" w:hAnsi="Arial" w:cs="Arial"/>
          <w:b/>
          <w:sz w:val="24"/>
          <w:szCs w:val="24"/>
          <w:lang w:val="es-AR"/>
        </w:rPr>
        <w:t>. N° 3235/16)</w:t>
      </w:r>
    </w:p>
    <w:p w:rsidR="00E40085" w:rsidRPr="00E40085" w:rsidRDefault="00E40085" w:rsidP="00E4008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</w:p>
    <w:p w:rsidR="00E40085" w:rsidRDefault="00E40085" w:rsidP="004D6696">
      <w:pPr>
        <w:spacing w:after="0" w:line="36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</w:pPr>
    </w:p>
    <w:p w:rsidR="00E40085" w:rsidRDefault="004D6696" w:rsidP="00E40085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0"/>
          <w:lang w:val="es-MX" w:eastAsia="es-ES"/>
        </w:rPr>
      </w:pPr>
      <w:r w:rsidRPr="002906FE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VISTO:</w:t>
      </w:r>
      <w:r w:rsidRPr="002906F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las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nuevas</w:t>
      </w:r>
      <w:r w:rsidRPr="002906FE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actuaciones remitidas por la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Pr="002906FE">
        <w:rPr>
          <w:rFonts w:ascii="Arial" w:eastAsia="Times New Roman" w:hAnsi="Arial" w:cs="Arial"/>
          <w:sz w:val="24"/>
          <w:szCs w:val="20"/>
          <w:lang w:val="es-MX" w:eastAsia="es-ES"/>
        </w:rPr>
        <w:t xml:space="preserve">Administración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Nacional de Usinas y Transmisiones Eléctricas relacionadas con la reiteración del gasto derivado de la Licitación Pública 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P47473, convocada para la adquisición de 51.800 postes de madera de varias medidas;</w:t>
      </w:r>
    </w:p>
    <w:p w:rsidR="00E40085" w:rsidRDefault="004D6696" w:rsidP="00E40085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2906FE">
        <w:rPr>
          <w:rFonts w:ascii="Arial" w:eastAsia="Times New Roman" w:hAnsi="Arial" w:cs="Arial"/>
          <w:b/>
          <w:sz w:val="24"/>
          <w:szCs w:val="20"/>
          <w:lang w:val="es-MX" w:eastAsia="es-ES"/>
        </w:rPr>
        <w:t xml:space="preserve">RESULTANDO: 1) </w:t>
      </w:r>
      <w:r w:rsidRPr="0007508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que por Resolución N°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16.-200 de</w:t>
      </w:r>
      <w:r w:rsidRPr="00075087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fecha 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04</w:t>
      </w:r>
      <w:r w:rsidRPr="00075087">
        <w:rPr>
          <w:rFonts w:ascii="Arial" w:eastAsia="Times New Roman" w:hAnsi="Arial" w:cs="Times New Roman"/>
          <w:sz w:val="24"/>
          <w:szCs w:val="20"/>
          <w:lang w:val="es-MX" w:eastAsia="es-ES"/>
        </w:rPr>
        <w:t>.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02</w:t>
      </w:r>
      <w:r w:rsidRPr="00075087">
        <w:rPr>
          <w:rFonts w:ascii="Arial" w:eastAsia="Times New Roman" w:hAnsi="Arial" w:cs="Times New Roman"/>
          <w:sz w:val="24"/>
          <w:szCs w:val="20"/>
          <w:lang w:val="es-MX" w:eastAsia="es-ES"/>
        </w:rPr>
        <w:t>.16</w:t>
      </w:r>
      <w:r w:rsidR="00E40085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se adjudicó la L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icitación de referencia a las firmas Ferres &amp; Pike S.A</w:t>
      </w:r>
      <w:r w:rsidR="00E40085">
        <w:rPr>
          <w:rFonts w:ascii="Arial" w:eastAsia="Times New Roman" w:hAnsi="Arial" w:cs="Times New Roman"/>
          <w:sz w:val="24"/>
          <w:szCs w:val="20"/>
          <w:lang w:val="es-MX" w:eastAsia="es-ES"/>
        </w:rPr>
        <w:t>., Maderas Tratadas S.A.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y</w:t>
      </w:r>
      <w:r w:rsidR="00E40085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Compañía Forestal Uruguaya S.A., por un monto total de $66: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>616.631;</w:t>
      </w:r>
    </w:p>
    <w:p w:rsidR="00E40085" w:rsidRDefault="004D6696" w:rsidP="00E4008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B276FF">
        <w:rPr>
          <w:rFonts w:ascii="Arial" w:eastAsia="Times New Roman" w:hAnsi="Arial" w:cs="Times New Roman"/>
          <w:b/>
          <w:sz w:val="24"/>
          <w:szCs w:val="20"/>
          <w:lang w:eastAsia="es-ES"/>
        </w:rPr>
        <w:t>2)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que el gasto fue observado por 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>Resolución N°</w:t>
      </w:r>
      <w:r w:rsidR="007F21C8">
        <w:rPr>
          <w:rFonts w:ascii="Arial" w:eastAsia="Times New Roman" w:hAnsi="Arial" w:cs="Times New Roman"/>
          <w:sz w:val="24"/>
          <w:szCs w:val="20"/>
          <w:lang w:eastAsia="es-ES"/>
        </w:rPr>
        <w:t xml:space="preserve">950/16 de 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este Tribunal </w:t>
      </w:r>
      <w:r w:rsidR="007F21C8">
        <w:rPr>
          <w:rFonts w:ascii="Arial" w:eastAsia="Times New Roman" w:hAnsi="Arial" w:cs="Times New Roman"/>
          <w:sz w:val="24"/>
          <w:szCs w:val="20"/>
          <w:lang w:eastAsia="es-ES"/>
        </w:rPr>
        <w:t xml:space="preserve">adoptada en Sesión de fecha 30.03.16, 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>en razón de que:</w:t>
      </w:r>
    </w:p>
    <w:p w:rsidR="00E40085" w:rsidRDefault="004D6696" w:rsidP="00E4008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2.1</w:t>
      </w:r>
      <w:r w:rsidRPr="002704BC">
        <w:rPr>
          <w:rFonts w:ascii="Arial" w:eastAsia="Times New Roman" w:hAnsi="Arial" w:cs="Times New Roman"/>
          <w:b/>
          <w:sz w:val="24"/>
          <w:szCs w:val="20"/>
          <w:lang w:eastAsia="es-ES"/>
        </w:rPr>
        <w:t>)</w:t>
      </w:r>
      <w:r w:rsidR="007F21C8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>el N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umeral 2.5 del Pliego de Condiciones Particulares no estableció criterios </w:t>
      </w:r>
      <w:r w:rsidR="00D125A9">
        <w:rPr>
          <w:rFonts w:ascii="Arial" w:eastAsia="Times New Roman" w:hAnsi="Arial" w:cs="Times New Roman"/>
          <w:sz w:val="24"/>
          <w:szCs w:val="20"/>
          <w:lang w:eastAsia="es-ES"/>
        </w:rPr>
        <w:t>o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>bjetivos para la evaluación de las propuestas</w:t>
      </w:r>
      <w:r w:rsidR="007F21C8">
        <w:rPr>
          <w:rFonts w:ascii="Arial" w:eastAsia="Times New Roman" w:hAnsi="Arial" w:cs="Times New Roman"/>
          <w:sz w:val="24"/>
          <w:szCs w:val="20"/>
          <w:lang w:eastAsia="es-ES"/>
        </w:rPr>
        <w:t xml:space="preserve">, al disponer que </w:t>
      </w:r>
      <w:r w:rsidR="007F21C8" w:rsidRPr="007F21C8">
        <w:rPr>
          <w:rFonts w:ascii="Arial" w:eastAsia="Times New Roman" w:hAnsi="Arial" w:cs="Times New Roman"/>
          <w:i/>
          <w:sz w:val="24"/>
          <w:szCs w:val="20"/>
          <w:lang w:eastAsia="es-ES"/>
        </w:rPr>
        <w:t>“la Administración se reserva el derecho de determinar a su exclusivo juicio y en forma definitiva si el oferente posee la capacidad técnica para cumplir con el objeto de la presente licitación”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>, en contravención del A</w:t>
      </w:r>
      <w:r w:rsidR="00D125A9">
        <w:rPr>
          <w:rFonts w:ascii="Arial" w:eastAsia="Times New Roman" w:hAnsi="Arial" w:cs="Times New Roman"/>
          <w:sz w:val="24"/>
          <w:szCs w:val="20"/>
          <w:lang w:eastAsia="es-ES"/>
        </w:rPr>
        <w:t>rtículo 65 del TOCAF;</w:t>
      </w:r>
    </w:p>
    <w:p w:rsidR="00E40085" w:rsidRDefault="007F21C8" w:rsidP="00E4008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7F21C8">
        <w:rPr>
          <w:rFonts w:ascii="Arial" w:eastAsia="Times New Roman" w:hAnsi="Arial" w:cs="Times New Roman"/>
          <w:b/>
          <w:sz w:val="24"/>
          <w:szCs w:val="20"/>
          <w:lang w:eastAsia="es-ES"/>
        </w:rPr>
        <w:t>2.2)</w:t>
      </w: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 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>asimismo, el referido N</w:t>
      </w:r>
      <w:r w:rsidR="00A24EE9">
        <w:rPr>
          <w:rFonts w:ascii="Arial" w:eastAsia="Times New Roman" w:hAnsi="Arial" w:cs="Times New Roman"/>
          <w:sz w:val="24"/>
          <w:szCs w:val="20"/>
          <w:lang w:eastAsia="es-ES"/>
        </w:rPr>
        <w:t>umeral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incluye un concepto indeterminado </w:t>
      </w:r>
      <w:r w:rsidR="00856C8D">
        <w:rPr>
          <w:rFonts w:ascii="Arial" w:eastAsia="Times New Roman" w:hAnsi="Arial" w:cs="Times New Roman"/>
          <w:sz w:val="24"/>
          <w:szCs w:val="20"/>
          <w:lang w:eastAsia="es-ES"/>
        </w:rPr>
        <w:t>que refiere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a la </w:t>
      </w:r>
      <w:r>
        <w:rPr>
          <w:rFonts w:ascii="Arial" w:eastAsia="Times New Roman" w:hAnsi="Arial" w:cs="Times New Roman"/>
          <w:i/>
          <w:sz w:val="24"/>
          <w:szCs w:val="20"/>
          <w:lang w:eastAsia="es-ES"/>
        </w:rPr>
        <w:t>“falta de información suficiente para hacer un juicio fundado de una oferta</w:t>
      </w:r>
      <w:r w:rsidR="00A24EE9">
        <w:rPr>
          <w:rFonts w:ascii="Arial" w:eastAsia="Times New Roman" w:hAnsi="Arial" w:cs="Times New Roman"/>
          <w:i/>
          <w:sz w:val="24"/>
          <w:szCs w:val="20"/>
          <w:lang w:eastAsia="es-ES"/>
        </w:rPr>
        <w:t xml:space="preserve">”, </w:t>
      </w:r>
      <w:r w:rsidR="00A24EE9" w:rsidRPr="00A24EE9">
        <w:rPr>
          <w:rFonts w:ascii="Arial" w:eastAsia="Times New Roman" w:hAnsi="Arial" w:cs="Times New Roman"/>
          <w:sz w:val="24"/>
          <w:szCs w:val="20"/>
          <w:lang w:eastAsia="es-ES"/>
        </w:rPr>
        <w:t>el que</w:t>
      </w:r>
      <w:r w:rsidR="00A24EE9">
        <w:rPr>
          <w:rFonts w:ascii="Arial" w:eastAsia="Times New Roman" w:hAnsi="Arial" w:cs="Times New Roman"/>
          <w:i/>
          <w:sz w:val="24"/>
          <w:szCs w:val="20"/>
          <w:lang w:eastAsia="es-ES"/>
        </w:rPr>
        <w:t xml:space="preserve"> “</w:t>
      </w:r>
      <w:r w:rsidR="00D125A9">
        <w:rPr>
          <w:rFonts w:ascii="Arial" w:eastAsia="Times New Roman" w:hAnsi="Arial" w:cs="Times New Roman"/>
          <w:i/>
          <w:sz w:val="24"/>
          <w:szCs w:val="20"/>
          <w:lang w:eastAsia="es-ES"/>
        </w:rPr>
        <w:t xml:space="preserve">podrá significar el rechazo de la </w:t>
      </w:r>
      <w:r w:rsidR="00D125A9">
        <w:rPr>
          <w:rFonts w:ascii="Arial" w:eastAsia="Times New Roman" w:hAnsi="Arial" w:cs="Times New Roman"/>
          <w:i/>
          <w:sz w:val="24"/>
          <w:szCs w:val="20"/>
          <w:lang w:eastAsia="es-ES"/>
        </w:rPr>
        <w:lastRenderedPageBreak/>
        <w:t>misma</w:t>
      </w:r>
      <w:r>
        <w:rPr>
          <w:rFonts w:ascii="Arial" w:eastAsia="Times New Roman" w:hAnsi="Arial" w:cs="Times New Roman"/>
          <w:i/>
          <w:sz w:val="24"/>
          <w:szCs w:val="20"/>
          <w:lang w:eastAsia="es-ES"/>
        </w:rPr>
        <w:t>”</w:t>
      </w:r>
      <w:r w:rsidR="00D125A9">
        <w:rPr>
          <w:rFonts w:ascii="Arial" w:eastAsia="Times New Roman" w:hAnsi="Arial" w:cs="Times New Roman"/>
          <w:i/>
          <w:sz w:val="24"/>
          <w:szCs w:val="20"/>
          <w:lang w:eastAsia="es-ES"/>
        </w:rPr>
        <w:t>,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siendo que el Pliego de Condiciones Particulares debe requerir expresa y concretamente toda la información que la Administración considere necesaria, a los efectos de proceder al debido estudio de las pro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>puestas, de conformidad con el A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>rtículo 48 del TOCAF;</w:t>
      </w:r>
    </w:p>
    <w:p w:rsidR="00E40085" w:rsidRDefault="00856C8D" w:rsidP="00E4008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856C8D">
        <w:rPr>
          <w:rFonts w:ascii="Arial" w:eastAsia="Times New Roman" w:hAnsi="Arial" w:cs="Times New Roman"/>
          <w:b/>
          <w:sz w:val="24"/>
          <w:szCs w:val="20"/>
          <w:lang w:eastAsia="es-ES"/>
        </w:rPr>
        <w:t>2.3)</w:t>
      </w:r>
      <w:r w:rsidRPr="00856C8D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las bases del llamado </w:t>
      </w:r>
      <w:r w:rsidR="00D125A9">
        <w:rPr>
          <w:rFonts w:ascii="Arial" w:eastAsia="Times New Roman" w:hAnsi="Arial" w:cs="Times New Roman"/>
          <w:sz w:val="24"/>
          <w:szCs w:val="20"/>
          <w:lang w:eastAsia="es-ES"/>
        </w:rPr>
        <w:t>contravienen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 xml:space="preserve"> los Artículos 46 N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umeral 3) y 76 del TOCAF relativos a la inscripción de los proveedores del Estado en el RUPE, al otorgar un plazo </w:t>
      </w:r>
      <w:r w:rsidR="004546E6">
        <w:rPr>
          <w:rFonts w:ascii="Arial" w:eastAsia="Times New Roman" w:hAnsi="Arial" w:cs="Times New Roman"/>
          <w:sz w:val="24"/>
          <w:szCs w:val="20"/>
          <w:lang w:eastAsia="es-ES"/>
        </w:rPr>
        <w:t xml:space="preserve">adicional </w:t>
      </w:r>
      <w:r w:rsidR="00D125A9">
        <w:rPr>
          <w:rFonts w:ascii="Arial" w:eastAsia="Times New Roman" w:hAnsi="Arial" w:cs="Times New Roman"/>
          <w:sz w:val="24"/>
          <w:szCs w:val="20"/>
          <w:lang w:eastAsia="es-ES"/>
        </w:rPr>
        <w:t>a los oferentes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que no se encontraban inscriptos en dicho Registro al momento de ofertar</w:t>
      </w:r>
      <w:r w:rsidR="00D125A9">
        <w:rPr>
          <w:rFonts w:ascii="Arial" w:eastAsia="Times New Roman" w:hAnsi="Arial" w:cs="Times New Roman"/>
          <w:sz w:val="24"/>
          <w:szCs w:val="20"/>
          <w:lang w:eastAsia="es-ES"/>
        </w:rPr>
        <w:t>;</w:t>
      </w:r>
    </w:p>
    <w:p w:rsidR="00E40085" w:rsidRDefault="004D6696" w:rsidP="00E4008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506A39"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3) 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>que por Resolución N° 16.-</w:t>
      </w:r>
      <w:r w:rsidR="00856C8D">
        <w:rPr>
          <w:rFonts w:ascii="Arial" w:eastAsia="Times New Roman" w:hAnsi="Arial" w:cs="Times New Roman"/>
          <w:sz w:val="24"/>
          <w:szCs w:val="20"/>
          <w:lang w:eastAsia="es-ES"/>
        </w:rPr>
        <w:t>1305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de fecha 28.04.16, el Directorio reiteró el gasto manifestando que:</w:t>
      </w:r>
    </w:p>
    <w:p w:rsidR="00E40085" w:rsidRDefault="004D6696" w:rsidP="00E4008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73517B">
        <w:rPr>
          <w:rFonts w:ascii="Arial" w:eastAsia="Times New Roman" w:hAnsi="Arial" w:cs="Times New Roman"/>
          <w:b/>
          <w:sz w:val="24"/>
          <w:szCs w:val="20"/>
          <w:lang w:eastAsia="es-ES"/>
        </w:rPr>
        <w:t>3.1)</w:t>
      </w: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 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>el N</w:t>
      </w:r>
      <w:r w:rsidR="00856C8D">
        <w:rPr>
          <w:rFonts w:ascii="Arial" w:eastAsia="Times New Roman" w:hAnsi="Arial" w:cs="Times New Roman"/>
          <w:sz w:val="24"/>
          <w:szCs w:val="20"/>
          <w:lang w:eastAsia="es-ES"/>
        </w:rPr>
        <w:t>umeral 2.5 del Pliego de Condiciones Particulares señala</w:t>
      </w:r>
      <w:r w:rsidR="001D15BA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856C8D">
        <w:rPr>
          <w:rFonts w:ascii="Arial" w:eastAsia="Times New Roman" w:hAnsi="Arial" w:cs="Times New Roman"/>
          <w:sz w:val="24"/>
          <w:szCs w:val="20"/>
          <w:lang w:eastAsia="es-ES"/>
        </w:rPr>
        <w:t xml:space="preserve">que la evaluación de las ofertas </w:t>
      </w:r>
      <w:r w:rsidR="00F50609">
        <w:rPr>
          <w:rFonts w:ascii="Arial" w:eastAsia="Times New Roman" w:hAnsi="Arial" w:cs="Times New Roman"/>
          <w:sz w:val="24"/>
          <w:szCs w:val="20"/>
          <w:lang w:eastAsia="es-ES"/>
        </w:rPr>
        <w:t>es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 xml:space="preserve"> de acuerdo con el</w:t>
      </w:r>
      <w:r w:rsidR="00856C8D">
        <w:rPr>
          <w:rFonts w:ascii="Arial" w:eastAsia="Times New Roman" w:hAnsi="Arial" w:cs="Times New Roman"/>
          <w:sz w:val="24"/>
          <w:szCs w:val="20"/>
          <w:lang w:eastAsia="es-ES"/>
        </w:rPr>
        <w:t xml:space="preserve"> precio cotizado, siendo éste un criterio cuantitativo. La determinación de </w:t>
      </w:r>
      <w:r w:rsidR="001D15BA">
        <w:rPr>
          <w:rFonts w:ascii="Arial" w:eastAsia="Times New Roman" w:hAnsi="Arial" w:cs="Times New Roman"/>
          <w:sz w:val="24"/>
          <w:szCs w:val="20"/>
          <w:lang w:eastAsia="es-ES"/>
        </w:rPr>
        <w:t xml:space="preserve">la </w:t>
      </w:r>
      <w:r w:rsidR="00856C8D">
        <w:rPr>
          <w:rFonts w:ascii="Arial" w:eastAsia="Times New Roman" w:hAnsi="Arial" w:cs="Times New Roman"/>
          <w:sz w:val="24"/>
          <w:szCs w:val="20"/>
          <w:lang w:eastAsia="es-ES"/>
        </w:rPr>
        <w:t>capacidad técnica refiere a</w:t>
      </w:r>
      <w:r w:rsidR="001D15BA">
        <w:rPr>
          <w:rFonts w:ascii="Arial" w:eastAsia="Times New Roman" w:hAnsi="Arial" w:cs="Times New Roman"/>
          <w:sz w:val="24"/>
          <w:szCs w:val="20"/>
          <w:lang w:eastAsia="es-ES"/>
        </w:rPr>
        <w:t>l estudio de</w:t>
      </w:r>
      <w:r w:rsidR="00856C8D">
        <w:rPr>
          <w:rFonts w:ascii="Arial" w:eastAsia="Times New Roman" w:hAnsi="Arial" w:cs="Times New Roman"/>
          <w:sz w:val="24"/>
          <w:szCs w:val="20"/>
          <w:lang w:eastAsia="es-ES"/>
        </w:rPr>
        <w:t xml:space="preserve"> admisibilidad de las propuestas</w:t>
      </w:r>
      <w:r w:rsidR="001D15BA">
        <w:rPr>
          <w:rFonts w:ascii="Arial" w:eastAsia="Times New Roman" w:hAnsi="Arial" w:cs="Times New Roman"/>
          <w:sz w:val="24"/>
          <w:szCs w:val="20"/>
          <w:lang w:eastAsia="es-ES"/>
        </w:rPr>
        <w:t xml:space="preserve">, y la indicación de que ese análisis es a juicio de UTE, refiere a que la Comisión Asesora </w:t>
      </w:r>
      <w:r w:rsidR="00F50609">
        <w:rPr>
          <w:rFonts w:ascii="Arial" w:eastAsia="Times New Roman" w:hAnsi="Arial" w:cs="Times New Roman"/>
          <w:sz w:val="24"/>
          <w:szCs w:val="20"/>
          <w:lang w:eastAsia="es-ES"/>
        </w:rPr>
        <w:t xml:space="preserve">de Adjudicaciones es </w:t>
      </w:r>
      <w:r w:rsidR="001D15BA">
        <w:rPr>
          <w:rFonts w:ascii="Arial" w:eastAsia="Times New Roman" w:hAnsi="Arial" w:cs="Times New Roman"/>
          <w:sz w:val="24"/>
          <w:szCs w:val="20"/>
          <w:lang w:eastAsia="es-ES"/>
        </w:rPr>
        <w:t>la encargada de verificar el ajuste de las</w:t>
      </w:r>
      <w:r w:rsidR="00F50609">
        <w:rPr>
          <w:rFonts w:ascii="Arial" w:eastAsia="Times New Roman" w:hAnsi="Arial" w:cs="Times New Roman"/>
          <w:sz w:val="24"/>
          <w:szCs w:val="20"/>
          <w:lang w:eastAsia="es-ES"/>
        </w:rPr>
        <w:t xml:space="preserve"> ofertas respecto de </w:t>
      </w:r>
      <w:r w:rsidR="001D15BA">
        <w:rPr>
          <w:rFonts w:ascii="Arial" w:eastAsia="Times New Roman" w:hAnsi="Arial" w:cs="Times New Roman"/>
          <w:sz w:val="24"/>
          <w:szCs w:val="20"/>
          <w:lang w:eastAsia="es-ES"/>
        </w:rPr>
        <w:t>las especificaciones requeridas,</w:t>
      </w:r>
      <w:r w:rsidR="00F50609">
        <w:rPr>
          <w:rFonts w:ascii="Arial" w:eastAsia="Times New Roman" w:hAnsi="Arial" w:cs="Times New Roman"/>
          <w:sz w:val="24"/>
          <w:szCs w:val="20"/>
          <w:lang w:eastAsia="es-ES"/>
        </w:rPr>
        <w:t xml:space="preserve"> determinando</w:t>
      </w:r>
      <w:r w:rsidR="001D15BA">
        <w:rPr>
          <w:rFonts w:ascii="Arial" w:eastAsia="Times New Roman" w:hAnsi="Arial" w:cs="Times New Roman"/>
          <w:sz w:val="24"/>
          <w:szCs w:val="20"/>
          <w:lang w:eastAsia="es-ES"/>
        </w:rPr>
        <w:t xml:space="preserve"> la capacidad técnica de las </w:t>
      </w:r>
      <w:r w:rsidR="00F50609">
        <w:rPr>
          <w:rFonts w:ascii="Arial" w:eastAsia="Times New Roman" w:hAnsi="Arial" w:cs="Times New Roman"/>
          <w:sz w:val="24"/>
          <w:szCs w:val="20"/>
          <w:lang w:eastAsia="es-ES"/>
        </w:rPr>
        <w:t xml:space="preserve">mismas, lo que </w:t>
      </w:r>
      <w:r w:rsidR="001D15BA">
        <w:rPr>
          <w:rFonts w:ascii="Arial" w:eastAsia="Times New Roman" w:hAnsi="Arial" w:cs="Times New Roman"/>
          <w:sz w:val="24"/>
          <w:szCs w:val="20"/>
          <w:lang w:eastAsia="es-ES"/>
        </w:rPr>
        <w:t xml:space="preserve">no </w:t>
      </w:r>
      <w:r w:rsidR="00D125A9">
        <w:rPr>
          <w:rFonts w:ascii="Arial" w:eastAsia="Times New Roman" w:hAnsi="Arial" w:cs="Times New Roman"/>
          <w:sz w:val="24"/>
          <w:szCs w:val="20"/>
          <w:lang w:eastAsia="es-ES"/>
        </w:rPr>
        <w:t>resulta</w:t>
      </w:r>
      <w:r w:rsidR="001D15BA">
        <w:rPr>
          <w:rFonts w:ascii="Arial" w:eastAsia="Times New Roman" w:hAnsi="Arial" w:cs="Times New Roman"/>
          <w:sz w:val="24"/>
          <w:szCs w:val="20"/>
          <w:lang w:eastAsia="es-ES"/>
        </w:rPr>
        <w:t xml:space="preserve"> un criterio arbitrario. El referido numeral expone los criterios de admisibilidad y de evaluación de las propuestas</w:t>
      </w:r>
      <w:r w:rsidR="00D125A9">
        <w:rPr>
          <w:rFonts w:ascii="Arial" w:eastAsia="Times New Roman" w:hAnsi="Arial" w:cs="Times New Roman"/>
          <w:sz w:val="24"/>
          <w:szCs w:val="20"/>
          <w:lang w:eastAsia="es-ES"/>
        </w:rPr>
        <w:t>, los que no corresponden a</w:t>
      </w:r>
      <w:r w:rsidR="00F50609">
        <w:rPr>
          <w:rFonts w:ascii="Arial" w:eastAsia="Times New Roman" w:hAnsi="Arial" w:cs="Times New Roman"/>
          <w:sz w:val="24"/>
          <w:szCs w:val="20"/>
          <w:lang w:eastAsia="es-ES"/>
        </w:rPr>
        <w:t xml:space="preserve"> una misma etapa. No obstante, debido a que la redacción genera dudas, se contemplará la modificación de la frase para los próximos pliegos de condiciones;</w:t>
      </w:r>
    </w:p>
    <w:p w:rsidR="00E40085" w:rsidRDefault="00F50609" w:rsidP="00E4008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F50609">
        <w:rPr>
          <w:rFonts w:ascii="Arial" w:eastAsia="Times New Roman" w:hAnsi="Arial" w:cs="Times New Roman"/>
          <w:b/>
          <w:sz w:val="24"/>
          <w:szCs w:val="20"/>
          <w:lang w:eastAsia="es-ES"/>
        </w:rPr>
        <w:t>3.2)</w:t>
      </w: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 </w:t>
      </w:r>
      <w:r w:rsidR="004546E6" w:rsidRPr="003602D2">
        <w:rPr>
          <w:rFonts w:ascii="Arial" w:eastAsia="Times New Roman" w:hAnsi="Arial" w:cs="Times New Roman"/>
          <w:sz w:val="24"/>
          <w:szCs w:val="20"/>
          <w:lang w:eastAsia="es-ES"/>
        </w:rPr>
        <w:t xml:space="preserve">la </w:t>
      </w:r>
      <w:r w:rsidR="004546E6">
        <w:rPr>
          <w:rFonts w:ascii="Arial" w:eastAsia="Times New Roman" w:hAnsi="Arial" w:cs="Times New Roman"/>
          <w:sz w:val="24"/>
          <w:szCs w:val="20"/>
          <w:lang w:eastAsia="es-ES"/>
        </w:rPr>
        <w:t>información requerida para el estudio de admisibilidad de las ofertas est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>á expresamente detallada en el N</w:t>
      </w:r>
      <w:r w:rsidR="004546E6">
        <w:rPr>
          <w:rFonts w:ascii="Arial" w:eastAsia="Times New Roman" w:hAnsi="Arial" w:cs="Times New Roman"/>
          <w:sz w:val="24"/>
          <w:szCs w:val="20"/>
          <w:lang w:eastAsia="es-ES"/>
        </w:rPr>
        <w:t xml:space="preserve">umeral 2.2 del Pliego de Condiciones Particulares; 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la observación relativa a la frase </w:t>
      </w:r>
      <w:r>
        <w:rPr>
          <w:rFonts w:ascii="Arial" w:eastAsia="Times New Roman" w:hAnsi="Arial" w:cs="Times New Roman"/>
          <w:i/>
          <w:sz w:val="24"/>
          <w:szCs w:val="20"/>
          <w:lang w:eastAsia="es-ES"/>
        </w:rPr>
        <w:t xml:space="preserve">“falta de información suficiente”, 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>tiene por finalidad contemplar la potestad de la Comisión Asesora de Adjudicaciones de solic</w:t>
      </w:r>
      <w:r w:rsidR="004546E6">
        <w:rPr>
          <w:rFonts w:ascii="Arial" w:eastAsia="Times New Roman" w:hAnsi="Arial" w:cs="Times New Roman"/>
          <w:sz w:val="24"/>
          <w:szCs w:val="20"/>
          <w:lang w:eastAsia="es-ES"/>
        </w:rPr>
        <w:t>itar aclaracion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>es necesarias, dispuesta en el A</w:t>
      </w:r>
      <w:r w:rsidR="004546E6">
        <w:rPr>
          <w:rFonts w:ascii="Arial" w:eastAsia="Times New Roman" w:hAnsi="Arial" w:cs="Times New Roman"/>
          <w:sz w:val="24"/>
          <w:szCs w:val="20"/>
          <w:lang w:eastAsia="es-ES"/>
        </w:rPr>
        <w:t>rtículo 66 del TOCAF;</w:t>
      </w:r>
    </w:p>
    <w:p w:rsidR="003602D2" w:rsidRDefault="004546E6" w:rsidP="00E4008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lastRenderedPageBreak/>
        <w:t>3.3</w:t>
      </w:r>
      <w:r w:rsidR="004D6696" w:rsidRPr="00DE7C1D"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) </w:t>
      </w:r>
      <w:r w:rsidRPr="004546E6">
        <w:rPr>
          <w:rFonts w:ascii="Arial" w:eastAsia="Times New Roman" w:hAnsi="Arial" w:cs="Times New Roman"/>
          <w:sz w:val="24"/>
          <w:szCs w:val="20"/>
          <w:lang w:eastAsia="es-ES"/>
        </w:rPr>
        <w:t xml:space="preserve">respecto del otorgamiento de un plazo 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adicional para la inscripción en el RUPE, a la fecha de la apertura de ofertas del presente </w:t>
      </w:r>
      <w:proofErr w:type="gramStart"/>
      <w:r>
        <w:rPr>
          <w:rFonts w:ascii="Arial" w:eastAsia="Times New Roman" w:hAnsi="Arial" w:cs="Times New Roman"/>
          <w:sz w:val="24"/>
          <w:szCs w:val="20"/>
          <w:lang w:eastAsia="es-ES"/>
        </w:rPr>
        <w:t>llamado</w:t>
      </w:r>
      <w:proofErr w:type="gramEnd"/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,  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 xml:space="preserve">UTE aún no estaba en estado de “Organismo incorporado a RUPE”, lo que 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>tuvo lugar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 xml:space="preserve"> el 21.12.15. A efectos de comenzar a instruir a los posibles oferentes sobre la exigencia de la inscripción 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>dicho Registro,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 xml:space="preserve"> se entendió conveniente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incluir 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>la potestad de otorgar un plazo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adicional a </w:t>
      </w:r>
      <w:r w:rsidR="00A24EE9">
        <w:rPr>
          <w:rFonts w:ascii="Arial" w:eastAsia="Times New Roman" w:hAnsi="Arial" w:cs="Times New Roman"/>
          <w:sz w:val="24"/>
          <w:szCs w:val="20"/>
          <w:lang w:eastAsia="es-ES"/>
        </w:rPr>
        <w:t xml:space="preserve">aquellos 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>que</w:t>
      </w:r>
      <w:r w:rsidR="00A24EE9">
        <w:rPr>
          <w:rFonts w:ascii="Arial" w:eastAsia="Times New Roman" w:hAnsi="Arial" w:cs="Times New Roman"/>
          <w:sz w:val="24"/>
          <w:szCs w:val="20"/>
          <w:lang w:eastAsia="es-ES"/>
        </w:rPr>
        <w:t xml:space="preserve">, a la fecha de la apertura de ofertas, 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>no se encontraban en el ingreso en RUPE,</w:t>
      </w: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 para que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 xml:space="preserve"> pudieran regularizar su situación. </w:t>
      </w:r>
      <w:r w:rsidR="00DC36FE">
        <w:rPr>
          <w:rFonts w:ascii="Arial" w:eastAsia="Times New Roman" w:hAnsi="Arial" w:cs="Times New Roman"/>
          <w:sz w:val="24"/>
          <w:szCs w:val="20"/>
          <w:lang w:eastAsia="es-ES"/>
        </w:rPr>
        <w:t>Esta potestad únicamente se entendía válida hasta tanto UTE ingresara como “empresa incorporada a RUPE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>” y fue eliminada de todos los Pliegos de C</w:t>
      </w:r>
      <w:r w:rsidR="00DC36FE">
        <w:rPr>
          <w:rFonts w:ascii="Arial" w:eastAsia="Times New Roman" w:hAnsi="Arial" w:cs="Times New Roman"/>
          <w:sz w:val="24"/>
          <w:szCs w:val="20"/>
          <w:lang w:eastAsia="es-ES"/>
        </w:rPr>
        <w:t>ondiciones a partir del 21.12.15, estableciendo actualmente que las ofertas serán automáticamente descartadas si no se encuentran en RUPE al momento del acto de apertura;</w:t>
      </w:r>
    </w:p>
    <w:p w:rsidR="00E40085" w:rsidRDefault="004D6696" w:rsidP="00E40085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CONSIDERANDO:</w:t>
      </w:r>
      <w:r w:rsidR="00E40085"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1)</w:t>
      </w:r>
      <w:r w:rsidR="003602D2" w:rsidRPr="003602D2">
        <w:rPr>
          <w:rFonts w:ascii="Arial" w:hAnsi="Arial" w:cs="Arial"/>
          <w:sz w:val="24"/>
          <w:szCs w:val="24"/>
          <w:lang w:val="es-MX"/>
        </w:rPr>
        <w:t xml:space="preserve"> </w:t>
      </w:r>
      <w:r w:rsidR="003602D2" w:rsidRPr="00463991">
        <w:rPr>
          <w:rFonts w:ascii="Arial" w:hAnsi="Arial" w:cs="Arial"/>
          <w:sz w:val="24"/>
          <w:szCs w:val="24"/>
          <w:lang w:val="es-MX"/>
        </w:rPr>
        <w:t xml:space="preserve">que </w:t>
      </w:r>
      <w:r w:rsidR="003602D2">
        <w:rPr>
          <w:rFonts w:ascii="Arial" w:hAnsi="Arial" w:cs="Arial"/>
          <w:sz w:val="24"/>
          <w:szCs w:val="24"/>
          <w:lang w:val="es-MX"/>
        </w:rPr>
        <w:t>no obstante la argumentación esgrimida por la Administración,</w:t>
      </w:r>
      <w:r w:rsidR="003602D2">
        <w:rPr>
          <w:rFonts w:ascii="Arial" w:hAnsi="Arial" w:cs="Arial"/>
          <w:bCs/>
          <w:sz w:val="24"/>
          <w:szCs w:val="24"/>
        </w:rPr>
        <w:t xml:space="preserve"> aclarando </w:t>
      </w:r>
      <w:r w:rsidR="00242164">
        <w:rPr>
          <w:rFonts w:ascii="Arial" w:hAnsi="Arial" w:cs="Arial"/>
          <w:bCs/>
          <w:sz w:val="24"/>
          <w:szCs w:val="24"/>
        </w:rPr>
        <w:t xml:space="preserve">que la </w:t>
      </w:r>
      <w:r w:rsidR="00242164">
        <w:rPr>
          <w:rFonts w:ascii="Arial" w:eastAsia="Times New Roman" w:hAnsi="Arial" w:cs="Times New Roman"/>
          <w:sz w:val="24"/>
          <w:szCs w:val="20"/>
          <w:lang w:eastAsia="es-ES"/>
        </w:rPr>
        <w:t>Comisión Ases</w:t>
      </w:r>
      <w:r w:rsidR="006D77D1">
        <w:rPr>
          <w:rFonts w:ascii="Arial" w:eastAsia="Times New Roman" w:hAnsi="Arial" w:cs="Times New Roman"/>
          <w:sz w:val="24"/>
          <w:szCs w:val="20"/>
          <w:lang w:eastAsia="es-ES"/>
        </w:rPr>
        <w:t>ora de Adjudicaciones no utilizó</w:t>
      </w:r>
      <w:r w:rsidR="00242164">
        <w:rPr>
          <w:rFonts w:ascii="Arial" w:eastAsia="Times New Roman" w:hAnsi="Arial" w:cs="Times New Roman"/>
          <w:sz w:val="24"/>
          <w:szCs w:val="20"/>
          <w:lang w:eastAsia="es-ES"/>
        </w:rPr>
        <w:t xml:space="preserve"> un criterio arbitrario para proceder al análisis de admisibilidad y de evaluación de las propuestas, </w:t>
      </w:r>
      <w:r w:rsidR="003602D2" w:rsidRPr="00463991">
        <w:rPr>
          <w:rFonts w:ascii="Arial" w:hAnsi="Arial" w:cs="Arial"/>
          <w:bCs/>
          <w:sz w:val="24"/>
          <w:szCs w:val="24"/>
        </w:rPr>
        <w:t xml:space="preserve">la </w:t>
      </w:r>
      <w:r w:rsidR="006D77D1">
        <w:rPr>
          <w:rFonts w:ascii="Arial" w:hAnsi="Arial" w:cs="Arial"/>
          <w:bCs/>
          <w:sz w:val="24"/>
          <w:szCs w:val="24"/>
        </w:rPr>
        <w:t>misma reconoció</w:t>
      </w:r>
      <w:r w:rsidR="00242164">
        <w:rPr>
          <w:rFonts w:ascii="Arial" w:hAnsi="Arial" w:cs="Arial"/>
          <w:bCs/>
          <w:sz w:val="24"/>
          <w:szCs w:val="24"/>
        </w:rPr>
        <w:t xml:space="preserve"> que la </w:t>
      </w:r>
      <w:r w:rsidR="003602D2" w:rsidRPr="00463991">
        <w:rPr>
          <w:rFonts w:ascii="Arial" w:hAnsi="Arial" w:cs="Arial"/>
          <w:bCs/>
          <w:sz w:val="24"/>
          <w:szCs w:val="24"/>
        </w:rPr>
        <w:t>redacción del</w:t>
      </w:r>
      <w:r w:rsidR="00E40085">
        <w:rPr>
          <w:rFonts w:ascii="Arial" w:hAnsi="Arial" w:cs="Arial"/>
          <w:bCs/>
          <w:sz w:val="24"/>
          <w:szCs w:val="24"/>
        </w:rPr>
        <w:t xml:space="preserve"> N</w:t>
      </w:r>
      <w:r w:rsidR="00A24EE9">
        <w:rPr>
          <w:rFonts w:ascii="Arial" w:hAnsi="Arial" w:cs="Arial"/>
          <w:bCs/>
          <w:sz w:val="24"/>
          <w:szCs w:val="24"/>
        </w:rPr>
        <w:t>umeral</w:t>
      </w:r>
      <w:r w:rsidR="003602D2" w:rsidRPr="00463991">
        <w:rPr>
          <w:rFonts w:ascii="Arial" w:hAnsi="Arial" w:cs="Arial"/>
          <w:bCs/>
          <w:sz w:val="24"/>
          <w:szCs w:val="24"/>
        </w:rPr>
        <w:t xml:space="preserve"> </w:t>
      </w:r>
      <w:r w:rsidR="003602D2">
        <w:rPr>
          <w:rFonts w:ascii="Arial" w:hAnsi="Arial" w:cs="Arial"/>
          <w:bCs/>
          <w:sz w:val="24"/>
          <w:szCs w:val="24"/>
        </w:rPr>
        <w:t xml:space="preserve">2.5 </w:t>
      </w:r>
      <w:r w:rsidR="003602D2" w:rsidRPr="00463991">
        <w:rPr>
          <w:rFonts w:ascii="Arial" w:hAnsi="Arial" w:cs="Arial"/>
          <w:bCs/>
          <w:sz w:val="24"/>
          <w:szCs w:val="24"/>
        </w:rPr>
        <w:t>de</w:t>
      </w:r>
      <w:r w:rsidR="003602D2">
        <w:rPr>
          <w:rFonts w:ascii="Arial" w:hAnsi="Arial" w:cs="Arial"/>
          <w:bCs/>
          <w:sz w:val="24"/>
          <w:szCs w:val="24"/>
        </w:rPr>
        <w:t xml:space="preserve">l </w:t>
      </w:r>
      <w:r w:rsidR="003602D2" w:rsidRPr="00463991">
        <w:rPr>
          <w:rFonts w:ascii="Arial" w:hAnsi="Arial" w:cs="Arial"/>
          <w:bCs/>
          <w:sz w:val="24"/>
          <w:szCs w:val="24"/>
        </w:rPr>
        <w:t xml:space="preserve">Pliego de Condiciones Particulares </w:t>
      </w:r>
      <w:r w:rsidR="00242164">
        <w:rPr>
          <w:rFonts w:ascii="Arial" w:hAnsi="Arial" w:cs="Arial"/>
          <w:bCs/>
          <w:sz w:val="24"/>
          <w:szCs w:val="24"/>
        </w:rPr>
        <w:t>incluy</w:t>
      </w:r>
      <w:r w:rsidR="006D77D1">
        <w:rPr>
          <w:rFonts w:ascii="Arial" w:hAnsi="Arial" w:cs="Arial"/>
          <w:bCs/>
          <w:sz w:val="24"/>
          <w:szCs w:val="24"/>
        </w:rPr>
        <w:t>e</w:t>
      </w:r>
      <w:r w:rsidR="00242164">
        <w:rPr>
          <w:rFonts w:ascii="Arial" w:hAnsi="Arial" w:cs="Arial"/>
          <w:bCs/>
          <w:sz w:val="24"/>
          <w:szCs w:val="24"/>
        </w:rPr>
        <w:t xml:space="preserve"> un concepto </w:t>
      </w:r>
      <w:r w:rsidR="006D77D1">
        <w:rPr>
          <w:rFonts w:ascii="Arial" w:hAnsi="Arial" w:cs="Arial"/>
          <w:bCs/>
          <w:sz w:val="24"/>
          <w:szCs w:val="24"/>
        </w:rPr>
        <w:t>cuya interpretación resulta confusa</w:t>
      </w:r>
      <w:r w:rsidR="00242164">
        <w:rPr>
          <w:rFonts w:ascii="Arial" w:hAnsi="Arial" w:cs="Arial"/>
          <w:bCs/>
          <w:sz w:val="24"/>
          <w:szCs w:val="24"/>
        </w:rPr>
        <w:t xml:space="preserve">, </w:t>
      </w:r>
      <w:r w:rsidR="006D77D1">
        <w:rPr>
          <w:rFonts w:ascii="Arial" w:hAnsi="Arial" w:cs="Arial"/>
          <w:bCs/>
          <w:sz w:val="24"/>
          <w:szCs w:val="24"/>
        </w:rPr>
        <w:t>debido a que incluye un criterio no</w:t>
      </w:r>
      <w:r w:rsidR="00242164">
        <w:rPr>
          <w:rFonts w:ascii="Arial" w:hAnsi="Arial" w:cs="Arial"/>
          <w:bCs/>
          <w:sz w:val="24"/>
          <w:szCs w:val="24"/>
        </w:rPr>
        <w:t xml:space="preserve"> objetivo. </w:t>
      </w:r>
      <w:r w:rsidR="006D77D1">
        <w:rPr>
          <w:rFonts w:ascii="Arial" w:hAnsi="Arial" w:cs="Arial"/>
          <w:bCs/>
          <w:sz w:val="24"/>
          <w:szCs w:val="24"/>
        </w:rPr>
        <w:t>L</w:t>
      </w:r>
      <w:r w:rsidR="006D77D1" w:rsidRPr="00463991">
        <w:rPr>
          <w:rFonts w:ascii="Arial" w:hAnsi="Arial" w:cs="Arial"/>
          <w:bCs/>
          <w:sz w:val="24"/>
          <w:szCs w:val="24"/>
        </w:rPr>
        <w:t>a observación</w:t>
      </w:r>
      <w:r w:rsidR="006D77D1">
        <w:rPr>
          <w:rFonts w:ascii="Arial" w:hAnsi="Arial" w:cs="Arial"/>
          <w:bCs/>
          <w:sz w:val="24"/>
          <w:szCs w:val="24"/>
        </w:rPr>
        <w:t xml:space="preserve"> oportunamente</w:t>
      </w:r>
      <w:r w:rsidR="006D77D1" w:rsidRPr="00463991">
        <w:rPr>
          <w:rFonts w:ascii="Arial" w:hAnsi="Arial" w:cs="Arial"/>
          <w:bCs/>
          <w:sz w:val="24"/>
          <w:szCs w:val="24"/>
        </w:rPr>
        <w:t xml:space="preserve"> formulada</w:t>
      </w:r>
      <w:r w:rsidR="006D77D1">
        <w:rPr>
          <w:rFonts w:ascii="Arial" w:hAnsi="Arial" w:cs="Arial"/>
          <w:bCs/>
          <w:sz w:val="24"/>
          <w:szCs w:val="24"/>
        </w:rPr>
        <w:t xml:space="preserve"> por este Tribunal no </w:t>
      </w:r>
      <w:r w:rsidR="00A24EE9">
        <w:rPr>
          <w:rFonts w:ascii="Arial" w:hAnsi="Arial" w:cs="Arial"/>
          <w:bCs/>
          <w:sz w:val="24"/>
          <w:szCs w:val="24"/>
        </w:rPr>
        <w:t>se ve</w:t>
      </w:r>
      <w:r w:rsidR="006D77D1">
        <w:rPr>
          <w:rFonts w:ascii="Arial" w:hAnsi="Arial" w:cs="Arial"/>
          <w:bCs/>
          <w:sz w:val="24"/>
          <w:szCs w:val="24"/>
        </w:rPr>
        <w:t xml:space="preserve"> afectada, puesto que recae sobre</w:t>
      </w:r>
      <w:r w:rsidR="006D77D1" w:rsidRPr="00463991">
        <w:rPr>
          <w:rFonts w:ascii="Arial" w:hAnsi="Arial" w:cs="Arial"/>
          <w:bCs/>
          <w:sz w:val="24"/>
          <w:szCs w:val="24"/>
        </w:rPr>
        <w:t xml:space="preserve"> la etapa preparatoria del pr</w:t>
      </w:r>
      <w:r w:rsidR="006D77D1">
        <w:rPr>
          <w:rFonts w:ascii="Arial" w:hAnsi="Arial" w:cs="Arial"/>
          <w:bCs/>
          <w:sz w:val="24"/>
          <w:szCs w:val="24"/>
        </w:rPr>
        <w:t>ocedimiento,</w:t>
      </w:r>
      <w:r w:rsidR="006D77D1" w:rsidRPr="00EA5A6E">
        <w:rPr>
          <w:rFonts w:ascii="Arial" w:hAnsi="Arial" w:cs="Arial"/>
          <w:bCs/>
          <w:sz w:val="24"/>
          <w:szCs w:val="24"/>
        </w:rPr>
        <w:t xml:space="preserve"> </w:t>
      </w:r>
      <w:r w:rsidR="006D77D1">
        <w:rPr>
          <w:rFonts w:ascii="Arial" w:hAnsi="Arial" w:cs="Arial"/>
          <w:bCs/>
          <w:sz w:val="24"/>
          <w:szCs w:val="24"/>
        </w:rPr>
        <w:t xml:space="preserve">correspondiente a la </w:t>
      </w:r>
      <w:r w:rsidR="006D77D1" w:rsidRPr="00463991">
        <w:rPr>
          <w:rFonts w:ascii="Arial" w:hAnsi="Arial" w:cs="Arial"/>
          <w:bCs/>
          <w:sz w:val="24"/>
          <w:szCs w:val="24"/>
        </w:rPr>
        <w:t>confección del Pliego de Condiciones Particulares</w:t>
      </w:r>
      <w:r w:rsidR="006D77D1">
        <w:rPr>
          <w:rFonts w:ascii="Arial" w:hAnsi="Arial" w:cs="Arial"/>
          <w:bCs/>
          <w:sz w:val="24"/>
          <w:szCs w:val="24"/>
        </w:rPr>
        <w:t xml:space="preserve">, </w:t>
      </w:r>
      <w:r w:rsidR="006D77D1" w:rsidRPr="00463991">
        <w:rPr>
          <w:rFonts w:ascii="Arial" w:hAnsi="Arial" w:cs="Arial"/>
          <w:bCs/>
          <w:sz w:val="24"/>
          <w:szCs w:val="24"/>
        </w:rPr>
        <w:t xml:space="preserve">y no </w:t>
      </w:r>
      <w:r w:rsidR="006D77D1">
        <w:rPr>
          <w:rFonts w:ascii="Arial" w:hAnsi="Arial" w:cs="Arial"/>
          <w:bCs/>
          <w:sz w:val="24"/>
          <w:szCs w:val="24"/>
        </w:rPr>
        <w:t>a</w:t>
      </w:r>
      <w:r w:rsidR="006D77D1" w:rsidRPr="00463991">
        <w:rPr>
          <w:rFonts w:ascii="Arial" w:hAnsi="Arial" w:cs="Arial"/>
          <w:bCs/>
          <w:sz w:val="24"/>
          <w:szCs w:val="24"/>
        </w:rPr>
        <w:t xml:space="preserve"> la posterior actuación </w:t>
      </w:r>
      <w:r w:rsidR="006D77D1">
        <w:rPr>
          <w:rFonts w:ascii="Arial" w:hAnsi="Arial" w:cs="Arial"/>
          <w:bCs/>
          <w:sz w:val="24"/>
          <w:szCs w:val="24"/>
        </w:rPr>
        <w:t>de la Comisión Asesora actuante</w:t>
      </w:r>
      <w:r w:rsidR="003602D2">
        <w:rPr>
          <w:rFonts w:ascii="Arial" w:hAnsi="Arial" w:cs="Arial"/>
          <w:bCs/>
          <w:sz w:val="24"/>
          <w:szCs w:val="24"/>
        </w:rPr>
        <w:t>;</w:t>
      </w:r>
    </w:p>
    <w:p w:rsidR="00E40085" w:rsidRDefault="004A01A1" w:rsidP="00E40085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>2</w:t>
      </w:r>
      <w:r w:rsidR="004D6696"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) </w:t>
      </w:r>
      <w:r w:rsidR="006F0B84">
        <w:rPr>
          <w:rFonts w:ascii="Arial" w:eastAsia="Times New Roman" w:hAnsi="Arial" w:cs="Times New Roman"/>
          <w:sz w:val="24"/>
          <w:szCs w:val="20"/>
          <w:lang w:eastAsia="es-ES"/>
        </w:rPr>
        <w:t xml:space="preserve">que </w:t>
      </w:r>
      <w:r w:rsidR="004A4A64">
        <w:rPr>
          <w:rFonts w:ascii="Arial" w:eastAsia="Times New Roman" w:hAnsi="Arial" w:cs="Times New Roman"/>
          <w:sz w:val="24"/>
          <w:szCs w:val="20"/>
          <w:lang w:eastAsia="es-ES"/>
        </w:rPr>
        <w:t xml:space="preserve">la observación formulada por este Tribunal no refirió a </w:t>
      </w:r>
      <w:r w:rsidR="006F0B84">
        <w:rPr>
          <w:rFonts w:ascii="Arial" w:eastAsia="Times New Roman" w:hAnsi="Arial" w:cs="Times New Roman"/>
          <w:sz w:val="24"/>
          <w:szCs w:val="20"/>
          <w:lang w:eastAsia="es-ES"/>
        </w:rPr>
        <w:t xml:space="preserve">la </w:t>
      </w:r>
      <w:r w:rsidR="007F0C3C">
        <w:rPr>
          <w:rFonts w:ascii="Arial" w:eastAsia="Times New Roman" w:hAnsi="Arial" w:cs="Times New Roman"/>
          <w:sz w:val="24"/>
          <w:szCs w:val="20"/>
          <w:lang w:eastAsia="es-ES"/>
        </w:rPr>
        <w:t>potestad</w:t>
      </w:r>
      <w:r w:rsidR="00813190">
        <w:rPr>
          <w:rFonts w:ascii="Arial" w:eastAsia="Times New Roman" w:hAnsi="Arial" w:cs="Times New Roman"/>
          <w:sz w:val="24"/>
          <w:szCs w:val="20"/>
          <w:lang w:eastAsia="es-ES"/>
        </w:rPr>
        <w:t xml:space="preserve"> que tiene </w:t>
      </w:r>
      <w:r w:rsidR="007F0C3C">
        <w:rPr>
          <w:rFonts w:ascii="Arial" w:eastAsia="Times New Roman" w:hAnsi="Arial" w:cs="Times New Roman"/>
          <w:sz w:val="24"/>
          <w:szCs w:val="20"/>
          <w:lang w:eastAsia="es-ES"/>
        </w:rPr>
        <w:t>la Comisión Asesora de</w:t>
      </w:r>
      <w:r w:rsidR="00A24EE9">
        <w:rPr>
          <w:rFonts w:ascii="Arial" w:eastAsia="Times New Roman" w:hAnsi="Arial" w:cs="Times New Roman"/>
          <w:sz w:val="24"/>
          <w:szCs w:val="20"/>
          <w:lang w:eastAsia="es-ES"/>
        </w:rPr>
        <w:t xml:space="preserve"> Adjudicaciones de</w:t>
      </w:r>
      <w:r w:rsidR="007F0C3C">
        <w:rPr>
          <w:rFonts w:ascii="Arial" w:eastAsia="Times New Roman" w:hAnsi="Arial" w:cs="Times New Roman"/>
          <w:sz w:val="24"/>
          <w:szCs w:val="20"/>
          <w:lang w:eastAsia="es-ES"/>
        </w:rPr>
        <w:t xml:space="preserve"> solici</w:t>
      </w:r>
      <w:r w:rsidR="004A4A64">
        <w:rPr>
          <w:rFonts w:ascii="Arial" w:eastAsia="Times New Roman" w:hAnsi="Arial" w:cs="Times New Roman"/>
          <w:sz w:val="24"/>
          <w:szCs w:val="20"/>
          <w:lang w:eastAsia="es-ES"/>
        </w:rPr>
        <w:t>tar información complementaria, lo que</w:t>
      </w:r>
      <w:r w:rsidR="00813190">
        <w:rPr>
          <w:rFonts w:ascii="Arial" w:eastAsia="Times New Roman" w:hAnsi="Arial" w:cs="Times New Roman"/>
          <w:sz w:val="24"/>
          <w:szCs w:val="20"/>
          <w:lang w:eastAsia="es-ES"/>
        </w:rPr>
        <w:t xml:space="preserve"> se encuentra</w:t>
      </w:r>
      <w:r w:rsidR="004A4A64">
        <w:rPr>
          <w:rFonts w:ascii="Arial" w:eastAsia="Times New Roman" w:hAnsi="Arial" w:cs="Times New Roman"/>
          <w:sz w:val="24"/>
          <w:szCs w:val="20"/>
          <w:lang w:eastAsia="es-ES"/>
        </w:rPr>
        <w:t xml:space="preserve"> previsto en el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 xml:space="preserve"> A</w:t>
      </w:r>
      <w:r w:rsidR="006F0B84">
        <w:rPr>
          <w:rFonts w:ascii="Arial" w:eastAsia="Times New Roman" w:hAnsi="Arial" w:cs="Times New Roman"/>
          <w:sz w:val="24"/>
          <w:szCs w:val="20"/>
          <w:lang w:eastAsia="es-ES"/>
        </w:rPr>
        <w:t>rtículo 66 del TOCAF</w:t>
      </w:r>
      <w:r w:rsidR="007F0C3C">
        <w:rPr>
          <w:rFonts w:ascii="Arial" w:eastAsia="Times New Roman" w:hAnsi="Arial" w:cs="Times New Roman"/>
          <w:sz w:val="24"/>
          <w:szCs w:val="20"/>
          <w:lang w:eastAsia="es-ES"/>
        </w:rPr>
        <w:t>,</w:t>
      </w:r>
      <w:r w:rsidR="0015710F">
        <w:rPr>
          <w:rFonts w:ascii="Arial" w:eastAsia="Times New Roman" w:hAnsi="Arial" w:cs="Times New Roman"/>
          <w:sz w:val="24"/>
          <w:szCs w:val="20"/>
          <w:lang w:eastAsia="es-ES"/>
        </w:rPr>
        <w:t xml:space="preserve"> sino que hizo referencia a la inclusión de un</w:t>
      </w:r>
      <w:r w:rsidR="004A4A64">
        <w:rPr>
          <w:rFonts w:ascii="Arial" w:eastAsia="Times New Roman" w:hAnsi="Arial" w:cs="Times New Roman"/>
          <w:sz w:val="24"/>
          <w:szCs w:val="20"/>
          <w:lang w:eastAsia="es-ES"/>
        </w:rPr>
        <w:t xml:space="preserve"> criterio no objetivo, indeterminado, de</w:t>
      </w:r>
      <w:r w:rsidR="007F0C3C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7F0C3C" w:rsidRPr="007F0C3C">
        <w:rPr>
          <w:rFonts w:ascii="Arial" w:eastAsia="Times New Roman" w:hAnsi="Arial" w:cs="Times New Roman"/>
          <w:i/>
          <w:sz w:val="24"/>
          <w:szCs w:val="20"/>
          <w:lang w:eastAsia="es-ES"/>
        </w:rPr>
        <w:t>“falta de información suficiente</w:t>
      </w:r>
      <w:r w:rsidR="007F0C3C">
        <w:rPr>
          <w:rFonts w:ascii="Arial" w:eastAsia="Times New Roman" w:hAnsi="Arial" w:cs="Times New Roman"/>
          <w:i/>
          <w:sz w:val="24"/>
          <w:szCs w:val="20"/>
          <w:lang w:eastAsia="es-ES"/>
        </w:rPr>
        <w:t>”</w:t>
      </w:r>
      <w:r w:rsidR="004A4A64">
        <w:rPr>
          <w:rFonts w:ascii="Arial" w:eastAsia="Times New Roman" w:hAnsi="Arial" w:cs="Times New Roman"/>
          <w:sz w:val="24"/>
          <w:szCs w:val="20"/>
          <w:lang w:eastAsia="es-ES"/>
        </w:rPr>
        <w:t>, para proceder al</w:t>
      </w:r>
      <w:r w:rsidR="007F0C3C">
        <w:rPr>
          <w:rFonts w:ascii="Arial" w:eastAsia="Times New Roman" w:hAnsi="Arial" w:cs="Times New Roman"/>
          <w:sz w:val="24"/>
          <w:szCs w:val="20"/>
          <w:lang w:eastAsia="es-ES"/>
        </w:rPr>
        <w:t xml:space="preserve"> rechazo de </w:t>
      </w:r>
      <w:r w:rsidR="004A4A64">
        <w:rPr>
          <w:rFonts w:ascii="Arial" w:eastAsia="Times New Roman" w:hAnsi="Arial" w:cs="Times New Roman"/>
          <w:sz w:val="24"/>
          <w:szCs w:val="20"/>
          <w:lang w:eastAsia="es-ES"/>
        </w:rPr>
        <w:t>una propuesta</w:t>
      </w:r>
      <w:r w:rsidR="0015710F">
        <w:rPr>
          <w:rFonts w:ascii="Arial" w:eastAsia="Times New Roman" w:hAnsi="Arial" w:cs="Times New Roman"/>
          <w:sz w:val="24"/>
          <w:szCs w:val="20"/>
          <w:lang w:eastAsia="es-ES"/>
        </w:rPr>
        <w:t>. El</w:t>
      </w:r>
      <w:r w:rsidR="00E13B01">
        <w:rPr>
          <w:rFonts w:ascii="Arial" w:eastAsia="Times New Roman" w:hAnsi="Arial" w:cs="Times New Roman"/>
          <w:sz w:val="24"/>
          <w:szCs w:val="20"/>
          <w:lang w:eastAsia="es-ES"/>
        </w:rPr>
        <w:t xml:space="preserve"> mismo </w:t>
      </w:r>
      <w:r w:rsidR="004A4A64">
        <w:rPr>
          <w:rFonts w:ascii="Arial" w:eastAsia="Times New Roman" w:hAnsi="Arial" w:cs="Times New Roman"/>
          <w:sz w:val="24"/>
          <w:szCs w:val="20"/>
          <w:lang w:eastAsia="es-ES"/>
        </w:rPr>
        <w:t>contraviene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 xml:space="preserve"> el A</w:t>
      </w:r>
      <w:r w:rsidR="007F0C3C">
        <w:rPr>
          <w:rFonts w:ascii="Arial" w:eastAsia="Times New Roman" w:hAnsi="Arial" w:cs="Times New Roman"/>
          <w:sz w:val="24"/>
          <w:szCs w:val="20"/>
          <w:lang w:eastAsia="es-ES"/>
        </w:rPr>
        <w:t>rtículo 48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 xml:space="preserve"> L</w:t>
      </w:r>
      <w:r w:rsidR="004A4A64">
        <w:rPr>
          <w:rFonts w:ascii="Arial" w:eastAsia="Times New Roman" w:hAnsi="Arial" w:cs="Times New Roman"/>
          <w:sz w:val="24"/>
          <w:szCs w:val="20"/>
          <w:lang w:eastAsia="es-ES"/>
        </w:rPr>
        <w:t>iteral B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>)</w:t>
      </w:r>
      <w:r w:rsidR="007F0C3C">
        <w:rPr>
          <w:rFonts w:ascii="Arial" w:eastAsia="Times New Roman" w:hAnsi="Arial" w:cs="Times New Roman"/>
          <w:sz w:val="24"/>
          <w:szCs w:val="20"/>
          <w:lang w:eastAsia="es-ES"/>
        </w:rPr>
        <w:t xml:space="preserve"> del </w:t>
      </w:r>
      <w:r w:rsidR="007F0C3C">
        <w:rPr>
          <w:rFonts w:ascii="Arial" w:eastAsia="Times New Roman" w:hAnsi="Arial" w:cs="Times New Roman"/>
          <w:sz w:val="24"/>
          <w:szCs w:val="20"/>
          <w:lang w:eastAsia="es-ES"/>
        </w:rPr>
        <w:lastRenderedPageBreak/>
        <w:t>TOCAF</w:t>
      </w:r>
      <w:r w:rsidR="004A4A64">
        <w:rPr>
          <w:rFonts w:ascii="Arial" w:eastAsia="Times New Roman" w:hAnsi="Arial" w:cs="Times New Roman"/>
          <w:sz w:val="24"/>
          <w:szCs w:val="20"/>
          <w:lang w:eastAsia="es-ES"/>
        </w:rPr>
        <w:t xml:space="preserve"> en tanto el Pliego de Condiciones Particulares debe requerir, expresa y claramente, toda la información que considere necesaria para estudiar las propuestas y la Comisión Asesora de Adjudicaciones debe juzgar los antecedentes de los oferentes y los contenidos de las ofertas en base a los criterios objetivos, de confor</w:t>
      </w:r>
      <w:r w:rsidR="00E40085">
        <w:rPr>
          <w:rFonts w:ascii="Arial" w:eastAsia="Times New Roman" w:hAnsi="Arial" w:cs="Times New Roman"/>
          <w:sz w:val="24"/>
          <w:szCs w:val="20"/>
          <w:lang w:eastAsia="es-ES"/>
        </w:rPr>
        <w:t>midad con lo establecido en el Artículo 65 L</w:t>
      </w:r>
      <w:r w:rsidR="00E13B01">
        <w:rPr>
          <w:rFonts w:ascii="Arial" w:eastAsia="Times New Roman" w:hAnsi="Arial" w:cs="Times New Roman"/>
          <w:sz w:val="24"/>
          <w:szCs w:val="20"/>
          <w:lang w:eastAsia="es-ES"/>
        </w:rPr>
        <w:t>iteral C) del TOCAF. Dichas disposiciones fueron contravenidas en tanto se previó la posibilidad de rechazo de una propuesta en base a un concepto impreciso como es la</w:t>
      </w:r>
      <w:r w:rsidR="004A4A64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4A4A64">
        <w:rPr>
          <w:rFonts w:ascii="Arial" w:eastAsia="Times New Roman" w:hAnsi="Arial" w:cs="Times New Roman"/>
          <w:i/>
          <w:sz w:val="24"/>
          <w:szCs w:val="20"/>
          <w:lang w:eastAsia="es-ES"/>
        </w:rPr>
        <w:t>“falta de información suficiente”</w:t>
      </w:r>
      <w:r w:rsidR="004A4A64">
        <w:rPr>
          <w:rFonts w:ascii="Arial" w:eastAsia="Times New Roman" w:hAnsi="Arial" w:cs="Times New Roman"/>
          <w:sz w:val="24"/>
          <w:szCs w:val="20"/>
          <w:lang w:eastAsia="es-ES"/>
        </w:rPr>
        <w:t>;</w:t>
      </w:r>
    </w:p>
    <w:p w:rsidR="007B4265" w:rsidRDefault="004A01A1" w:rsidP="00E40085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3) </w:t>
      </w:r>
      <w:r w:rsidR="004D6696" w:rsidRPr="008A109E">
        <w:rPr>
          <w:rFonts w:ascii="Arial" w:eastAsia="Times New Roman" w:hAnsi="Arial" w:cs="Times New Roman"/>
          <w:sz w:val="24"/>
          <w:szCs w:val="20"/>
          <w:lang w:eastAsia="es-ES"/>
        </w:rPr>
        <w:t xml:space="preserve">que en 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>cuanto</w:t>
      </w:r>
      <w:r w:rsidR="004D6696" w:rsidRPr="008A109E">
        <w:rPr>
          <w:rFonts w:ascii="Arial" w:eastAsia="Times New Roman" w:hAnsi="Arial" w:cs="Times New Roman"/>
          <w:sz w:val="24"/>
          <w:szCs w:val="20"/>
          <w:lang w:eastAsia="es-ES"/>
        </w:rPr>
        <w:t xml:space="preserve"> al requisito de inscripción de los oferentes en el RUPE y a la argumentación sostenida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 xml:space="preserve"> por la Administración</w:t>
      </w:r>
      <w:r w:rsidR="004D6696" w:rsidRPr="008A109E">
        <w:rPr>
          <w:rFonts w:ascii="Arial" w:eastAsia="Times New Roman" w:hAnsi="Arial" w:cs="Times New Roman"/>
          <w:sz w:val="24"/>
          <w:szCs w:val="20"/>
          <w:lang w:eastAsia="es-ES"/>
        </w:rPr>
        <w:t xml:space="preserve"> de que a la fecha de la apertura 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>de las ofertas ésta</w:t>
      </w:r>
      <w:r w:rsidR="00655D41">
        <w:rPr>
          <w:rFonts w:ascii="Arial" w:eastAsia="Times New Roman" w:hAnsi="Arial" w:cs="Times New Roman"/>
          <w:sz w:val="24"/>
          <w:szCs w:val="20"/>
          <w:lang w:eastAsia="es-ES"/>
        </w:rPr>
        <w:t xml:space="preserve"> no era un O</w:t>
      </w:r>
      <w:r w:rsidR="004D6696" w:rsidRPr="008A109E">
        <w:rPr>
          <w:rFonts w:ascii="Arial" w:eastAsia="Times New Roman" w:hAnsi="Arial" w:cs="Times New Roman"/>
          <w:sz w:val="24"/>
          <w:szCs w:val="20"/>
          <w:lang w:eastAsia="es-ES"/>
        </w:rPr>
        <w:t xml:space="preserve">rganismo incorporado al 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>mencionado</w:t>
      </w:r>
      <w:r w:rsidR="006D77D1">
        <w:rPr>
          <w:rFonts w:ascii="Arial" w:eastAsia="Times New Roman" w:hAnsi="Arial" w:cs="Times New Roman"/>
          <w:sz w:val="24"/>
          <w:szCs w:val="20"/>
          <w:lang w:eastAsia="es-ES"/>
        </w:rPr>
        <w:t xml:space="preserve"> R</w:t>
      </w:r>
      <w:r w:rsidR="004D6696" w:rsidRPr="008A109E">
        <w:rPr>
          <w:rFonts w:ascii="Arial" w:eastAsia="Times New Roman" w:hAnsi="Arial" w:cs="Times New Roman"/>
          <w:sz w:val="24"/>
          <w:szCs w:val="20"/>
          <w:lang w:eastAsia="es-ES"/>
        </w:rPr>
        <w:t xml:space="preserve">egistro, debe señalarse que, de conformidad con lo dispuesto </w:t>
      </w:r>
      <w:r w:rsidR="00655D41">
        <w:rPr>
          <w:rFonts w:ascii="Arial" w:eastAsia="Times New Roman" w:hAnsi="Arial" w:cs="Times New Roman"/>
          <w:sz w:val="24"/>
          <w:szCs w:val="20"/>
          <w:lang w:eastAsia="es-ES"/>
        </w:rPr>
        <w:t>en el A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>rtículo 46 del TOCAF, la falta de tal</w:t>
      </w:r>
      <w:r w:rsidR="004D6696" w:rsidRPr="008A109E">
        <w:rPr>
          <w:rFonts w:ascii="Arial" w:eastAsia="Times New Roman" w:hAnsi="Arial" w:cs="Times New Roman"/>
          <w:sz w:val="24"/>
          <w:szCs w:val="20"/>
          <w:lang w:eastAsia="es-ES"/>
        </w:rPr>
        <w:t xml:space="preserve"> requerimiento afecta 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 xml:space="preserve">a </w:t>
      </w:r>
      <w:r w:rsidR="004D6696" w:rsidRPr="008A109E">
        <w:rPr>
          <w:rFonts w:ascii="Arial" w:eastAsia="Times New Roman" w:hAnsi="Arial" w:cs="Times New Roman"/>
          <w:sz w:val="24"/>
          <w:szCs w:val="20"/>
          <w:lang w:eastAsia="es-ES"/>
        </w:rPr>
        <w:t>la capacidad para contratar con el Estado, por lo que no es procede</w:t>
      </w:r>
      <w:r w:rsidR="006D77D1">
        <w:rPr>
          <w:rFonts w:ascii="Arial" w:eastAsia="Times New Roman" w:hAnsi="Arial" w:cs="Times New Roman"/>
          <w:sz w:val="24"/>
          <w:szCs w:val="20"/>
          <w:lang w:eastAsia="es-ES"/>
        </w:rPr>
        <w:t>nte el otorgamiento de un plazo complementario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 xml:space="preserve"> para su cumplimiento, independientemente de la fecha de </w:t>
      </w:r>
      <w:r w:rsidR="004D6696" w:rsidRPr="008A109E">
        <w:rPr>
          <w:rFonts w:ascii="Arial" w:eastAsia="Times New Roman" w:hAnsi="Arial" w:cs="Times New Roman"/>
          <w:sz w:val="24"/>
          <w:szCs w:val="20"/>
          <w:lang w:eastAsia="es-ES"/>
        </w:rPr>
        <w:t>incorporación del Organismo</w:t>
      </w:r>
      <w:r w:rsidR="007B4265">
        <w:rPr>
          <w:rFonts w:ascii="Arial" w:eastAsia="Times New Roman" w:hAnsi="Arial" w:cs="Times New Roman"/>
          <w:sz w:val="24"/>
          <w:szCs w:val="20"/>
          <w:lang w:eastAsia="es-ES"/>
        </w:rPr>
        <w:t xml:space="preserve"> al sistema, 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 xml:space="preserve">extremo </w:t>
      </w:r>
      <w:r w:rsidR="007B4265">
        <w:rPr>
          <w:rFonts w:ascii="Arial" w:eastAsia="Times New Roman" w:hAnsi="Arial" w:cs="Times New Roman"/>
          <w:sz w:val="24"/>
          <w:szCs w:val="20"/>
          <w:lang w:eastAsia="es-ES"/>
        </w:rPr>
        <w:t xml:space="preserve">que </w:t>
      </w:r>
      <w:r w:rsidR="00774E77">
        <w:rPr>
          <w:rFonts w:ascii="Arial" w:eastAsia="Times New Roman" w:hAnsi="Arial" w:cs="Times New Roman"/>
          <w:sz w:val="24"/>
          <w:szCs w:val="20"/>
          <w:lang w:eastAsia="es-ES"/>
        </w:rPr>
        <w:t xml:space="preserve">ya </w:t>
      </w:r>
      <w:r w:rsidR="004D6696">
        <w:rPr>
          <w:rFonts w:ascii="Arial" w:eastAsia="Times New Roman" w:hAnsi="Arial" w:cs="Times New Roman"/>
          <w:sz w:val="24"/>
          <w:szCs w:val="20"/>
          <w:lang w:eastAsia="es-ES"/>
        </w:rPr>
        <w:t xml:space="preserve">ha </w:t>
      </w:r>
      <w:r w:rsidR="00B57AD7">
        <w:rPr>
          <w:rFonts w:ascii="Arial" w:eastAsia="Times New Roman" w:hAnsi="Arial" w:cs="Times New Roman"/>
          <w:sz w:val="24"/>
          <w:szCs w:val="20"/>
          <w:lang w:eastAsia="es-ES"/>
        </w:rPr>
        <w:t xml:space="preserve">sido objeto de observación </w:t>
      </w:r>
      <w:r w:rsidR="007B4265">
        <w:rPr>
          <w:rFonts w:ascii="Arial" w:eastAsia="Times New Roman" w:hAnsi="Arial" w:cs="Times New Roman"/>
          <w:sz w:val="24"/>
          <w:szCs w:val="20"/>
          <w:lang w:eastAsia="es-ES"/>
        </w:rPr>
        <w:t>por este Tribunal</w:t>
      </w:r>
      <w:r w:rsidR="00B57AD7">
        <w:rPr>
          <w:rFonts w:ascii="Arial" w:eastAsia="Times New Roman" w:hAnsi="Arial" w:cs="Times New Roman"/>
          <w:sz w:val="24"/>
          <w:szCs w:val="20"/>
          <w:lang w:eastAsia="es-ES"/>
        </w:rPr>
        <w:t xml:space="preserve"> en otros procedimientos</w:t>
      </w:r>
      <w:r w:rsidR="007B4265">
        <w:rPr>
          <w:rFonts w:ascii="Arial" w:eastAsia="Times New Roman" w:hAnsi="Arial" w:cs="Times New Roman"/>
          <w:sz w:val="24"/>
          <w:szCs w:val="20"/>
          <w:lang w:eastAsia="es-ES"/>
        </w:rPr>
        <w:t>;</w:t>
      </w:r>
    </w:p>
    <w:p w:rsidR="004D6696" w:rsidRDefault="004D6696" w:rsidP="00655D4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2906FE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 xml:space="preserve">ATENTO: </w:t>
      </w:r>
      <w:r w:rsidRPr="002906FE">
        <w:rPr>
          <w:rFonts w:ascii="Arial" w:eastAsia="Times New Roman" w:hAnsi="Arial" w:cs="Arial"/>
          <w:sz w:val="24"/>
          <w:szCs w:val="20"/>
          <w:lang w:val="es-ES" w:eastAsia="es-ES"/>
        </w:rPr>
        <w:t>a lo exp</w:t>
      </w:r>
      <w:r w:rsidR="00655D41">
        <w:rPr>
          <w:rFonts w:ascii="Arial" w:eastAsia="Times New Roman" w:hAnsi="Arial" w:cs="Arial"/>
          <w:sz w:val="24"/>
          <w:szCs w:val="20"/>
          <w:lang w:val="es-ES" w:eastAsia="es-ES"/>
        </w:rPr>
        <w:t>uesto y a lo dispuesto por el  Artículo 211 Li</w:t>
      </w:r>
      <w:r w:rsidRPr="002906FE">
        <w:rPr>
          <w:rFonts w:ascii="Arial" w:eastAsia="Times New Roman" w:hAnsi="Arial" w:cs="Arial"/>
          <w:sz w:val="24"/>
          <w:szCs w:val="20"/>
          <w:lang w:val="es-ES" w:eastAsia="es-ES"/>
        </w:rPr>
        <w:t>teral B) de la Constitución de la República;</w:t>
      </w:r>
    </w:p>
    <w:p w:rsidR="004D6696" w:rsidRPr="002906FE" w:rsidRDefault="004D6696" w:rsidP="004D669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2906FE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4D6696" w:rsidRPr="00745D6B" w:rsidRDefault="004D6696" w:rsidP="00655D4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745D6B">
        <w:rPr>
          <w:rFonts w:ascii="Arial" w:eastAsia="Times New Roman" w:hAnsi="Arial" w:cs="Arial"/>
          <w:b/>
          <w:sz w:val="24"/>
          <w:szCs w:val="20"/>
          <w:lang w:val="es-ES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Pr="00745D6B">
        <w:rPr>
          <w:rFonts w:ascii="Arial" w:eastAsia="Times New Roman" w:hAnsi="Arial" w:cs="Arial"/>
          <w:sz w:val="24"/>
          <w:szCs w:val="20"/>
          <w:lang w:val="es-ES" w:eastAsia="es-ES"/>
        </w:rPr>
        <w:t xml:space="preserve">Mantener la observación formulada </w:t>
      </w:r>
      <w:r w:rsidR="00BB1CCD">
        <w:rPr>
          <w:rFonts w:ascii="Arial" w:eastAsia="Times New Roman" w:hAnsi="Arial" w:cs="Arial"/>
          <w:sz w:val="24"/>
          <w:szCs w:val="20"/>
          <w:lang w:val="es-ES" w:eastAsia="es-ES"/>
        </w:rPr>
        <w:t>en la</w:t>
      </w:r>
      <w:r w:rsidRPr="00745D6B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="007F0C3C">
        <w:rPr>
          <w:rFonts w:ascii="Arial" w:eastAsia="Times New Roman" w:hAnsi="Arial" w:cs="Arial"/>
          <w:sz w:val="24"/>
          <w:szCs w:val="20"/>
          <w:lang w:val="es-ES" w:eastAsia="es-ES"/>
        </w:rPr>
        <w:t xml:space="preserve">Resolución N° </w:t>
      </w:r>
      <w:r w:rsidR="00655D41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="007F0C3C">
        <w:rPr>
          <w:rFonts w:ascii="Arial" w:eastAsia="Times New Roman" w:hAnsi="Arial" w:cs="Arial"/>
          <w:sz w:val="24"/>
          <w:szCs w:val="20"/>
          <w:lang w:val="es-ES" w:eastAsia="es-ES"/>
        </w:rPr>
        <w:t xml:space="preserve">950/16, </w:t>
      </w:r>
      <w:r w:rsidR="00BB1CCD">
        <w:rPr>
          <w:rFonts w:ascii="Arial" w:eastAsia="Times New Roman" w:hAnsi="Arial" w:cs="Arial"/>
          <w:sz w:val="24"/>
          <w:szCs w:val="20"/>
          <w:lang w:val="es-ES" w:eastAsia="es-ES"/>
        </w:rPr>
        <w:t>adoptada</w:t>
      </w:r>
      <w:r w:rsidR="007F0C3C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en </w:t>
      </w:r>
      <w:r w:rsidRPr="00745D6B">
        <w:rPr>
          <w:rFonts w:ascii="Arial" w:eastAsia="Times New Roman" w:hAnsi="Arial" w:cs="Arial"/>
          <w:sz w:val="24"/>
          <w:szCs w:val="20"/>
          <w:lang w:val="es-ES" w:eastAsia="es-ES"/>
        </w:rPr>
        <w:t xml:space="preserve">Sesión de fecha </w:t>
      </w:r>
      <w:r w:rsidR="007F0C3C">
        <w:rPr>
          <w:rFonts w:ascii="Arial" w:eastAsia="Times New Roman" w:hAnsi="Arial" w:cs="Arial"/>
          <w:sz w:val="24"/>
          <w:szCs w:val="20"/>
          <w:lang w:val="es-ES" w:eastAsia="es-ES"/>
        </w:rPr>
        <w:t>30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.0</w:t>
      </w:r>
      <w:r w:rsidR="007F0C3C">
        <w:rPr>
          <w:rFonts w:ascii="Arial" w:eastAsia="Times New Roman" w:hAnsi="Arial" w:cs="Arial"/>
          <w:sz w:val="24"/>
          <w:szCs w:val="20"/>
          <w:lang w:val="es-ES" w:eastAsia="es-ES"/>
        </w:rPr>
        <w:t>3</w:t>
      </w:r>
      <w:r w:rsidR="00655D41">
        <w:rPr>
          <w:rFonts w:ascii="Arial" w:eastAsia="Times New Roman" w:hAnsi="Arial" w:cs="Arial"/>
          <w:sz w:val="24"/>
          <w:szCs w:val="20"/>
          <w:lang w:val="es-ES" w:eastAsia="es-ES"/>
        </w:rPr>
        <w:t>.16;</w:t>
      </w:r>
    </w:p>
    <w:p w:rsidR="004D6696" w:rsidRPr="00745D6B" w:rsidRDefault="004D6696" w:rsidP="004D6696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745D6B">
        <w:rPr>
          <w:rFonts w:ascii="Arial" w:eastAsia="Times New Roman" w:hAnsi="Arial" w:cs="Arial"/>
          <w:b/>
          <w:sz w:val="24"/>
          <w:szCs w:val="20"/>
          <w:lang w:val="es-ES" w:eastAsia="es-ES"/>
        </w:rPr>
        <w:t>2)</w:t>
      </w:r>
      <w:r w:rsidR="00655D41" w:rsidRPr="00655D41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="00655D41" w:rsidRPr="00745D6B">
        <w:rPr>
          <w:rFonts w:ascii="Arial" w:eastAsia="Times New Roman" w:hAnsi="Arial" w:cs="Arial"/>
          <w:sz w:val="24"/>
          <w:szCs w:val="20"/>
          <w:lang w:val="es-ES" w:eastAsia="es-ES"/>
        </w:rPr>
        <w:t>Comuni</w:t>
      </w:r>
      <w:r w:rsidR="00655D41">
        <w:rPr>
          <w:rFonts w:ascii="Arial" w:eastAsia="Times New Roman" w:hAnsi="Arial" w:cs="Arial"/>
          <w:sz w:val="24"/>
          <w:szCs w:val="20"/>
          <w:lang w:val="es-ES" w:eastAsia="es-ES"/>
        </w:rPr>
        <w:t>car a la Administración actuante;</w:t>
      </w:r>
    </w:p>
    <w:p w:rsidR="00655D41" w:rsidRDefault="004D6696" w:rsidP="00655D41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745D6B">
        <w:rPr>
          <w:rFonts w:ascii="Arial" w:eastAsia="Times New Roman" w:hAnsi="Arial" w:cs="Arial"/>
          <w:b/>
          <w:sz w:val="24"/>
          <w:szCs w:val="20"/>
          <w:lang w:val="es-ES" w:eastAsia="es-ES"/>
        </w:rPr>
        <w:t>3)</w:t>
      </w:r>
      <w:r w:rsidR="00655D41" w:rsidRPr="00655D41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="00655D41" w:rsidRPr="00745D6B">
        <w:rPr>
          <w:rFonts w:ascii="Arial" w:eastAsia="Times New Roman" w:hAnsi="Arial" w:cs="Arial"/>
          <w:sz w:val="24"/>
          <w:szCs w:val="20"/>
          <w:lang w:val="es-ES" w:eastAsia="es-ES"/>
        </w:rPr>
        <w:t>Dar cuenta a la Asamblea General</w:t>
      </w:r>
      <w:r w:rsidR="00655D41">
        <w:rPr>
          <w:rFonts w:ascii="Arial" w:eastAsia="Times New Roman" w:hAnsi="Arial" w:cs="Arial"/>
          <w:sz w:val="24"/>
          <w:szCs w:val="20"/>
          <w:lang w:val="es-ES" w:eastAsia="es-ES"/>
        </w:rPr>
        <w:t>.</w:t>
      </w:r>
    </w:p>
    <w:p w:rsidR="00655D41" w:rsidRDefault="00655D41" w:rsidP="00655D41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4D6696" w:rsidRDefault="00655D41" w:rsidP="00655D41">
      <w:pPr>
        <w:spacing w:after="0" w:line="360" w:lineRule="auto"/>
        <w:ind w:hanging="567"/>
        <w:jc w:val="both"/>
      </w:pPr>
      <w:proofErr w:type="gramStart"/>
      <w:r>
        <w:rPr>
          <w:rFonts w:ascii="Arial" w:eastAsia="Times New Roman" w:hAnsi="Arial" w:cs="Arial"/>
          <w:sz w:val="24"/>
          <w:szCs w:val="20"/>
          <w:lang w:val="es-ES" w:eastAsia="es-ES"/>
        </w:rPr>
        <w:t>dc</w:t>
      </w:r>
      <w:bookmarkStart w:id="0" w:name="_GoBack"/>
      <w:bookmarkEnd w:id="0"/>
      <w:proofErr w:type="gramEnd"/>
      <w:r w:rsidR="004D6696">
        <w:rPr>
          <w:rFonts w:ascii="Arial" w:eastAsia="Times New Roman" w:hAnsi="Arial" w:cs="Times New Roman"/>
          <w:bCs/>
          <w:i/>
          <w:iCs/>
          <w:sz w:val="20"/>
          <w:szCs w:val="20"/>
          <w:lang w:val="es-MX" w:eastAsia="es-ES"/>
        </w:rPr>
        <w:t xml:space="preserve"> </w:t>
      </w:r>
    </w:p>
    <w:p w:rsidR="003602D2" w:rsidRDefault="003602D2"/>
    <w:sectPr w:rsidR="003602D2" w:rsidSect="00655D41">
      <w:footerReference w:type="default" r:id="rId8"/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85" w:rsidRDefault="00E40085" w:rsidP="00E40085">
      <w:pPr>
        <w:spacing w:after="0" w:line="240" w:lineRule="auto"/>
      </w:pPr>
      <w:r>
        <w:separator/>
      </w:r>
    </w:p>
  </w:endnote>
  <w:endnote w:type="continuationSeparator" w:id="0">
    <w:p w:rsidR="00E40085" w:rsidRDefault="00E40085" w:rsidP="00E4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298345"/>
      <w:docPartObj>
        <w:docPartGallery w:val="Page Numbers (Bottom of Page)"/>
        <w:docPartUnique/>
      </w:docPartObj>
    </w:sdtPr>
    <w:sdtContent>
      <w:p w:rsidR="00E40085" w:rsidRDefault="00E4008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D41" w:rsidRPr="00655D41">
          <w:rPr>
            <w:noProof/>
            <w:lang w:val="es-ES"/>
          </w:rPr>
          <w:t>4</w:t>
        </w:r>
        <w:r>
          <w:fldChar w:fldCharType="end"/>
        </w:r>
      </w:p>
    </w:sdtContent>
  </w:sdt>
  <w:p w:rsidR="00E40085" w:rsidRDefault="00E400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85" w:rsidRDefault="00E40085" w:rsidP="00E40085">
      <w:pPr>
        <w:spacing w:after="0" w:line="240" w:lineRule="auto"/>
      </w:pPr>
      <w:r>
        <w:separator/>
      </w:r>
    </w:p>
  </w:footnote>
  <w:footnote w:type="continuationSeparator" w:id="0">
    <w:p w:rsidR="00E40085" w:rsidRDefault="00E40085" w:rsidP="00E40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96"/>
    <w:rsid w:val="0005507B"/>
    <w:rsid w:val="00130655"/>
    <w:rsid w:val="0015710F"/>
    <w:rsid w:val="001D15BA"/>
    <w:rsid w:val="00242164"/>
    <w:rsid w:val="003602D2"/>
    <w:rsid w:val="003F2026"/>
    <w:rsid w:val="00414727"/>
    <w:rsid w:val="004546E6"/>
    <w:rsid w:val="004A01A1"/>
    <w:rsid w:val="004A4A64"/>
    <w:rsid w:val="004D6696"/>
    <w:rsid w:val="00655D41"/>
    <w:rsid w:val="006D77D1"/>
    <w:rsid w:val="006F0B84"/>
    <w:rsid w:val="00774E77"/>
    <w:rsid w:val="007B4265"/>
    <w:rsid w:val="007F0C3C"/>
    <w:rsid w:val="007F21C8"/>
    <w:rsid w:val="00813190"/>
    <w:rsid w:val="008212B8"/>
    <w:rsid w:val="00856C8D"/>
    <w:rsid w:val="00A24EE9"/>
    <w:rsid w:val="00B57AD7"/>
    <w:rsid w:val="00BB1CCD"/>
    <w:rsid w:val="00D125A9"/>
    <w:rsid w:val="00DC36FE"/>
    <w:rsid w:val="00E13B01"/>
    <w:rsid w:val="00E40085"/>
    <w:rsid w:val="00F5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6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0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85"/>
  </w:style>
  <w:style w:type="paragraph" w:styleId="Piedepgina">
    <w:name w:val="footer"/>
    <w:basedOn w:val="Normal"/>
    <w:link w:val="PiedepginaCar"/>
    <w:uiPriority w:val="99"/>
    <w:unhideWhenUsed/>
    <w:rsid w:val="00E400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6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0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85"/>
  </w:style>
  <w:style w:type="paragraph" w:styleId="Piedepgina">
    <w:name w:val="footer"/>
    <w:basedOn w:val="Normal"/>
    <w:link w:val="PiedepginaCar"/>
    <w:uiPriority w:val="99"/>
    <w:unhideWhenUsed/>
    <w:rsid w:val="00E400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A577-E9EE-41EF-8F03-5DA673DC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1048</Words>
  <Characters>5770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2016-07-21T18:33:00Z</cp:lastPrinted>
  <dcterms:created xsi:type="dcterms:W3CDTF">2016-07-21T18:35:00Z</dcterms:created>
  <dcterms:modified xsi:type="dcterms:W3CDTF">2016-07-21T18:35:00Z</dcterms:modified>
</cp:coreProperties>
</file>