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9F" w:rsidRPr="0093300D" w:rsidRDefault="00A135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93300D">
        <w:rPr>
          <w:rFonts w:ascii="Arial" w:hAnsi="Arial" w:cs="Arial"/>
          <w:b/>
          <w:sz w:val="28"/>
          <w:szCs w:val="28"/>
          <w:lang w:val="es-ES_tradnl"/>
        </w:rPr>
        <w:t>RES. 2123/16</w:t>
      </w:r>
    </w:p>
    <w:p w:rsidR="00A1359F" w:rsidRPr="0093300D" w:rsidRDefault="00A135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A1359F" w:rsidRPr="0093300D" w:rsidRDefault="00A1359F" w:rsidP="00A135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300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359F" w:rsidRPr="0093300D" w:rsidRDefault="00A1359F" w:rsidP="00A1359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359F" w:rsidRPr="0093300D" w:rsidRDefault="00A1359F" w:rsidP="00A135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300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359F" w:rsidRPr="0093300D" w:rsidRDefault="00A1359F" w:rsidP="00A1359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359F" w:rsidRPr="0093300D" w:rsidRDefault="00A1359F" w:rsidP="00A135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300D">
        <w:rPr>
          <w:rFonts w:ascii="Arial" w:hAnsi="Arial" w:cs="Arial"/>
          <w:b/>
          <w:sz w:val="24"/>
          <w:szCs w:val="24"/>
          <w:lang w:val="es-ES_tradnl"/>
        </w:rPr>
        <w:t>EN SESION DE FECHA 15 DE JUNIO DE 2016</w:t>
      </w:r>
    </w:p>
    <w:p w:rsidR="00A1359F" w:rsidRPr="0093300D" w:rsidRDefault="00A1359F" w:rsidP="00A135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359F" w:rsidRPr="0093300D" w:rsidRDefault="00A1359F" w:rsidP="00A1359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93300D">
        <w:rPr>
          <w:rFonts w:ascii="Arial" w:hAnsi="Arial" w:cs="Arial"/>
          <w:b/>
          <w:sz w:val="24"/>
          <w:szCs w:val="24"/>
          <w:lang w:val="es-AR"/>
        </w:rPr>
        <w:t xml:space="preserve">(E. E. Nº 2016-17-1-0003509, </w:t>
      </w:r>
      <w:proofErr w:type="spellStart"/>
      <w:r w:rsidRPr="0093300D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93300D">
        <w:rPr>
          <w:rFonts w:ascii="Arial" w:hAnsi="Arial" w:cs="Arial"/>
          <w:b/>
          <w:sz w:val="24"/>
          <w:szCs w:val="24"/>
          <w:lang w:val="es-AR"/>
        </w:rPr>
        <w:t>. N° 2642/16)</w:t>
      </w:r>
    </w:p>
    <w:p w:rsidR="00A1359F" w:rsidRPr="0093300D" w:rsidRDefault="00A1359F" w:rsidP="00A1359F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</w:p>
    <w:p w:rsidR="002C582A" w:rsidRPr="0093300D" w:rsidRDefault="002C582A" w:rsidP="00A1359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VISTO:</w:t>
      </w:r>
      <w:r w:rsidRPr="0093300D">
        <w:rPr>
          <w:rFonts w:ascii="Arial" w:hAnsi="Arial" w:cs="Arial"/>
          <w:sz w:val="24"/>
          <w:szCs w:val="24"/>
        </w:rPr>
        <w:t xml:space="preserve"> las actuaciones remitidas por la Intendencia de Maldonado, relativas al gasto emergente del programa “</w:t>
      </w:r>
      <w:r w:rsidR="00B64425" w:rsidRPr="0093300D">
        <w:rPr>
          <w:rFonts w:ascii="Arial" w:hAnsi="Arial" w:cs="Arial"/>
          <w:sz w:val="24"/>
          <w:szCs w:val="24"/>
        </w:rPr>
        <w:t>Beca estudiantil de transporte”</w:t>
      </w:r>
      <w:r w:rsidR="00DC2977" w:rsidRPr="0093300D">
        <w:rPr>
          <w:rFonts w:ascii="Arial" w:hAnsi="Arial" w:cs="Arial"/>
          <w:sz w:val="24"/>
          <w:szCs w:val="24"/>
        </w:rPr>
        <w:t xml:space="preserve"> con el objetivo de contribuir a asegurar la continuidad de los jóvenes en el sistema educativo, mediante el pago de boletos a las empresas de transporte del Departamento</w:t>
      </w:r>
      <w:r w:rsidRPr="0093300D">
        <w:rPr>
          <w:rFonts w:ascii="Arial" w:hAnsi="Arial" w:cs="Arial"/>
          <w:sz w:val="24"/>
          <w:szCs w:val="24"/>
        </w:rPr>
        <w:t>;</w:t>
      </w:r>
    </w:p>
    <w:p w:rsidR="002C582A" w:rsidRPr="0093300D" w:rsidRDefault="002C582A" w:rsidP="00A1359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RESULTANDO:</w:t>
      </w:r>
      <w:r w:rsidR="00A1359F" w:rsidRPr="0093300D">
        <w:rPr>
          <w:rFonts w:ascii="Arial" w:hAnsi="Arial" w:cs="Arial"/>
          <w:b/>
          <w:sz w:val="24"/>
          <w:szCs w:val="24"/>
        </w:rPr>
        <w:t xml:space="preserve"> </w:t>
      </w:r>
      <w:r w:rsidRPr="0093300D">
        <w:rPr>
          <w:rFonts w:ascii="Arial" w:hAnsi="Arial" w:cs="Arial"/>
          <w:b/>
          <w:sz w:val="24"/>
          <w:szCs w:val="24"/>
        </w:rPr>
        <w:t xml:space="preserve">1) </w:t>
      </w:r>
      <w:r w:rsidRPr="0093300D">
        <w:rPr>
          <w:rFonts w:ascii="Arial" w:hAnsi="Arial" w:cs="Arial"/>
          <w:sz w:val="24"/>
          <w:szCs w:val="24"/>
        </w:rPr>
        <w:t>que p</w:t>
      </w:r>
      <w:r w:rsidR="00A1359F" w:rsidRPr="0093300D">
        <w:rPr>
          <w:rFonts w:ascii="Arial" w:hAnsi="Arial" w:cs="Arial"/>
          <w:sz w:val="24"/>
          <w:szCs w:val="24"/>
        </w:rPr>
        <w:t>or Resolución del Intendente Nº</w:t>
      </w:r>
      <w:r w:rsidRPr="0093300D">
        <w:rPr>
          <w:rFonts w:ascii="Arial" w:hAnsi="Arial" w:cs="Arial"/>
          <w:sz w:val="24"/>
          <w:szCs w:val="24"/>
        </w:rPr>
        <w:t>1919/2016 de fecha 10.03.16 (q</w:t>
      </w:r>
      <w:r w:rsidR="00A1359F" w:rsidRPr="0093300D">
        <w:rPr>
          <w:rFonts w:ascii="Arial" w:hAnsi="Arial" w:cs="Arial"/>
          <w:sz w:val="24"/>
          <w:szCs w:val="24"/>
        </w:rPr>
        <w:t>ue sustituye a la Resolución Nº</w:t>
      </w:r>
      <w:r w:rsidRPr="0093300D">
        <w:rPr>
          <w:rFonts w:ascii="Arial" w:hAnsi="Arial" w:cs="Arial"/>
          <w:sz w:val="24"/>
          <w:szCs w:val="24"/>
        </w:rPr>
        <w:t>1812/2016</w:t>
      </w:r>
      <w:r w:rsidR="00DC2977" w:rsidRPr="0093300D">
        <w:rPr>
          <w:rFonts w:ascii="Arial" w:hAnsi="Arial" w:cs="Arial"/>
          <w:sz w:val="24"/>
          <w:szCs w:val="24"/>
        </w:rPr>
        <w:t xml:space="preserve"> de fecha 07.03.16), se dispuso implementar un </w:t>
      </w:r>
      <w:r w:rsidR="004B38C3" w:rsidRPr="0093300D">
        <w:rPr>
          <w:rFonts w:ascii="Arial" w:hAnsi="Arial" w:cs="Arial"/>
          <w:sz w:val="24"/>
          <w:szCs w:val="24"/>
        </w:rPr>
        <w:t xml:space="preserve">nuevo </w:t>
      </w:r>
      <w:r w:rsidR="00DC2977" w:rsidRPr="0093300D">
        <w:rPr>
          <w:rFonts w:ascii="Arial" w:hAnsi="Arial" w:cs="Arial"/>
          <w:sz w:val="24"/>
          <w:szCs w:val="24"/>
        </w:rPr>
        <w:t xml:space="preserve">marco regulatorio que garantice un normal y eficiente funcionamiento del programa, que rige desde el año 2002, a efectos de contribuir a asegurar la continuidad de los jóvenes en el sistema educativo, por lo que </w:t>
      </w:r>
      <w:r w:rsidRPr="0093300D">
        <w:rPr>
          <w:rFonts w:ascii="Arial" w:hAnsi="Arial" w:cs="Arial"/>
          <w:sz w:val="24"/>
          <w:szCs w:val="24"/>
        </w:rPr>
        <w:t>otorga boleto gratuito</w:t>
      </w:r>
      <w:r w:rsidR="004B38C3" w:rsidRPr="0093300D">
        <w:rPr>
          <w:rFonts w:ascii="Arial" w:hAnsi="Arial" w:cs="Arial"/>
          <w:sz w:val="24"/>
          <w:szCs w:val="24"/>
        </w:rPr>
        <w:t xml:space="preserve"> a partir del 1º de enero de cada año, </w:t>
      </w:r>
      <w:r w:rsidRPr="0093300D">
        <w:rPr>
          <w:rFonts w:ascii="Arial" w:hAnsi="Arial" w:cs="Arial"/>
          <w:sz w:val="24"/>
          <w:szCs w:val="24"/>
        </w:rPr>
        <w:t>a:</w:t>
      </w:r>
    </w:p>
    <w:p w:rsidR="009D3B43" w:rsidRPr="0093300D" w:rsidRDefault="009D3B43" w:rsidP="00A1359F">
      <w:pPr>
        <w:pStyle w:val="Prrafodelista"/>
        <w:numPr>
          <w:ilvl w:val="1"/>
          <w:numId w:val="1"/>
        </w:numPr>
        <w:spacing w:after="0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>Estudiantes de Institutos públicos de hasta 21 años de edad que cursen Ciclo Básico y cuarto año de Enseñanza secundaria y Técnica, incluidos en los listados remitidos por los Centros de Enseñanza. Estudiantes mayores de 21 años de primer y segundo ciclo de enseñanza media incluidos en los listados remitidos por los Centros de Enseñanza, previa evaluación de pertinencia de la Unidad Asesora de Políticas Sociales (en adelante UAPS);</w:t>
      </w:r>
    </w:p>
    <w:p w:rsidR="009D3B43" w:rsidRPr="0093300D" w:rsidRDefault="00C61E8F" w:rsidP="00A1359F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 xml:space="preserve">Estudiantes de colegios privados de hasta 21 años de edad, que cursen Ciclo Básico y cuarto año de Bachillerato, que </w:t>
      </w:r>
      <w:r w:rsidRPr="0093300D">
        <w:rPr>
          <w:rFonts w:ascii="Arial" w:hAnsi="Arial" w:cs="Arial"/>
          <w:sz w:val="24"/>
          <w:szCs w:val="24"/>
        </w:rPr>
        <w:lastRenderedPageBreak/>
        <w:t>cuenten con una beca de estudios total (100%) en el instituto de enseñanza, lo que deberá ser acreditado mediante la presentación de documento oficial emitido por el mismo;</w:t>
      </w:r>
    </w:p>
    <w:p w:rsidR="00C61E8F" w:rsidRPr="0093300D" w:rsidRDefault="00C61E8F" w:rsidP="00A1359F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>Estudiantes de quinto y sexto año del Segundo Ciclo de Enseñanza Secundaria y Técnica Pública, y de Formación Profesional de hasta 21 años de edad, incluidos en listados remitidos por los Centros de Enseñanza;</w:t>
      </w:r>
    </w:p>
    <w:p w:rsidR="00C61E8F" w:rsidRPr="0093300D" w:rsidRDefault="00C61E8F" w:rsidP="00A1359F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 xml:space="preserve">Los estudiantes de tecnicaturas y terciarios de UTU, terciarios y/o universitarios de Instituciones Públicas con un mínimo de 3 años de </w:t>
      </w:r>
      <w:proofErr w:type="spellStart"/>
      <w:r w:rsidRPr="0093300D">
        <w:rPr>
          <w:rFonts w:ascii="Arial" w:hAnsi="Arial" w:cs="Arial"/>
          <w:sz w:val="24"/>
          <w:szCs w:val="24"/>
        </w:rPr>
        <w:t>currícula</w:t>
      </w:r>
      <w:proofErr w:type="spellEnd"/>
      <w:r w:rsidRPr="0093300D">
        <w:rPr>
          <w:rFonts w:ascii="Arial" w:hAnsi="Arial" w:cs="Arial"/>
          <w:sz w:val="24"/>
          <w:szCs w:val="24"/>
        </w:rPr>
        <w:t>, hasta los 35 años de edad, debiendo presentar constancia del centro educativo y previo informe técnico social;</w:t>
      </w:r>
    </w:p>
    <w:p w:rsidR="00321A76" w:rsidRPr="0093300D" w:rsidRDefault="00321A76" w:rsidP="00A1359F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>Estudiantes de cursos de capacitación de UTU cuya duración mínima sea cuatro meses, de hasta 35 años, debiendo presentar constancia del centro de estudios;</w:t>
      </w:r>
    </w:p>
    <w:p w:rsidR="00C61E8F" w:rsidRPr="0093300D" w:rsidRDefault="00CB71D1" w:rsidP="00A1359F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 xml:space="preserve">Estudiantes terciarios y/o universitarios de instituciones privadas con un mínimo de 3 años de </w:t>
      </w:r>
      <w:proofErr w:type="spellStart"/>
      <w:r w:rsidRPr="0093300D">
        <w:rPr>
          <w:rFonts w:ascii="Arial" w:hAnsi="Arial" w:cs="Arial"/>
          <w:sz w:val="24"/>
          <w:szCs w:val="24"/>
        </w:rPr>
        <w:t>currícula</w:t>
      </w:r>
      <w:proofErr w:type="spellEnd"/>
      <w:r w:rsidRPr="0093300D">
        <w:rPr>
          <w:rFonts w:ascii="Arial" w:hAnsi="Arial" w:cs="Arial"/>
          <w:sz w:val="24"/>
          <w:szCs w:val="24"/>
        </w:rPr>
        <w:t>, de hasta los 35 años de edad, que cuenten con una beca total (100%) en el centro de estudio respectivo, lo que deberá ser acreditado mediante la presentación de documento oficial emitido por el mismo. En caso de que la beca sea parcial (menor al 100%), se otorgará si el previo informe técnico social la aprobara;</w:t>
      </w:r>
    </w:p>
    <w:p w:rsidR="00CB71D1" w:rsidRPr="0093300D" w:rsidRDefault="002F2C46" w:rsidP="00A1359F">
      <w:pPr>
        <w:pStyle w:val="Prrafodelista"/>
        <w:numPr>
          <w:ilvl w:val="1"/>
          <w:numId w:val="1"/>
        </w:numPr>
        <w:spacing w:before="100" w:beforeAutospacing="1" w:after="100" w:afterAutospacing="1" w:line="360" w:lineRule="auto"/>
        <w:ind w:left="0" w:firstLine="2977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sz w:val="24"/>
          <w:szCs w:val="24"/>
        </w:rPr>
        <w:t xml:space="preserve">Estudiantes de programas socio educativos no formales: Centros Educativos Comunitarios, Áreas pedagógicas, CECAP – MEC, Instituto de Lenguas Extranjeras – CODICEN, Programa Nacional de Alfabetización, según listado del centro educativo. </w:t>
      </w:r>
      <w:r w:rsidR="003B1DEF" w:rsidRPr="0093300D">
        <w:rPr>
          <w:rFonts w:ascii="Arial" w:hAnsi="Arial" w:cs="Arial"/>
          <w:sz w:val="24"/>
          <w:szCs w:val="24"/>
        </w:rPr>
        <w:t>Con cada organismo de educación no formal se establecerá un mecanismo de seguimiento periódico del programa “Beca Estudiantil de Transporte”, entre sus estudiantes;</w:t>
      </w:r>
    </w:p>
    <w:p w:rsidR="00F75D36" w:rsidRPr="0093300D" w:rsidRDefault="003B1DEF" w:rsidP="00F75D36">
      <w:pPr>
        <w:tabs>
          <w:tab w:val="left" w:pos="1985"/>
        </w:tabs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 xml:space="preserve">2) </w:t>
      </w:r>
      <w:r w:rsidR="007454F3" w:rsidRPr="0093300D">
        <w:rPr>
          <w:rFonts w:ascii="Arial" w:hAnsi="Arial" w:cs="Arial"/>
          <w:sz w:val="24"/>
          <w:szCs w:val="24"/>
        </w:rPr>
        <w:t xml:space="preserve">que la Dirección de Tránsito y Transporte en actuación de fecha 13.05.16, indica que los montos a imputar discriminados por </w:t>
      </w:r>
      <w:r w:rsidR="007454F3" w:rsidRPr="0093300D">
        <w:rPr>
          <w:rFonts w:ascii="Arial" w:hAnsi="Arial" w:cs="Arial"/>
          <w:sz w:val="24"/>
          <w:szCs w:val="24"/>
        </w:rPr>
        <w:lastRenderedPageBreak/>
        <w:t>empresas ascienden a: $</w:t>
      </w:r>
      <w:r w:rsidR="00A1359F" w:rsidRPr="0093300D">
        <w:rPr>
          <w:rFonts w:ascii="Arial" w:hAnsi="Arial" w:cs="Arial"/>
          <w:sz w:val="24"/>
          <w:szCs w:val="24"/>
        </w:rPr>
        <w:t xml:space="preserve"> 20:</w:t>
      </w:r>
      <w:r w:rsidR="007454F3" w:rsidRPr="0093300D">
        <w:rPr>
          <w:rFonts w:ascii="Arial" w:hAnsi="Arial" w:cs="Arial"/>
          <w:sz w:val="24"/>
          <w:szCs w:val="24"/>
        </w:rPr>
        <w:t xml:space="preserve">298.504 </w:t>
      </w:r>
      <w:r w:rsidR="004B38C3" w:rsidRPr="0093300D">
        <w:rPr>
          <w:rFonts w:ascii="Arial" w:hAnsi="Arial" w:cs="Arial"/>
          <w:sz w:val="24"/>
          <w:szCs w:val="24"/>
        </w:rPr>
        <w:t>CODESA, $7</w:t>
      </w:r>
      <w:r w:rsidR="00A1359F" w:rsidRPr="0093300D">
        <w:rPr>
          <w:rFonts w:ascii="Arial" w:hAnsi="Arial" w:cs="Arial"/>
          <w:sz w:val="24"/>
          <w:szCs w:val="24"/>
        </w:rPr>
        <w:t>:</w:t>
      </w:r>
      <w:r w:rsidR="004B38C3" w:rsidRPr="0093300D">
        <w:rPr>
          <w:rFonts w:ascii="Arial" w:hAnsi="Arial" w:cs="Arial"/>
          <w:sz w:val="24"/>
          <w:szCs w:val="24"/>
        </w:rPr>
        <w:t>650.000 MALDONADO TURISMO, $</w:t>
      </w:r>
      <w:r w:rsidR="00A1359F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3</w:t>
      </w:r>
      <w:r w:rsidR="00A1359F" w:rsidRPr="0093300D">
        <w:rPr>
          <w:rFonts w:ascii="Arial" w:hAnsi="Arial" w:cs="Arial"/>
          <w:sz w:val="24"/>
          <w:szCs w:val="24"/>
        </w:rPr>
        <w:t>:</w:t>
      </w:r>
      <w:r w:rsidR="004B38C3" w:rsidRPr="0093300D">
        <w:rPr>
          <w:rFonts w:ascii="Arial" w:hAnsi="Arial" w:cs="Arial"/>
          <w:sz w:val="24"/>
          <w:szCs w:val="24"/>
        </w:rPr>
        <w:t>980.868 MICRO, $</w:t>
      </w:r>
      <w:r w:rsidR="00A1359F" w:rsidRPr="0093300D">
        <w:rPr>
          <w:rFonts w:ascii="Arial" w:hAnsi="Arial" w:cs="Arial"/>
          <w:sz w:val="24"/>
          <w:szCs w:val="24"/>
        </w:rPr>
        <w:t xml:space="preserve"> 1:</w:t>
      </w:r>
      <w:r w:rsidR="004B38C3" w:rsidRPr="0093300D">
        <w:rPr>
          <w:rFonts w:ascii="Arial" w:hAnsi="Arial" w:cs="Arial"/>
          <w:sz w:val="24"/>
          <w:szCs w:val="24"/>
        </w:rPr>
        <w:t>593.749 A LINEA 100, $</w:t>
      </w:r>
      <w:r w:rsidR="00A1359F" w:rsidRPr="0093300D">
        <w:rPr>
          <w:rFonts w:ascii="Arial" w:hAnsi="Arial" w:cs="Arial"/>
          <w:sz w:val="24"/>
          <w:szCs w:val="24"/>
        </w:rPr>
        <w:t xml:space="preserve"> 4:</w:t>
      </w:r>
      <w:r w:rsidR="004B38C3" w:rsidRPr="0093300D">
        <w:rPr>
          <w:rFonts w:ascii="Arial" w:hAnsi="Arial" w:cs="Arial"/>
          <w:sz w:val="24"/>
          <w:szCs w:val="24"/>
        </w:rPr>
        <w:t>500.000 GUSCAPAR (CIEN RUMBOS), $</w:t>
      </w:r>
      <w:r w:rsidR="00A1359F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165.817 SENGLAN, $</w:t>
      </w:r>
      <w:r w:rsidR="00A1359F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62.000 MACHADO, $</w:t>
      </w:r>
      <w:r w:rsidR="00A1359F" w:rsidRPr="0093300D">
        <w:rPr>
          <w:rFonts w:ascii="Arial" w:hAnsi="Arial" w:cs="Arial"/>
          <w:sz w:val="24"/>
          <w:szCs w:val="24"/>
        </w:rPr>
        <w:t>2:</w:t>
      </w:r>
      <w:r w:rsidR="004B38C3" w:rsidRPr="0093300D">
        <w:rPr>
          <w:rFonts w:ascii="Arial" w:hAnsi="Arial" w:cs="Arial"/>
          <w:sz w:val="24"/>
          <w:szCs w:val="24"/>
        </w:rPr>
        <w:t>575.000 COT $</w:t>
      </w:r>
      <w:r w:rsidR="00A1359F" w:rsidRPr="0093300D">
        <w:rPr>
          <w:rFonts w:ascii="Arial" w:hAnsi="Arial" w:cs="Arial"/>
          <w:sz w:val="24"/>
          <w:szCs w:val="24"/>
        </w:rPr>
        <w:t xml:space="preserve"> 2:</w:t>
      </w:r>
      <w:r w:rsidR="004B38C3" w:rsidRPr="0093300D">
        <w:rPr>
          <w:rFonts w:ascii="Arial" w:hAnsi="Arial" w:cs="Arial"/>
          <w:sz w:val="24"/>
          <w:szCs w:val="24"/>
        </w:rPr>
        <w:t>500.000 COPSA, $</w:t>
      </w:r>
      <w:r w:rsidR="00F75D36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243.497 CYNSA, $</w:t>
      </w:r>
      <w:r w:rsidR="00F75D36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700.000 EMTUR, $400.000 BRUNO, $</w:t>
      </w:r>
      <w:r w:rsidR="00F75D36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141.321 RUTAS DEL SOL y $</w:t>
      </w:r>
      <w:r w:rsidR="00F75D36" w:rsidRPr="0093300D">
        <w:rPr>
          <w:rFonts w:ascii="Arial" w:hAnsi="Arial" w:cs="Arial"/>
          <w:sz w:val="24"/>
          <w:szCs w:val="24"/>
        </w:rPr>
        <w:t xml:space="preserve"> </w:t>
      </w:r>
      <w:r w:rsidR="004B38C3" w:rsidRPr="0093300D">
        <w:rPr>
          <w:rFonts w:ascii="Arial" w:hAnsi="Arial" w:cs="Arial"/>
          <w:sz w:val="24"/>
          <w:szCs w:val="24"/>
        </w:rPr>
        <w:t>171.994 TURISMAR;</w:t>
      </w:r>
    </w:p>
    <w:p w:rsidR="007454F3" w:rsidRPr="0093300D" w:rsidRDefault="007454F3" w:rsidP="00F75D36">
      <w:pPr>
        <w:tabs>
          <w:tab w:val="left" w:pos="1985"/>
        </w:tabs>
        <w:spacing w:after="0" w:line="360" w:lineRule="auto"/>
        <w:ind w:firstLine="2693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 xml:space="preserve">3) </w:t>
      </w:r>
      <w:r w:rsidR="00E73909" w:rsidRPr="0093300D">
        <w:rPr>
          <w:rFonts w:ascii="Arial" w:hAnsi="Arial" w:cs="Arial"/>
          <w:sz w:val="24"/>
          <w:szCs w:val="24"/>
        </w:rPr>
        <w:t>que en actuación de fecha 18.05.16</w:t>
      </w:r>
      <w:r w:rsidR="005D5CAB" w:rsidRPr="0093300D">
        <w:rPr>
          <w:rFonts w:ascii="Arial" w:hAnsi="Arial" w:cs="Arial"/>
          <w:sz w:val="24"/>
          <w:szCs w:val="24"/>
        </w:rPr>
        <w:t>, División Contaduría informa que las sumas antedichas fueron imputadas al rubro 10824-</w:t>
      </w:r>
      <w:r w:rsidR="00FF1312" w:rsidRPr="0093300D">
        <w:rPr>
          <w:rFonts w:ascii="Arial" w:hAnsi="Arial" w:cs="Arial"/>
          <w:sz w:val="24"/>
          <w:szCs w:val="24"/>
        </w:rPr>
        <w:t xml:space="preserve"> rubro </w:t>
      </w:r>
      <w:r w:rsidR="005D5CAB" w:rsidRPr="0093300D">
        <w:rPr>
          <w:rFonts w:ascii="Arial" w:hAnsi="Arial" w:cs="Arial"/>
          <w:sz w:val="24"/>
          <w:szCs w:val="24"/>
        </w:rPr>
        <w:t>5529 Tránsito y Transporte – Transferencias corrientes al sector privado, sin disponibilidad presupuestal;</w:t>
      </w:r>
    </w:p>
    <w:p w:rsidR="00F75D36" w:rsidRPr="0093300D" w:rsidRDefault="002C582A" w:rsidP="00F75D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CONSIDERANDO: 1)</w:t>
      </w:r>
      <w:r w:rsidRPr="0093300D">
        <w:rPr>
          <w:rFonts w:ascii="Arial" w:hAnsi="Arial" w:cs="Arial"/>
          <w:sz w:val="24"/>
          <w:szCs w:val="24"/>
        </w:rPr>
        <w:t xml:space="preserve"> que el gasto</w:t>
      </w:r>
      <w:r w:rsidR="0093300D">
        <w:rPr>
          <w:rFonts w:ascii="Arial" w:hAnsi="Arial" w:cs="Arial"/>
          <w:sz w:val="24"/>
          <w:szCs w:val="24"/>
        </w:rPr>
        <w:t xml:space="preserve"> comprometido por Resolución Nº</w:t>
      </w:r>
      <w:bookmarkStart w:id="0" w:name="_GoBack"/>
      <w:bookmarkEnd w:id="0"/>
      <w:r w:rsidRPr="0093300D">
        <w:rPr>
          <w:rFonts w:ascii="Arial" w:hAnsi="Arial" w:cs="Arial"/>
          <w:sz w:val="24"/>
          <w:szCs w:val="24"/>
        </w:rPr>
        <w:t>1919/2016 fue remitido con principio de ejecución, inhibiendo el contralor preventivo de este Tribun</w:t>
      </w:r>
      <w:r w:rsidR="00F75D36" w:rsidRPr="0093300D">
        <w:rPr>
          <w:rFonts w:ascii="Arial" w:hAnsi="Arial" w:cs="Arial"/>
          <w:sz w:val="24"/>
          <w:szCs w:val="24"/>
        </w:rPr>
        <w:t>al, de acuerdo con</w:t>
      </w:r>
      <w:r w:rsidR="00DC2B7D" w:rsidRPr="0093300D">
        <w:rPr>
          <w:rFonts w:ascii="Arial" w:hAnsi="Arial" w:cs="Arial"/>
          <w:sz w:val="24"/>
          <w:szCs w:val="24"/>
        </w:rPr>
        <w:t xml:space="preserve"> lo </w:t>
      </w:r>
      <w:r w:rsidR="00F75D36" w:rsidRPr="0093300D">
        <w:rPr>
          <w:rFonts w:ascii="Arial" w:hAnsi="Arial" w:cs="Arial"/>
          <w:sz w:val="24"/>
          <w:szCs w:val="24"/>
        </w:rPr>
        <w:t>dispuesto en el Artículo 211 L</w:t>
      </w:r>
      <w:r w:rsidRPr="0093300D">
        <w:rPr>
          <w:rFonts w:ascii="Arial" w:hAnsi="Arial" w:cs="Arial"/>
          <w:sz w:val="24"/>
          <w:szCs w:val="24"/>
        </w:rPr>
        <w:t>iteral B) de la Constitución de la República;</w:t>
      </w:r>
    </w:p>
    <w:p w:rsidR="002C582A" w:rsidRPr="0093300D" w:rsidRDefault="002C582A" w:rsidP="00F75D36">
      <w:pPr>
        <w:spacing w:after="0" w:line="360" w:lineRule="auto"/>
        <w:ind w:firstLine="3261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2)</w:t>
      </w:r>
      <w:r w:rsidRPr="0093300D">
        <w:rPr>
          <w:rFonts w:ascii="Arial" w:hAnsi="Arial" w:cs="Arial"/>
          <w:sz w:val="24"/>
          <w:szCs w:val="24"/>
        </w:rPr>
        <w:t xml:space="preserve"> que se imputaron sumas sin disponibilidad presupue</w:t>
      </w:r>
      <w:r w:rsidR="00F75D36" w:rsidRPr="0093300D">
        <w:rPr>
          <w:rFonts w:ascii="Arial" w:hAnsi="Arial" w:cs="Arial"/>
          <w:sz w:val="24"/>
          <w:szCs w:val="24"/>
        </w:rPr>
        <w:t>stal suficiente, vulnerando el A</w:t>
      </w:r>
      <w:r w:rsidRPr="0093300D">
        <w:rPr>
          <w:rFonts w:ascii="Arial" w:hAnsi="Arial" w:cs="Arial"/>
          <w:sz w:val="24"/>
          <w:szCs w:val="24"/>
        </w:rPr>
        <w:t>rtículo</w:t>
      </w:r>
      <w:r w:rsidR="003A476D" w:rsidRPr="0093300D">
        <w:rPr>
          <w:rFonts w:ascii="Arial" w:hAnsi="Arial" w:cs="Arial"/>
          <w:sz w:val="24"/>
          <w:szCs w:val="24"/>
        </w:rPr>
        <w:t xml:space="preserve"> 15 del T.O.C.A.F. (Resultando </w:t>
      </w:r>
      <w:r w:rsidR="007454F3" w:rsidRPr="0093300D">
        <w:rPr>
          <w:rFonts w:ascii="Arial" w:hAnsi="Arial" w:cs="Arial"/>
          <w:sz w:val="24"/>
          <w:szCs w:val="24"/>
        </w:rPr>
        <w:t>3</w:t>
      </w:r>
      <w:r w:rsidRPr="0093300D">
        <w:rPr>
          <w:rFonts w:ascii="Arial" w:hAnsi="Arial" w:cs="Arial"/>
          <w:sz w:val="24"/>
          <w:szCs w:val="24"/>
        </w:rPr>
        <w:t xml:space="preserve">); </w:t>
      </w:r>
    </w:p>
    <w:p w:rsidR="002C582A" w:rsidRPr="0093300D" w:rsidRDefault="002C582A" w:rsidP="00F75D3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ATENTO:</w:t>
      </w:r>
      <w:r w:rsidRPr="0093300D">
        <w:rPr>
          <w:rFonts w:ascii="Arial" w:hAnsi="Arial" w:cs="Arial"/>
          <w:sz w:val="24"/>
          <w:szCs w:val="24"/>
        </w:rPr>
        <w:t xml:space="preserve"> a lo precedentemente ex</w:t>
      </w:r>
      <w:r w:rsidR="00F75D36" w:rsidRPr="0093300D">
        <w:rPr>
          <w:rFonts w:ascii="Arial" w:hAnsi="Arial" w:cs="Arial"/>
          <w:sz w:val="24"/>
          <w:szCs w:val="24"/>
        </w:rPr>
        <w:t>puesto y a lo dispuesto por el Artículo 211 L</w:t>
      </w:r>
      <w:r w:rsidRPr="0093300D">
        <w:rPr>
          <w:rFonts w:ascii="Arial" w:hAnsi="Arial" w:cs="Arial"/>
          <w:sz w:val="24"/>
          <w:szCs w:val="24"/>
        </w:rPr>
        <w:t>iteral B) de la Constitución de la República;</w:t>
      </w:r>
    </w:p>
    <w:p w:rsidR="002C582A" w:rsidRPr="0093300D" w:rsidRDefault="002C582A" w:rsidP="00F75D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EL TRIBUNAL ACUERDA</w:t>
      </w:r>
    </w:p>
    <w:p w:rsidR="002C582A" w:rsidRPr="0093300D" w:rsidRDefault="002C582A" w:rsidP="00F7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1)</w:t>
      </w:r>
      <w:r w:rsidRPr="0093300D">
        <w:rPr>
          <w:rFonts w:ascii="Arial" w:hAnsi="Arial" w:cs="Arial"/>
          <w:sz w:val="24"/>
          <w:szCs w:val="24"/>
        </w:rPr>
        <w:t xml:space="preserve"> Observar el gasto;</w:t>
      </w:r>
    </w:p>
    <w:p w:rsidR="00F75D36" w:rsidRPr="0093300D" w:rsidRDefault="002C582A" w:rsidP="00F7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300D">
        <w:rPr>
          <w:rFonts w:ascii="Arial" w:hAnsi="Arial" w:cs="Arial"/>
          <w:b/>
          <w:sz w:val="24"/>
          <w:szCs w:val="24"/>
        </w:rPr>
        <w:t>2)</w:t>
      </w:r>
      <w:r w:rsidRPr="0093300D">
        <w:rPr>
          <w:rFonts w:ascii="Arial" w:hAnsi="Arial" w:cs="Arial"/>
          <w:sz w:val="24"/>
          <w:szCs w:val="24"/>
        </w:rPr>
        <w:t xml:space="preserve"> Devolver las actuaciones.</w:t>
      </w:r>
    </w:p>
    <w:p w:rsidR="00F75D36" w:rsidRPr="0093300D" w:rsidRDefault="00F75D36" w:rsidP="00F75D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75D36" w:rsidRPr="0093300D" w:rsidRDefault="00F75D36" w:rsidP="00F75D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75D36" w:rsidRPr="0093300D" w:rsidRDefault="00F75D36" w:rsidP="00F75D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C582A" w:rsidRPr="0093300D" w:rsidRDefault="00F75D36" w:rsidP="00F75D36">
      <w:pPr>
        <w:spacing w:after="0" w:line="360" w:lineRule="auto"/>
        <w:ind w:hanging="567"/>
        <w:rPr>
          <w:rFonts w:ascii="Arial" w:hAnsi="Arial" w:cs="Arial"/>
          <w:sz w:val="24"/>
          <w:szCs w:val="24"/>
        </w:rPr>
      </w:pPr>
      <w:proofErr w:type="gramStart"/>
      <w:r w:rsidRPr="0093300D">
        <w:rPr>
          <w:rFonts w:ascii="Arial" w:hAnsi="Arial" w:cs="Arial"/>
          <w:sz w:val="24"/>
          <w:szCs w:val="24"/>
        </w:rPr>
        <w:t>dc</w:t>
      </w:r>
      <w:proofErr w:type="gramEnd"/>
      <w:r w:rsidRPr="0093300D">
        <w:rPr>
          <w:rFonts w:ascii="Arial" w:hAnsi="Arial" w:cs="Arial"/>
          <w:sz w:val="24"/>
          <w:szCs w:val="24"/>
        </w:rPr>
        <w:t xml:space="preserve"> </w:t>
      </w:r>
    </w:p>
    <w:sectPr w:rsidR="002C582A" w:rsidRPr="0093300D" w:rsidSect="00F75D36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36" w:rsidRDefault="00F75D36" w:rsidP="00F75D36">
      <w:pPr>
        <w:spacing w:after="0" w:line="240" w:lineRule="auto"/>
      </w:pPr>
      <w:r>
        <w:separator/>
      </w:r>
    </w:p>
  </w:endnote>
  <w:endnote w:type="continuationSeparator" w:id="0">
    <w:p w:rsidR="00F75D36" w:rsidRDefault="00F75D36" w:rsidP="00F7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815148"/>
      <w:docPartObj>
        <w:docPartGallery w:val="Page Numbers (Bottom of Page)"/>
        <w:docPartUnique/>
      </w:docPartObj>
    </w:sdtPr>
    <w:sdtContent>
      <w:p w:rsidR="00F75D36" w:rsidRDefault="00F75D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00D">
          <w:rPr>
            <w:noProof/>
          </w:rPr>
          <w:t>3</w:t>
        </w:r>
        <w:r>
          <w:fldChar w:fldCharType="end"/>
        </w:r>
      </w:p>
    </w:sdtContent>
  </w:sdt>
  <w:p w:rsidR="00F75D36" w:rsidRDefault="00F75D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36" w:rsidRDefault="00F75D36" w:rsidP="00F75D36">
      <w:pPr>
        <w:spacing w:after="0" w:line="240" w:lineRule="auto"/>
      </w:pPr>
      <w:r>
        <w:separator/>
      </w:r>
    </w:p>
  </w:footnote>
  <w:footnote w:type="continuationSeparator" w:id="0">
    <w:p w:rsidR="00F75D36" w:rsidRDefault="00F75D36" w:rsidP="00F7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15D4A"/>
    <w:multiLevelType w:val="multilevel"/>
    <w:tmpl w:val="372851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2A"/>
    <w:rsid w:val="002C582A"/>
    <w:rsid w:val="002F2C46"/>
    <w:rsid w:val="00321A76"/>
    <w:rsid w:val="003A476D"/>
    <w:rsid w:val="003B1DEF"/>
    <w:rsid w:val="004B38C3"/>
    <w:rsid w:val="004F5356"/>
    <w:rsid w:val="005D5CAB"/>
    <w:rsid w:val="00624203"/>
    <w:rsid w:val="00703E1F"/>
    <w:rsid w:val="007454F3"/>
    <w:rsid w:val="0093300D"/>
    <w:rsid w:val="0098487D"/>
    <w:rsid w:val="009D3B43"/>
    <w:rsid w:val="00A1359F"/>
    <w:rsid w:val="00B64425"/>
    <w:rsid w:val="00C61E8F"/>
    <w:rsid w:val="00C75886"/>
    <w:rsid w:val="00CB71D1"/>
    <w:rsid w:val="00D358DF"/>
    <w:rsid w:val="00DC2977"/>
    <w:rsid w:val="00DC2B7D"/>
    <w:rsid w:val="00E73909"/>
    <w:rsid w:val="00F75D36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8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82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5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D36"/>
  </w:style>
  <w:style w:type="paragraph" w:styleId="Piedepgina">
    <w:name w:val="footer"/>
    <w:basedOn w:val="Normal"/>
    <w:link w:val="PiedepginaCar"/>
    <w:uiPriority w:val="99"/>
    <w:unhideWhenUsed/>
    <w:rsid w:val="00F75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58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582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5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D36"/>
  </w:style>
  <w:style w:type="paragraph" w:styleId="Piedepgina">
    <w:name w:val="footer"/>
    <w:basedOn w:val="Normal"/>
    <w:link w:val="PiedepginaCar"/>
    <w:uiPriority w:val="99"/>
    <w:unhideWhenUsed/>
    <w:rsid w:val="00F75D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A25A-81D6-418B-B772-E11AC3F8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 Tacuarembo</dc:creator>
  <cp:lastModifiedBy>Tribunal1</cp:lastModifiedBy>
  <cp:revision>2</cp:revision>
  <cp:lastPrinted>2016-06-20T19:53:00Z</cp:lastPrinted>
  <dcterms:created xsi:type="dcterms:W3CDTF">2016-06-20T19:53:00Z</dcterms:created>
  <dcterms:modified xsi:type="dcterms:W3CDTF">2016-06-20T19:53:00Z</dcterms:modified>
</cp:coreProperties>
</file>