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B3" w:rsidRPr="00786EEB" w:rsidRDefault="004974B3" w:rsidP="004974B3">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1917</w:t>
      </w:r>
      <w:r w:rsidRPr="00786EEB">
        <w:rPr>
          <w:rFonts w:ascii="Arial" w:hAnsi="Arial" w:cs="Arial"/>
          <w:b/>
          <w:sz w:val="28"/>
          <w:szCs w:val="28"/>
          <w:lang w:val="es-ES_tradnl"/>
        </w:rPr>
        <w:t>/16</w:t>
      </w:r>
    </w:p>
    <w:p w:rsidR="004974B3" w:rsidRDefault="004974B3" w:rsidP="004974B3">
      <w:pPr>
        <w:tabs>
          <w:tab w:val="center" w:pos="4253"/>
        </w:tabs>
        <w:suppressAutoHyphens/>
        <w:jc w:val="right"/>
        <w:rPr>
          <w:rFonts w:ascii="Arial" w:hAnsi="Arial" w:cs="Arial"/>
          <w:b/>
          <w:lang w:val="es-ES_tradnl"/>
        </w:rPr>
      </w:pPr>
    </w:p>
    <w:p w:rsidR="004974B3" w:rsidRPr="004974B3" w:rsidRDefault="004974B3" w:rsidP="004974B3">
      <w:pPr>
        <w:tabs>
          <w:tab w:val="center" w:pos="4253"/>
        </w:tabs>
        <w:suppressAutoHyphens/>
        <w:spacing w:after="0" w:line="240" w:lineRule="auto"/>
        <w:jc w:val="center"/>
        <w:rPr>
          <w:rFonts w:ascii="Arial" w:hAnsi="Arial" w:cs="Arial"/>
          <w:b/>
          <w:sz w:val="24"/>
          <w:szCs w:val="24"/>
          <w:lang w:val="es-ES_tradnl"/>
        </w:rPr>
      </w:pPr>
      <w:r w:rsidRPr="004974B3">
        <w:rPr>
          <w:rFonts w:ascii="Arial" w:hAnsi="Arial" w:cs="Arial"/>
          <w:b/>
          <w:sz w:val="24"/>
          <w:szCs w:val="24"/>
          <w:lang w:val="es-ES_tradnl"/>
        </w:rPr>
        <w:t>RESOLUCION ADOPTADA POR EL</w:t>
      </w:r>
    </w:p>
    <w:p w:rsidR="004974B3" w:rsidRPr="004974B3" w:rsidRDefault="004974B3" w:rsidP="004974B3">
      <w:pPr>
        <w:tabs>
          <w:tab w:val="left" w:pos="-720"/>
        </w:tabs>
        <w:suppressAutoHyphens/>
        <w:spacing w:after="0" w:line="240" w:lineRule="auto"/>
        <w:jc w:val="center"/>
        <w:rPr>
          <w:rFonts w:ascii="Arial" w:hAnsi="Arial" w:cs="Arial"/>
          <w:b/>
          <w:sz w:val="24"/>
          <w:szCs w:val="24"/>
          <w:lang w:val="es-ES_tradnl"/>
        </w:rPr>
      </w:pPr>
    </w:p>
    <w:p w:rsidR="004974B3" w:rsidRPr="004974B3" w:rsidRDefault="004974B3" w:rsidP="004974B3">
      <w:pPr>
        <w:tabs>
          <w:tab w:val="center" w:pos="4253"/>
        </w:tabs>
        <w:suppressAutoHyphens/>
        <w:spacing w:after="0" w:line="240" w:lineRule="auto"/>
        <w:jc w:val="center"/>
        <w:rPr>
          <w:rFonts w:ascii="Arial" w:hAnsi="Arial" w:cs="Arial"/>
          <w:b/>
          <w:sz w:val="24"/>
          <w:szCs w:val="24"/>
          <w:lang w:val="es-ES_tradnl"/>
        </w:rPr>
      </w:pPr>
      <w:r w:rsidRPr="004974B3">
        <w:rPr>
          <w:rFonts w:ascii="Arial" w:hAnsi="Arial" w:cs="Arial"/>
          <w:b/>
          <w:sz w:val="24"/>
          <w:szCs w:val="24"/>
          <w:lang w:val="es-ES_tradnl"/>
        </w:rPr>
        <w:t>TRIBUNAL DE CUENTAS</w:t>
      </w:r>
    </w:p>
    <w:p w:rsidR="004974B3" w:rsidRPr="004974B3" w:rsidRDefault="004974B3" w:rsidP="004974B3">
      <w:pPr>
        <w:tabs>
          <w:tab w:val="left" w:pos="-720"/>
        </w:tabs>
        <w:suppressAutoHyphens/>
        <w:spacing w:after="0" w:line="240" w:lineRule="auto"/>
        <w:jc w:val="center"/>
        <w:rPr>
          <w:rFonts w:ascii="Arial" w:hAnsi="Arial" w:cs="Arial"/>
          <w:b/>
          <w:sz w:val="24"/>
          <w:szCs w:val="24"/>
          <w:lang w:val="es-ES_tradnl"/>
        </w:rPr>
      </w:pPr>
    </w:p>
    <w:p w:rsidR="004974B3" w:rsidRPr="004974B3" w:rsidRDefault="004974B3" w:rsidP="004974B3">
      <w:pPr>
        <w:tabs>
          <w:tab w:val="center" w:pos="4253"/>
        </w:tabs>
        <w:suppressAutoHyphens/>
        <w:spacing w:after="0" w:line="240" w:lineRule="auto"/>
        <w:jc w:val="center"/>
        <w:rPr>
          <w:rFonts w:ascii="Arial" w:hAnsi="Arial" w:cs="Arial"/>
          <w:b/>
          <w:sz w:val="24"/>
          <w:szCs w:val="24"/>
          <w:lang w:val="es-ES_tradnl"/>
        </w:rPr>
      </w:pPr>
      <w:r w:rsidRPr="004974B3">
        <w:rPr>
          <w:rFonts w:ascii="Arial" w:hAnsi="Arial" w:cs="Arial"/>
          <w:b/>
          <w:sz w:val="24"/>
          <w:szCs w:val="24"/>
          <w:lang w:val="es-ES_tradnl"/>
        </w:rPr>
        <w:t>EN SESION DE FECHA 8 DE JUNIO DE 2016</w:t>
      </w:r>
    </w:p>
    <w:p w:rsidR="004974B3" w:rsidRPr="004974B3" w:rsidRDefault="004974B3" w:rsidP="004974B3">
      <w:pPr>
        <w:tabs>
          <w:tab w:val="center" w:pos="4253"/>
        </w:tabs>
        <w:suppressAutoHyphens/>
        <w:spacing w:after="0" w:line="240" w:lineRule="auto"/>
        <w:jc w:val="center"/>
        <w:rPr>
          <w:rFonts w:ascii="Arial" w:hAnsi="Arial" w:cs="Arial"/>
          <w:b/>
          <w:sz w:val="24"/>
          <w:szCs w:val="24"/>
          <w:lang w:val="es-ES_tradnl"/>
        </w:rPr>
      </w:pPr>
    </w:p>
    <w:p w:rsidR="004974B3" w:rsidRPr="004974B3" w:rsidRDefault="004974B3" w:rsidP="004974B3">
      <w:pPr>
        <w:tabs>
          <w:tab w:val="center" w:pos="4253"/>
        </w:tabs>
        <w:suppressAutoHyphens/>
        <w:spacing w:after="0" w:line="240" w:lineRule="auto"/>
        <w:jc w:val="center"/>
        <w:rPr>
          <w:rFonts w:ascii="Arial" w:hAnsi="Arial" w:cs="Arial"/>
          <w:b/>
          <w:sz w:val="24"/>
          <w:szCs w:val="24"/>
          <w:lang w:val="en-US"/>
        </w:rPr>
      </w:pPr>
      <w:r w:rsidRPr="004974B3">
        <w:rPr>
          <w:rFonts w:ascii="Arial" w:hAnsi="Arial" w:cs="Arial"/>
          <w:b/>
          <w:sz w:val="24"/>
          <w:szCs w:val="24"/>
          <w:lang w:val="en-US"/>
        </w:rPr>
        <w:t xml:space="preserve">(E. E. Nº </w:t>
      </w:r>
      <w:r w:rsidRPr="004974B3">
        <w:rPr>
          <w:rFonts w:ascii="Arial" w:eastAsia="Times New Roman" w:hAnsi="Arial" w:cs="Arial"/>
          <w:b/>
          <w:bCs/>
          <w:sz w:val="24"/>
          <w:szCs w:val="24"/>
          <w:lang w:val="es-MX" w:eastAsia="es-ES"/>
        </w:rPr>
        <w:t>2016-17-1-0000537</w:t>
      </w:r>
      <w:r w:rsidRPr="004974B3">
        <w:rPr>
          <w:rFonts w:ascii="Arial" w:hAnsi="Arial" w:cs="Arial"/>
          <w:b/>
          <w:sz w:val="24"/>
          <w:szCs w:val="24"/>
          <w:lang w:val="en-US"/>
        </w:rPr>
        <w:t xml:space="preserve">, </w:t>
      </w:r>
      <w:proofErr w:type="spellStart"/>
      <w:proofErr w:type="gramStart"/>
      <w:r w:rsidRPr="004974B3">
        <w:rPr>
          <w:rFonts w:ascii="Arial" w:hAnsi="Arial" w:cs="Arial"/>
          <w:b/>
          <w:sz w:val="24"/>
          <w:szCs w:val="24"/>
          <w:lang w:val="en-US"/>
        </w:rPr>
        <w:t>Ent</w:t>
      </w:r>
      <w:proofErr w:type="spellEnd"/>
      <w:proofErr w:type="gramEnd"/>
      <w:r w:rsidRPr="004974B3">
        <w:rPr>
          <w:rFonts w:ascii="Arial" w:hAnsi="Arial" w:cs="Arial"/>
          <w:b/>
          <w:sz w:val="24"/>
          <w:szCs w:val="24"/>
          <w:lang w:val="en-US"/>
        </w:rPr>
        <w:t xml:space="preserve">. N° </w:t>
      </w:r>
      <w:r w:rsidRPr="004974B3">
        <w:rPr>
          <w:rFonts w:ascii="Arial" w:eastAsia="Times New Roman" w:hAnsi="Arial" w:cs="Arial"/>
          <w:b/>
          <w:sz w:val="24"/>
          <w:szCs w:val="24"/>
          <w:lang w:val="es-MX" w:eastAsia="es-ES"/>
        </w:rPr>
        <w:t>2368/16</w:t>
      </w:r>
      <w:r w:rsidRPr="004974B3">
        <w:rPr>
          <w:rFonts w:ascii="Arial" w:hAnsi="Arial" w:cs="Arial"/>
          <w:b/>
          <w:sz w:val="24"/>
          <w:szCs w:val="24"/>
          <w:lang w:val="en-US"/>
        </w:rPr>
        <w:t>)</w:t>
      </w:r>
    </w:p>
    <w:p w:rsidR="004974B3" w:rsidRDefault="004974B3">
      <w:pPr>
        <w:tabs>
          <w:tab w:val="center" w:pos="4253"/>
        </w:tabs>
        <w:suppressAutoHyphens/>
        <w:jc w:val="center"/>
        <w:rPr>
          <w:rFonts w:ascii="Helvetica" w:hAnsi="Helvetica"/>
          <w:b/>
          <w:lang w:val="en-US"/>
        </w:rPr>
      </w:pPr>
    </w:p>
    <w:p w:rsidR="00B276FF" w:rsidRDefault="00B276FF" w:rsidP="004974B3">
      <w:pPr>
        <w:spacing w:after="0" w:line="360" w:lineRule="auto"/>
        <w:ind w:firstLine="851"/>
        <w:jc w:val="both"/>
        <w:rPr>
          <w:rFonts w:ascii="Arial" w:eastAsia="Times New Roman" w:hAnsi="Arial" w:cs="Arial"/>
          <w:bCs/>
          <w:sz w:val="24"/>
          <w:szCs w:val="20"/>
          <w:lang w:val="es-MX" w:eastAsia="es-ES"/>
        </w:rPr>
      </w:pPr>
      <w:r w:rsidRPr="002906FE">
        <w:rPr>
          <w:rFonts w:ascii="Arial" w:eastAsia="Times New Roman" w:hAnsi="Arial" w:cs="Times New Roman"/>
          <w:b/>
          <w:bCs/>
          <w:sz w:val="24"/>
          <w:szCs w:val="20"/>
          <w:lang w:val="es-MX" w:eastAsia="es-ES"/>
        </w:rPr>
        <w:t>VISTO:</w:t>
      </w:r>
      <w:r w:rsidRPr="002906FE">
        <w:rPr>
          <w:rFonts w:ascii="Arial" w:eastAsia="Times New Roman" w:hAnsi="Arial" w:cs="Times New Roman"/>
          <w:sz w:val="24"/>
          <w:szCs w:val="20"/>
          <w:lang w:val="es-MX" w:eastAsia="es-ES"/>
        </w:rPr>
        <w:t xml:space="preserve"> las</w:t>
      </w:r>
      <w:r>
        <w:rPr>
          <w:rFonts w:ascii="Arial" w:eastAsia="Times New Roman" w:hAnsi="Arial" w:cs="Times New Roman"/>
          <w:sz w:val="24"/>
          <w:szCs w:val="20"/>
          <w:lang w:val="es-MX" w:eastAsia="es-ES"/>
        </w:rPr>
        <w:t xml:space="preserve"> nuevas</w:t>
      </w:r>
      <w:r w:rsidRPr="002906FE">
        <w:rPr>
          <w:rFonts w:ascii="Arial" w:eastAsia="Times New Roman" w:hAnsi="Arial" w:cs="Times New Roman"/>
          <w:sz w:val="24"/>
          <w:szCs w:val="20"/>
          <w:lang w:val="es-MX" w:eastAsia="es-ES"/>
        </w:rPr>
        <w:t xml:space="preserve"> actuaciones remitidas por la</w:t>
      </w:r>
      <w:r>
        <w:rPr>
          <w:rFonts w:ascii="Arial" w:eastAsia="Times New Roman" w:hAnsi="Arial" w:cs="Times New Roman"/>
          <w:sz w:val="24"/>
          <w:szCs w:val="20"/>
          <w:lang w:val="es-MX" w:eastAsia="es-ES"/>
        </w:rPr>
        <w:t xml:space="preserve"> </w:t>
      </w:r>
      <w:r w:rsidRPr="002906FE">
        <w:rPr>
          <w:rFonts w:ascii="Arial" w:eastAsia="Times New Roman" w:hAnsi="Arial" w:cs="Arial"/>
          <w:sz w:val="24"/>
          <w:szCs w:val="20"/>
          <w:lang w:val="es-MX" w:eastAsia="es-ES"/>
        </w:rPr>
        <w:t xml:space="preserve">Administración </w:t>
      </w:r>
      <w:r>
        <w:rPr>
          <w:rFonts w:ascii="Arial" w:eastAsia="Times New Roman" w:hAnsi="Arial" w:cs="Arial"/>
          <w:sz w:val="24"/>
          <w:szCs w:val="20"/>
          <w:lang w:val="es-MX" w:eastAsia="es-ES"/>
        </w:rPr>
        <w:t>Nacional de Usinas y Transmisiones Eléctricas relacionadas con la reiteración del gasto derivado de la Licitación Pública</w:t>
      </w:r>
      <w:r w:rsidR="008C563F">
        <w:rPr>
          <w:rFonts w:ascii="Arial" w:eastAsia="Times New Roman" w:hAnsi="Arial" w:cs="Arial"/>
          <w:sz w:val="24"/>
          <w:szCs w:val="20"/>
          <w:lang w:val="es-MX" w:eastAsia="es-ES"/>
        </w:rPr>
        <w:t xml:space="preserve"> N°</w:t>
      </w:r>
      <w:r>
        <w:rPr>
          <w:rFonts w:ascii="Arial" w:eastAsia="Times New Roman" w:hAnsi="Arial" w:cs="Arial"/>
          <w:sz w:val="24"/>
          <w:szCs w:val="20"/>
          <w:lang w:val="es-MX" w:eastAsia="es-ES"/>
        </w:rPr>
        <w:t xml:space="preserve"> </w:t>
      </w:r>
      <w:r>
        <w:rPr>
          <w:rFonts w:ascii="Arial" w:eastAsia="Times New Roman" w:hAnsi="Arial" w:cs="Arial"/>
          <w:bCs/>
          <w:sz w:val="24"/>
          <w:szCs w:val="20"/>
          <w:lang w:val="es-MX" w:eastAsia="es-ES"/>
        </w:rPr>
        <w:t>P46133, convocada para el suministro de seleccionadores de 550, 170 y 72,5 KV;</w:t>
      </w:r>
    </w:p>
    <w:p w:rsidR="00B276FF" w:rsidRDefault="004974B3" w:rsidP="004974B3">
      <w:pPr>
        <w:spacing w:after="0" w:line="360" w:lineRule="auto"/>
        <w:ind w:firstLine="851"/>
        <w:jc w:val="both"/>
        <w:rPr>
          <w:rFonts w:ascii="Arial" w:eastAsia="Times New Roman" w:hAnsi="Arial" w:cs="Times New Roman"/>
          <w:sz w:val="24"/>
          <w:szCs w:val="20"/>
          <w:lang w:eastAsia="es-ES"/>
        </w:rPr>
      </w:pPr>
      <w:r>
        <w:rPr>
          <w:rFonts w:ascii="Arial" w:eastAsia="Times New Roman" w:hAnsi="Arial" w:cs="Arial"/>
          <w:b/>
          <w:sz w:val="24"/>
          <w:szCs w:val="20"/>
          <w:lang w:val="es-MX" w:eastAsia="es-ES"/>
        </w:rPr>
        <w:t>RESULTANDO</w:t>
      </w:r>
      <w:proofErr w:type="gramStart"/>
      <w:r>
        <w:rPr>
          <w:rFonts w:ascii="Arial" w:eastAsia="Times New Roman" w:hAnsi="Arial" w:cs="Arial"/>
          <w:b/>
          <w:sz w:val="24"/>
          <w:szCs w:val="20"/>
          <w:lang w:val="es-MX" w:eastAsia="es-ES"/>
        </w:rPr>
        <w:t xml:space="preserve">:  </w:t>
      </w:r>
      <w:r w:rsidR="00B276FF" w:rsidRPr="002906FE">
        <w:rPr>
          <w:rFonts w:ascii="Arial" w:eastAsia="Times New Roman" w:hAnsi="Arial" w:cs="Arial"/>
          <w:b/>
          <w:sz w:val="24"/>
          <w:szCs w:val="20"/>
          <w:lang w:val="es-MX" w:eastAsia="es-ES"/>
        </w:rPr>
        <w:t>1</w:t>
      </w:r>
      <w:proofErr w:type="gramEnd"/>
      <w:r w:rsidR="00B276FF" w:rsidRPr="002906FE">
        <w:rPr>
          <w:rFonts w:ascii="Arial" w:eastAsia="Times New Roman" w:hAnsi="Arial" w:cs="Arial"/>
          <w:b/>
          <w:sz w:val="24"/>
          <w:szCs w:val="20"/>
          <w:lang w:val="es-MX" w:eastAsia="es-ES"/>
        </w:rPr>
        <w:t xml:space="preserve">) </w:t>
      </w:r>
      <w:r w:rsidR="00B276FF" w:rsidRPr="00075087">
        <w:rPr>
          <w:rFonts w:ascii="Arial" w:eastAsia="Times New Roman" w:hAnsi="Arial" w:cs="Times New Roman"/>
          <w:sz w:val="24"/>
          <w:szCs w:val="20"/>
          <w:lang w:val="es-MX" w:eastAsia="es-ES"/>
        </w:rPr>
        <w:t>que por Resolución N° 003/16</w:t>
      </w:r>
      <w:r w:rsidR="00B276FF">
        <w:rPr>
          <w:rFonts w:ascii="Arial" w:eastAsia="Times New Roman" w:hAnsi="Arial" w:cs="Times New Roman"/>
          <w:sz w:val="24"/>
          <w:szCs w:val="20"/>
          <w:lang w:val="es-MX" w:eastAsia="es-ES"/>
        </w:rPr>
        <w:t xml:space="preserve"> de</w:t>
      </w:r>
      <w:r w:rsidR="00B276FF" w:rsidRPr="00075087">
        <w:rPr>
          <w:rFonts w:ascii="Arial" w:eastAsia="Times New Roman" w:hAnsi="Arial" w:cs="Times New Roman"/>
          <w:sz w:val="24"/>
          <w:szCs w:val="20"/>
          <w:lang w:val="es-MX" w:eastAsia="es-ES"/>
        </w:rPr>
        <w:t xml:space="preserve"> fecha 19</w:t>
      </w:r>
      <w:r>
        <w:rPr>
          <w:rFonts w:ascii="Arial" w:eastAsia="Times New Roman" w:hAnsi="Arial" w:cs="Times New Roman"/>
          <w:sz w:val="24"/>
          <w:szCs w:val="20"/>
          <w:lang w:val="es-MX" w:eastAsia="es-ES"/>
        </w:rPr>
        <w:t>/</w:t>
      </w:r>
      <w:r w:rsidR="00B276FF" w:rsidRPr="00075087">
        <w:rPr>
          <w:rFonts w:ascii="Arial" w:eastAsia="Times New Roman" w:hAnsi="Arial" w:cs="Times New Roman"/>
          <w:sz w:val="24"/>
          <w:szCs w:val="20"/>
          <w:lang w:val="es-MX" w:eastAsia="es-ES"/>
        </w:rPr>
        <w:t>01</w:t>
      </w:r>
      <w:r>
        <w:rPr>
          <w:rFonts w:ascii="Arial" w:eastAsia="Times New Roman" w:hAnsi="Arial" w:cs="Times New Roman"/>
          <w:sz w:val="24"/>
          <w:szCs w:val="20"/>
          <w:lang w:val="es-MX" w:eastAsia="es-ES"/>
        </w:rPr>
        <w:t>/</w:t>
      </w:r>
      <w:r w:rsidR="00B276FF" w:rsidRPr="00075087">
        <w:rPr>
          <w:rFonts w:ascii="Arial" w:eastAsia="Times New Roman" w:hAnsi="Arial" w:cs="Times New Roman"/>
          <w:sz w:val="24"/>
          <w:szCs w:val="20"/>
          <w:lang w:val="es-MX" w:eastAsia="es-ES"/>
        </w:rPr>
        <w:t>16</w:t>
      </w:r>
      <w:r w:rsidR="00B276FF">
        <w:rPr>
          <w:rFonts w:ascii="Arial" w:eastAsia="Times New Roman" w:hAnsi="Arial" w:cs="Times New Roman"/>
          <w:sz w:val="24"/>
          <w:szCs w:val="20"/>
          <w:lang w:val="es-MX" w:eastAsia="es-ES"/>
        </w:rPr>
        <w:t xml:space="preserve">, la </w:t>
      </w:r>
      <w:r w:rsidR="00B276FF" w:rsidRPr="00075087">
        <w:rPr>
          <w:rFonts w:ascii="Arial" w:eastAsia="Times New Roman" w:hAnsi="Arial" w:cs="Times New Roman"/>
          <w:sz w:val="24"/>
          <w:szCs w:val="20"/>
          <w:lang w:val="es-MX" w:eastAsia="es-ES"/>
        </w:rPr>
        <w:t>Gerencia General</w:t>
      </w:r>
      <w:r w:rsidR="00B276FF" w:rsidRPr="00957BEA">
        <w:rPr>
          <w:rFonts w:ascii="Arial" w:eastAsia="Times New Roman" w:hAnsi="Arial" w:cs="Times New Roman"/>
          <w:sz w:val="24"/>
          <w:szCs w:val="20"/>
          <w:lang w:val="es-MX" w:eastAsia="es-ES"/>
        </w:rPr>
        <w:t xml:space="preserve"> </w:t>
      </w:r>
      <w:r w:rsidR="00B276FF">
        <w:rPr>
          <w:rFonts w:ascii="Arial" w:eastAsia="Times New Roman" w:hAnsi="Arial" w:cs="Times New Roman"/>
          <w:sz w:val="24"/>
          <w:szCs w:val="20"/>
          <w:lang w:val="es-MX" w:eastAsia="es-ES"/>
        </w:rPr>
        <w:t xml:space="preserve">dispuso </w:t>
      </w:r>
      <w:r w:rsidR="00AB3A66">
        <w:rPr>
          <w:rFonts w:ascii="Arial" w:eastAsia="Times New Roman" w:hAnsi="Arial" w:cs="Times New Roman"/>
          <w:sz w:val="24"/>
          <w:szCs w:val="20"/>
          <w:lang w:val="es-MX" w:eastAsia="es-ES"/>
        </w:rPr>
        <w:t>la adjudicación de</w:t>
      </w:r>
      <w:r w:rsidR="00B276FF">
        <w:rPr>
          <w:rFonts w:ascii="Arial" w:eastAsia="Times New Roman" w:hAnsi="Arial" w:cs="Times New Roman"/>
          <w:sz w:val="24"/>
          <w:szCs w:val="20"/>
          <w:lang w:val="es-MX" w:eastAsia="es-ES"/>
        </w:rPr>
        <w:t xml:space="preserve"> la licitación de referencia a la firma Shandong </w:t>
      </w:r>
      <w:proofErr w:type="spellStart"/>
      <w:r w:rsidR="00B276FF">
        <w:rPr>
          <w:rFonts w:ascii="Arial" w:eastAsia="Times New Roman" w:hAnsi="Arial" w:cs="Times New Roman"/>
          <w:sz w:val="24"/>
          <w:szCs w:val="20"/>
          <w:lang w:val="es-MX" w:eastAsia="es-ES"/>
        </w:rPr>
        <w:t>Taikai</w:t>
      </w:r>
      <w:proofErr w:type="spellEnd"/>
      <w:r w:rsidR="00B276FF">
        <w:rPr>
          <w:rFonts w:ascii="Arial" w:eastAsia="Times New Roman" w:hAnsi="Arial" w:cs="Times New Roman"/>
          <w:sz w:val="24"/>
          <w:szCs w:val="20"/>
          <w:lang w:val="es-MX" w:eastAsia="es-ES"/>
        </w:rPr>
        <w:t xml:space="preserve"> </w:t>
      </w:r>
      <w:proofErr w:type="spellStart"/>
      <w:r w:rsidR="00B276FF">
        <w:rPr>
          <w:rFonts w:ascii="Arial" w:eastAsia="Times New Roman" w:hAnsi="Arial" w:cs="Times New Roman"/>
          <w:sz w:val="24"/>
          <w:szCs w:val="20"/>
          <w:lang w:val="es-MX" w:eastAsia="es-ES"/>
        </w:rPr>
        <w:t>Disconnector</w:t>
      </w:r>
      <w:proofErr w:type="spellEnd"/>
      <w:r w:rsidR="00B276FF">
        <w:rPr>
          <w:rFonts w:ascii="Arial" w:eastAsia="Times New Roman" w:hAnsi="Arial" w:cs="Times New Roman"/>
          <w:sz w:val="24"/>
          <w:szCs w:val="20"/>
          <w:lang w:val="es-MX" w:eastAsia="es-ES"/>
        </w:rPr>
        <w:t xml:space="preserve"> Co. </w:t>
      </w:r>
      <w:proofErr w:type="spellStart"/>
      <w:r w:rsidR="00B276FF">
        <w:rPr>
          <w:rFonts w:ascii="Arial" w:eastAsia="Times New Roman" w:hAnsi="Arial" w:cs="Times New Roman"/>
          <w:sz w:val="24"/>
          <w:szCs w:val="20"/>
          <w:lang w:val="es-MX" w:eastAsia="es-ES"/>
        </w:rPr>
        <w:t>Ltd</w:t>
      </w:r>
      <w:proofErr w:type="spellEnd"/>
      <w:r w:rsidR="00B276FF">
        <w:rPr>
          <w:rFonts w:ascii="Arial" w:eastAsia="Times New Roman" w:hAnsi="Arial" w:cs="Times New Roman"/>
          <w:sz w:val="24"/>
          <w:szCs w:val="20"/>
          <w:lang w:val="es-MX" w:eastAsia="es-ES"/>
        </w:rPr>
        <w:t xml:space="preserve"> por la suma </w:t>
      </w:r>
      <w:r w:rsidR="00B276FF">
        <w:rPr>
          <w:rFonts w:ascii="Arial" w:eastAsia="Times New Roman" w:hAnsi="Arial" w:cs="Times New Roman"/>
          <w:sz w:val="24"/>
          <w:szCs w:val="20"/>
          <w:lang w:eastAsia="es-ES"/>
        </w:rPr>
        <w:t>de $</w:t>
      </w:r>
      <w:r w:rsidR="00B276FF" w:rsidRPr="00134512">
        <w:rPr>
          <w:rFonts w:ascii="Arial" w:eastAsia="Times New Roman" w:hAnsi="Arial" w:cs="Times New Roman"/>
          <w:sz w:val="24"/>
          <w:szCs w:val="20"/>
          <w:lang w:eastAsia="es-ES"/>
        </w:rPr>
        <w:t>53:579.718,34, equivalente a U$S 2:086.437,63</w:t>
      </w:r>
      <w:r w:rsidR="00B276FF">
        <w:rPr>
          <w:rFonts w:ascii="Arial" w:eastAsia="Times New Roman" w:hAnsi="Arial" w:cs="Times New Roman"/>
          <w:sz w:val="24"/>
          <w:szCs w:val="20"/>
          <w:lang w:eastAsia="es-ES"/>
        </w:rPr>
        <w:t>;</w:t>
      </w:r>
    </w:p>
    <w:p w:rsidR="00B276FF" w:rsidRDefault="00B276FF" w:rsidP="004974B3">
      <w:pPr>
        <w:spacing w:after="0" w:line="360" w:lineRule="auto"/>
        <w:ind w:firstLine="2835"/>
        <w:jc w:val="both"/>
        <w:rPr>
          <w:rFonts w:ascii="Arial" w:eastAsia="Times New Roman" w:hAnsi="Arial" w:cs="Arial"/>
          <w:b/>
          <w:sz w:val="24"/>
          <w:szCs w:val="20"/>
          <w:lang w:val="es-MX" w:eastAsia="es-ES"/>
        </w:rPr>
      </w:pPr>
      <w:r w:rsidRPr="00B276FF">
        <w:rPr>
          <w:rFonts w:ascii="Arial" w:eastAsia="Times New Roman" w:hAnsi="Arial" w:cs="Times New Roman"/>
          <w:b/>
          <w:sz w:val="24"/>
          <w:szCs w:val="20"/>
          <w:lang w:eastAsia="es-ES"/>
        </w:rPr>
        <w:t>2)</w:t>
      </w:r>
      <w:r>
        <w:rPr>
          <w:rFonts w:ascii="Arial" w:eastAsia="Times New Roman" w:hAnsi="Arial" w:cs="Times New Roman"/>
          <w:sz w:val="24"/>
          <w:szCs w:val="20"/>
          <w:lang w:eastAsia="es-ES"/>
        </w:rPr>
        <w:t xml:space="preserve"> que </w:t>
      </w:r>
      <w:r w:rsidR="003F0D46">
        <w:rPr>
          <w:rFonts w:ascii="Arial" w:eastAsia="Times New Roman" w:hAnsi="Arial" w:cs="Times New Roman"/>
          <w:sz w:val="24"/>
          <w:szCs w:val="20"/>
          <w:lang w:eastAsia="es-ES"/>
        </w:rPr>
        <w:t xml:space="preserve">el gasto fue observado por este Tribunal </w:t>
      </w:r>
      <w:r>
        <w:rPr>
          <w:rFonts w:ascii="Arial" w:eastAsia="Times New Roman" w:hAnsi="Arial" w:cs="Times New Roman"/>
          <w:sz w:val="24"/>
          <w:szCs w:val="20"/>
          <w:lang w:eastAsia="es-ES"/>
        </w:rPr>
        <w:t xml:space="preserve">en Sesión de fecha </w:t>
      </w:r>
      <w:r w:rsidR="003F0D46">
        <w:rPr>
          <w:rFonts w:ascii="Arial" w:eastAsia="Times New Roman" w:hAnsi="Arial" w:cs="Times New Roman"/>
          <w:sz w:val="24"/>
          <w:szCs w:val="20"/>
          <w:lang w:eastAsia="es-ES"/>
        </w:rPr>
        <w:t>24</w:t>
      </w:r>
      <w:r w:rsidR="007642ED">
        <w:rPr>
          <w:rFonts w:ascii="Arial" w:eastAsia="Times New Roman" w:hAnsi="Arial" w:cs="Times New Roman"/>
          <w:sz w:val="24"/>
          <w:szCs w:val="20"/>
          <w:lang w:eastAsia="es-ES"/>
        </w:rPr>
        <w:t>/</w:t>
      </w:r>
      <w:r w:rsidR="003F0D46">
        <w:rPr>
          <w:rFonts w:ascii="Arial" w:eastAsia="Times New Roman" w:hAnsi="Arial" w:cs="Times New Roman"/>
          <w:sz w:val="24"/>
          <w:szCs w:val="20"/>
          <w:lang w:eastAsia="es-ES"/>
        </w:rPr>
        <w:t>02</w:t>
      </w:r>
      <w:r w:rsidR="007642ED">
        <w:rPr>
          <w:rFonts w:ascii="Arial" w:eastAsia="Times New Roman" w:hAnsi="Arial" w:cs="Times New Roman"/>
          <w:sz w:val="24"/>
          <w:szCs w:val="20"/>
          <w:lang w:eastAsia="es-ES"/>
        </w:rPr>
        <w:t>/</w:t>
      </w:r>
      <w:r w:rsidR="003F0D46">
        <w:rPr>
          <w:rFonts w:ascii="Arial" w:eastAsia="Times New Roman" w:hAnsi="Arial" w:cs="Times New Roman"/>
          <w:sz w:val="24"/>
          <w:szCs w:val="20"/>
          <w:lang w:eastAsia="es-ES"/>
        </w:rPr>
        <w:t xml:space="preserve">16, </w:t>
      </w:r>
      <w:r w:rsidR="00DB2925">
        <w:rPr>
          <w:rFonts w:ascii="Arial" w:eastAsia="Times New Roman" w:hAnsi="Arial" w:cs="Times New Roman"/>
          <w:sz w:val="24"/>
          <w:szCs w:val="20"/>
          <w:lang w:eastAsia="es-ES"/>
        </w:rPr>
        <w:t>en razón de</w:t>
      </w:r>
      <w:r w:rsidR="003F0D46">
        <w:rPr>
          <w:rFonts w:ascii="Arial" w:eastAsia="Times New Roman" w:hAnsi="Arial" w:cs="Times New Roman"/>
          <w:sz w:val="24"/>
          <w:szCs w:val="20"/>
          <w:lang w:eastAsia="es-ES"/>
        </w:rPr>
        <w:t xml:space="preserve"> que:</w:t>
      </w:r>
    </w:p>
    <w:p w:rsidR="00B276FF" w:rsidRDefault="003F0D46" w:rsidP="004974B3">
      <w:pPr>
        <w:spacing w:after="0" w:line="360" w:lineRule="auto"/>
        <w:jc w:val="both"/>
        <w:rPr>
          <w:rFonts w:ascii="Arial" w:eastAsia="Times New Roman" w:hAnsi="Arial" w:cs="Times New Roman"/>
          <w:sz w:val="24"/>
          <w:szCs w:val="20"/>
          <w:lang w:eastAsia="es-ES"/>
        </w:rPr>
      </w:pPr>
      <w:r>
        <w:rPr>
          <w:rFonts w:ascii="Arial" w:eastAsia="Times New Roman" w:hAnsi="Arial" w:cs="Arial"/>
          <w:b/>
          <w:sz w:val="24"/>
          <w:szCs w:val="20"/>
          <w:lang w:val="es-MX" w:eastAsia="es-ES"/>
        </w:rPr>
        <w:t>2.1</w:t>
      </w:r>
      <w:r w:rsidR="00B276FF" w:rsidRPr="002704BC">
        <w:rPr>
          <w:rFonts w:ascii="Arial" w:eastAsia="Times New Roman" w:hAnsi="Arial" w:cs="Times New Roman"/>
          <w:b/>
          <w:sz w:val="24"/>
          <w:szCs w:val="20"/>
          <w:lang w:eastAsia="es-ES"/>
        </w:rPr>
        <w:t>)</w:t>
      </w:r>
      <w:r w:rsidR="00B276FF">
        <w:rPr>
          <w:rFonts w:ascii="Arial" w:eastAsia="Times New Roman" w:hAnsi="Arial" w:cs="Times New Roman"/>
          <w:sz w:val="24"/>
          <w:szCs w:val="20"/>
          <w:lang w:eastAsia="es-ES"/>
        </w:rPr>
        <w:t xml:space="preserve"> con fecha </w:t>
      </w:r>
      <w:r w:rsidR="00AB3A66">
        <w:rPr>
          <w:rFonts w:ascii="Arial" w:eastAsia="Times New Roman" w:hAnsi="Arial" w:cs="Times New Roman"/>
          <w:sz w:val="24"/>
          <w:szCs w:val="20"/>
          <w:lang w:val="es-MX" w:eastAsia="es-ES"/>
        </w:rPr>
        <w:t>11</w:t>
      </w:r>
      <w:r w:rsidR="007642ED">
        <w:rPr>
          <w:rFonts w:ascii="Arial" w:eastAsia="Times New Roman" w:hAnsi="Arial" w:cs="Times New Roman"/>
          <w:sz w:val="24"/>
          <w:szCs w:val="20"/>
          <w:lang w:val="es-MX" w:eastAsia="es-ES"/>
        </w:rPr>
        <w:t>/</w:t>
      </w:r>
      <w:r w:rsidR="00AB3A66">
        <w:rPr>
          <w:rFonts w:ascii="Arial" w:eastAsia="Times New Roman" w:hAnsi="Arial" w:cs="Times New Roman"/>
          <w:sz w:val="24"/>
          <w:szCs w:val="20"/>
          <w:lang w:val="es-MX" w:eastAsia="es-ES"/>
        </w:rPr>
        <w:t>01</w:t>
      </w:r>
      <w:r w:rsidR="007642ED">
        <w:rPr>
          <w:rFonts w:ascii="Arial" w:eastAsia="Times New Roman" w:hAnsi="Arial" w:cs="Times New Roman"/>
          <w:sz w:val="24"/>
          <w:szCs w:val="20"/>
          <w:lang w:val="es-MX" w:eastAsia="es-ES"/>
        </w:rPr>
        <w:t>/</w:t>
      </w:r>
      <w:r w:rsidR="00AB3A66">
        <w:rPr>
          <w:rFonts w:ascii="Arial" w:eastAsia="Times New Roman" w:hAnsi="Arial" w:cs="Times New Roman"/>
          <w:sz w:val="24"/>
          <w:szCs w:val="20"/>
          <w:lang w:val="es-MX" w:eastAsia="es-ES"/>
        </w:rPr>
        <w:t xml:space="preserve">16, </w:t>
      </w:r>
      <w:r w:rsidR="00B276FF" w:rsidRPr="002704BC">
        <w:rPr>
          <w:rFonts w:ascii="Arial" w:eastAsia="Times New Roman" w:hAnsi="Arial" w:cs="Times New Roman"/>
          <w:sz w:val="24"/>
          <w:szCs w:val="20"/>
          <w:lang w:eastAsia="es-ES"/>
        </w:rPr>
        <w:t>la Comisión Asesora realizó</w:t>
      </w:r>
      <w:r w:rsidR="00B276FF">
        <w:rPr>
          <w:rFonts w:ascii="Arial" w:eastAsia="Times New Roman" w:hAnsi="Arial" w:cs="Times New Roman"/>
          <w:sz w:val="24"/>
          <w:szCs w:val="20"/>
          <w:lang w:eastAsia="es-ES"/>
        </w:rPr>
        <w:t xml:space="preserve"> un cuadro comparativo de precios </w:t>
      </w:r>
      <w:r w:rsidR="00B276FF" w:rsidRPr="002704BC">
        <w:rPr>
          <w:rFonts w:ascii="Arial" w:eastAsia="Times New Roman" w:hAnsi="Arial" w:cs="Times New Roman"/>
          <w:sz w:val="24"/>
          <w:szCs w:val="20"/>
          <w:lang w:eastAsia="es-ES"/>
        </w:rPr>
        <w:t xml:space="preserve">de </w:t>
      </w:r>
      <w:r w:rsidR="00B276FF">
        <w:rPr>
          <w:rFonts w:ascii="Arial" w:eastAsia="Times New Roman" w:hAnsi="Arial" w:cs="Times New Roman"/>
          <w:sz w:val="24"/>
          <w:szCs w:val="20"/>
          <w:lang w:eastAsia="es-ES"/>
        </w:rPr>
        <w:t>las ofertas presentadas, no obstante, en lo relativo al estudio</w:t>
      </w:r>
      <w:r w:rsidR="00AB3A66">
        <w:rPr>
          <w:rFonts w:ascii="Arial" w:eastAsia="Times New Roman" w:hAnsi="Arial" w:cs="Times New Roman"/>
          <w:sz w:val="24"/>
          <w:szCs w:val="20"/>
          <w:lang w:eastAsia="es-ES"/>
        </w:rPr>
        <w:t xml:space="preserve"> de admisibilidad de las mismas,</w:t>
      </w:r>
      <w:r w:rsidR="00B276FF">
        <w:rPr>
          <w:rFonts w:ascii="Arial" w:eastAsia="Times New Roman" w:hAnsi="Arial" w:cs="Times New Roman"/>
          <w:sz w:val="24"/>
          <w:szCs w:val="20"/>
          <w:lang w:eastAsia="es-ES"/>
        </w:rPr>
        <w:t xml:space="preserve"> </w:t>
      </w:r>
      <w:r w:rsidR="00AB3A66">
        <w:rPr>
          <w:rFonts w:ascii="Arial" w:eastAsia="Times New Roman" w:hAnsi="Arial" w:cs="Times New Roman"/>
          <w:sz w:val="24"/>
          <w:szCs w:val="20"/>
          <w:lang w:eastAsia="es-ES"/>
        </w:rPr>
        <w:t xml:space="preserve">únicamente se </w:t>
      </w:r>
      <w:r w:rsidR="00B276FF" w:rsidRPr="002704BC">
        <w:rPr>
          <w:rFonts w:ascii="Arial" w:eastAsia="Times New Roman" w:hAnsi="Arial" w:cs="Times New Roman"/>
          <w:sz w:val="24"/>
          <w:szCs w:val="20"/>
          <w:lang w:eastAsia="es-ES"/>
        </w:rPr>
        <w:t>expidi</w:t>
      </w:r>
      <w:r w:rsidR="00B276FF">
        <w:rPr>
          <w:rFonts w:ascii="Arial" w:eastAsia="Times New Roman" w:hAnsi="Arial" w:cs="Times New Roman"/>
          <w:sz w:val="24"/>
          <w:szCs w:val="20"/>
          <w:lang w:eastAsia="es-ES"/>
        </w:rPr>
        <w:t>ó</w:t>
      </w:r>
      <w:r w:rsidR="00B276FF" w:rsidRPr="002704BC">
        <w:rPr>
          <w:rFonts w:ascii="Arial" w:eastAsia="Times New Roman" w:hAnsi="Arial" w:cs="Times New Roman"/>
          <w:sz w:val="24"/>
          <w:szCs w:val="20"/>
          <w:lang w:eastAsia="es-ES"/>
        </w:rPr>
        <w:t xml:space="preserve"> sobre la </w:t>
      </w:r>
      <w:r>
        <w:rPr>
          <w:rFonts w:ascii="Arial" w:eastAsia="Times New Roman" w:hAnsi="Arial" w:cs="Times New Roman"/>
          <w:sz w:val="24"/>
          <w:szCs w:val="20"/>
          <w:lang w:eastAsia="es-ES"/>
        </w:rPr>
        <w:t>adjudicataria,</w:t>
      </w:r>
      <w:r w:rsidR="00B276FF">
        <w:rPr>
          <w:rFonts w:ascii="Arial" w:eastAsia="Times New Roman" w:hAnsi="Arial" w:cs="Times New Roman"/>
          <w:sz w:val="24"/>
          <w:szCs w:val="20"/>
          <w:lang w:eastAsia="es-ES"/>
        </w:rPr>
        <w:t xml:space="preserve"> que cotizó el precio más bajo.</w:t>
      </w:r>
      <w:r w:rsidR="00AB3A66">
        <w:rPr>
          <w:rFonts w:ascii="Arial" w:eastAsia="Times New Roman" w:hAnsi="Arial" w:cs="Times New Roman"/>
          <w:sz w:val="24"/>
          <w:szCs w:val="20"/>
          <w:lang w:eastAsia="es-ES"/>
        </w:rPr>
        <w:t xml:space="preserve"> </w:t>
      </w:r>
      <w:r w:rsidR="008A6CD7">
        <w:rPr>
          <w:rFonts w:ascii="Arial" w:eastAsia="Times New Roman" w:hAnsi="Arial" w:cs="Times New Roman"/>
          <w:sz w:val="24"/>
          <w:szCs w:val="20"/>
          <w:lang w:eastAsia="es-ES"/>
        </w:rPr>
        <w:t>La</w:t>
      </w:r>
      <w:r w:rsidR="00B276FF">
        <w:rPr>
          <w:rFonts w:ascii="Arial" w:eastAsia="Times New Roman" w:hAnsi="Arial" w:cs="Times New Roman"/>
          <w:sz w:val="24"/>
          <w:szCs w:val="20"/>
          <w:lang w:eastAsia="es-ES"/>
        </w:rPr>
        <w:t xml:space="preserve"> comparación de precios corre</w:t>
      </w:r>
      <w:r w:rsidR="00AB3A66">
        <w:rPr>
          <w:rFonts w:ascii="Arial" w:eastAsia="Times New Roman" w:hAnsi="Arial" w:cs="Times New Roman"/>
          <w:sz w:val="24"/>
          <w:szCs w:val="20"/>
          <w:lang w:eastAsia="es-ES"/>
        </w:rPr>
        <w:t xml:space="preserve">sponde a una etapa posterior a la del </w:t>
      </w:r>
      <w:r w:rsidR="00B276FF">
        <w:rPr>
          <w:rFonts w:ascii="Arial" w:eastAsia="Times New Roman" w:hAnsi="Arial" w:cs="Times New Roman"/>
          <w:sz w:val="24"/>
          <w:szCs w:val="20"/>
          <w:lang w:eastAsia="es-ES"/>
        </w:rPr>
        <w:t xml:space="preserve">estudio </w:t>
      </w:r>
      <w:r w:rsidR="008A6CD7">
        <w:rPr>
          <w:rFonts w:ascii="Arial" w:eastAsia="Times New Roman" w:hAnsi="Arial" w:cs="Times New Roman"/>
          <w:sz w:val="24"/>
          <w:szCs w:val="20"/>
          <w:lang w:eastAsia="es-ES"/>
        </w:rPr>
        <w:t>de admisibilidad de las ofertas,</w:t>
      </w:r>
      <w:r w:rsidR="00AB3A66">
        <w:rPr>
          <w:rFonts w:ascii="Arial" w:eastAsia="Times New Roman" w:hAnsi="Arial" w:cs="Times New Roman"/>
          <w:sz w:val="24"/>
          <w:szCs w:val="20"/>
          <w:lang w:eastAsia="es-ES"/>
        </w:rPr>
        <w:t xml:space="preserve"> por lo que, de conformidad con </w:t>
      </w:r>
      <w:r w:rsidR="00B276FF">
        <w:rPr>
          <w:rFonts w:ascii="Arial" w:eastAsia="Times New Roman" w:hAnsi="Arial" w:cs="Times New Roman"/>
          <w:sz w:val="24"/>
          <w:szCs w:val="20"/>
          <w:lang w:eastAsia="es-ES"/>
        </w:rPr>
        <w:t xml:space="preserve">el principio de preclusión, no puede continuarse con la evaluación de las mismas en cuanto no se produzca el agotamiento de la etapa </w:t>
      </w:r>
      <w:r w:rsidR="00AB3A66">
        <w:rPr>
          <w:rFonts w:ascii="Arial" w:eastAsia="Times New Roman" w:hAnsi="Arial" w:cs="Times New Roman"/>
          <w:sz w:val="24"/>
          <w:szCs w:val="20"/>
          <w:lang w:eastAsia="es-ES"/>
        </w:rPr>
        <w:t>a</w:t>
      </w:r>
      <w:r w:rsidR="008A6CD7">
        <w:rPr>
          <w:rFonts w:ascii="Arial" w:eastAsia="Times New Roman" w:hAnsi="Arial" w:cs="Times New Roman"/>
          <w:sz w:val="24"/>
          <w:szCs w:val="20"/>
          <w:lang w:eastAsia="es-ES"/>
        </w:rPr>
        <w:t xml:space="preserve">nterior. En consecuencia, </w:t>
      </w:r>
      <w:r w:rsidR="00B276FF">
        <w:rPr>
          <w:rFonts w:ascii="Arial" w:eastAsia="Times New Roman" w:hAnsi="Arial" w:cs="Times New Roman"/>
          <w:sz w:val="24"/>
          <w:szCs w:val="20"/>
          <w:lang w:eastAsia="es-ES"/>
        </w:rPr>
        <w:t xml:space="preserve">se contravino el orden dispuesto en el </w:t>
      </w:r>
      <w:r w:rsidR="007642ED">
        <w:rPr>
          <w:rFonts w:ascii="Arial" w:eastAsia="Times New Roman" w:hAnsi="Arial" w:cs="Times New Roman"/>
          <w:sz w:val="24"/>
          <w:szCs w:val="20"/>
          <w:lang w:eastAsia="es-ES"/>
        </w:rPr>
        <w:t>A</w:t>
      </w:r>
      <w:r w:rsidR="00B276FF">
        <w:rPr>
          <w:rFonts w:ascii="Arial" w:eastAsia="Times New Roman" w:hAnsi="Arial" w:cs="Times New Roman"/>
          <w:sz w:val="24"/>
          <w:szCs w:val="20"/>
          <w:lang w:eastAsia="es-ES"/>
        </w:rPr>
        <w:t>rtículo 66 del TOCAF;</w:t>
      </w:r>
    </w:p>
    <w:p w:rsidR="00B276FF" w:rsidRDefault="008A6CD7" w:rsidP="004974B3">
      <w:pPr>
        <w:spacing w:after="0" w:line="360" w:lineRule="auto"/>
        <w:jc w:val="both"/>
        <w:rPr>
          <w:rFonts w:ascii="Arial" w:eastAsia="Times New Roman" w:hAnsi="Arial" w:cs="Times New Roman"/>
          <w:sz w:val="24"/>
          <w:szCs w:val="20"/>
          <w:lang w:eastAsia="es-ES"/>
        </w:rPr>
      </w:pPr>
      <w:r w:rsidRPr="008A6CD7">
        <w:rPr>
          <w:rFonts w:ascii="Arial" w:eastAsia="Times New Roman" w:hAnsi="Arial" w:cs="Times New Roman"/>
          <w:b/>
          <w:sz w:val="24"/>
          <w:szCs w:val="20"/>
          <w:lang w:eastAsia="es-ES"/>
        </w:rPr>
        <w:t>2.2)</w:t>
      </w:r>
      <w:r w:rsidR="00B276FF">
        <w:rPr>
          <w:rFonts w:ascii="Arial" w:eastAsia="Times New Roman" w:hAnsi="Arial" w:cs="Times New Roman"/>
          <w:sz w:val="24"/>
          <w:szCs w:val="20"/>
          <w:lang w:eastAsia="es-ES"/>
        </w:rPr>
        <w:t xml:space="preserve"> las bases del llamado contradicen los </w:t>
      </w:r>
      <w:r w:rsidR="007642ED">
        <w:rPr>
          <w:rFonts w:ascii="Arial" w:eastAsia="Times New Roman" w:hAnsi="Arial" w:cs="Times New Roman"/>
          <w:sz w:val="24"/>
          <w:szCs w:val="20"/>
          <w:lang w:eastAsia="es-ES"/>
        </w:rPr>
        <w:t>A</w:t>
      </w:r>
      <w:r w:rsidR="00B276FF">
        <w:rPr>
          <w:rFonts w:ascii="Arial" w:eastAsia="Times New Roman" w:hAnsi="Arial" w:cs="Times New Roman"/>
          <w:sz w:val="24"/>
          <w:szCs w:val="20"/>
          <w:lang w:eastAsia="es-ES"/>
        </w:rPr>
        <w:t xml:space="preserve">rtículos 46 </w:t>
      </w:r>
      <w:r w:rsidR="007642ED">
        <w:rPr>
          <w:rFonts w:ascii="Arial" w:eastAsia="Times New Roman" w:hAnsi="Arial" w:cs="Times New Roman"/>
          <w:sz w:val="24"/>
          <w:szCs w:val="20"/>
          <w:lang w:eastAsia="es-ES"/>
        </w:rPr>
        <w:t>N</w:t>
      </w:r>
      <w:r w:rsidR="00B276FF">
        <w:rPr>
          <w:rFonts w:ascii="Arial" w:eastAsia="Times New Roman" w:hAnsi="Arial" w:cs="Times New Roman"/>
          <w:sz w:val="24"/>
          <w:szCs w:val="20"/>
          <w:lang w:eastAsia="es-ES"/>
        </w:rPr>
        <w:t>umeral 3) y 76 del TOCAF relativos a la inscripción de los proveedores del Estado en el</w:t>
      </w:r>
      <w:r w:rsidR="001C174B">
        <w:rPr>
          <w:rFonts w:ascii="Arial" w:eastAsia="Times New Roman" w:hAnsi="Arial" w:cs="Times New Roman"/>
          <w:sz w:val="24"/>
          <w:szCs w:val="20"/>
          <w:lang w:eastAsia="es-ES"/>
        </w:rPr>
        <w:t xml:space="preserve"> </w:t>
      </w:r>
      <w:r w:rsidR="001C174B" w:rsidRPr="008A109E">
        <w:rPr>
          <w:rFonts w:ascii="Arial" w:eastAsia="Times New Roman" w:hAnsi="Arial" w:cs="Times New Roman"/>
          <w:sz w:val="24"/>
          <w:szCs w:val="20"/>
          <w:lang w:eastAsia="es-ES"/>
        </w:rPr>
        <w:t xml:space="preserve">Registro </w:t>
      </w:r>
      <w:r w:rsidR="001C174B" w:rsidRPr="008A109E">
        <w:rPr>
          <w:rFonts w:ascii="Arial" w:eastAsia="Times New Roman" w:hAnsi="Arial" w:cs="Times New Roman"/>
          <w:sz w:val="24"/>
          <w:szCs w:val="20"/>
          <w:lang w:eastAsia="es-ES"/>
        </w:rPr>
        <w:lastRenderedPageBreak/>
        <w:t>Único de Proveedores del Estado</w:t>
      </w:r>
      <w:r w:rsidR="00B276FF">
        <w:rPr>
          <w:rFonts w:ascii="Arial" w:eastAsia="Times New Roman" w:hAnsi="Arial" w:cs="Times New Roman"/>
          <w:sz w:val="24"/>
          <w:szCs w:val="20"/>
          <w:lang w:eastAsia="es-ES"/>
        </w:rPr>
        <w:t xml:space="preserve"> </w:t>
      </w:r>
      <w:r w:rsidR="001C174B">
        <w:rPr>
          <w:rFonts w:ascii="Arial" w:eastAsia="Times New Roman" w:hAnsi="Arial" w:cs="Times New Roman"/>
          <w:sz w:val="24"/>
          <w:szCs w:val="20"/>
          <w:lang w:eastAsia="es-ES"/>
        </w:rPr>
        <w:t>(</w:t>
      </w:r>
      <w:r w:rsidR="00B276FF">
        <w:rPr>
          <w:rFonts w:ascii="Arial" w:eastAsia="Times New Roman" w:hAnsi="Arial" w:cs="Times New Roman"/>
          <w:sz w:val="24"/>
          <w:szCs w:val="20"/>
          <w:lang w:eastAsia="es-ES"/>
        </w:rPr>
        <w:t>RUPE</w:t>
      </w:r>
      <w:r w:rsidR="001C174B">
        <w:rPr>
          <w:rFonts w:ascii="Arial" w:eastAsia="Times New Roman" w:hAnsi="Arial" w:cs="Times New Roman"/>
          <w:sz w:val="24"/>
          <w:szCs w:val="20"/>
          <w:lang w:eastAsia="es-ES"/>
        </w:rPr>
        <w:t>)</w:t>
      </w:r>
      <w:r w:rsidR="00B276FF">
        <w:rPr>
          <w:rFonts w:ascii="Arial" w:eastAsia="Times New Roman" w:hAnsi="Arial" w:cs="Times New Roman"/>
          <w:sz w:val="24"/>
          <w:szCs w:val="20"/>
          <w:lang w:eastAsia="es-ES"/>
        </w:rPr>
        <w:t xml:space="preserve">. En efecto, </w:t>
      </w:r>
      <w:r w:rsidR="00B276FF" w:rsidRPr="002704BC">
        <w:rPr>
          <w:rFonts w:ascii="Arial" w:eastAsia="Times New Roman" w:hAnsi="Arial" w:cs="Times New Roman"/>
          <w:sz w:val="24"/>
          <w:szCs w:val="20"/>
          <w:lang w:eastAsia="es-ES"/>
        </w:rPr>
        <w:t xml:space="preserve">el </w:t>
      </w:r>
      <w:r w:rsidR="007642ED">
        <w:rPr>
          <w:rFonts w:ascii="Arial" w:eastAsia="Times New Roman" w:hAnsi="Arial" w:cs="Times New Roman"/>
          <w:sz w:val="24"/>
          <w:szCs w:val="20"/>
          <w:lang w:eastAsia="es-ES"/>
        </w:rPr>
        <w:t>N</w:t>
      </w:r>
      <w:r w:rsidR="00B276FF">
        <w:rPr>
          <w:rFonts w:ascii="Arial" w:eastAsia="Times New Roman" w:hAnsi="Arial" w:cs="Times New Roman"/>
          <w:sz w:val="24"/>
          <w:szCs w:val="20"/>
          <w:lang w:eastAsia="es-ES"/>
        </w:rPr>
        <w:t>umeral 7.1 Parte II</w:t>
      </w:r>
      <w:r w:rsidR="00B276FF" w:rsidRPr="002704BC">
        <w:rPr>
          <w:rFonts w:ascii="Arial" w:eastAsia="Times New Roman" w:hAnsi="Arial" w:cs="Times New Roman"/>
          <w:sz w:val="24"/>
          <w:szCs w:val="20"/>
          <w:lang w:eastAsia="es-ES"/>
        </w:rPr>
        <w:t xml:space="preserve"> del Pliego de</w:t>
      </w:r>
      <w:r w:rsidR="00B276FF">
        <w:rPr>
          <w:rFonts w:ascii="Arial" w:eastAsia="Times New Roman" w:hAnsi="Arial" w:cs="Times New Roman"/>
          <w:sz w:val="24"/>
          <w:szCs w:val="20"/>
          <w:lang w:eastAsia="es-ES"/>
        </w:rPr>
        <w:t xml:space="preserve"> Condiciones  Particulares</w:t>
      </w:r>
      <w:r w:rsidR="001C174B">
        <w:rPr>
          <w:rFonts w:ascii="Arial" w:eastAsia="Times New Roman" w:hAnsi="Arial" w:cs="Times New Roman"/>
          <w:sz w:val="24"/>
          <w:szCs w:val="20"/>
          <w:lang w:eastAsia="es-ES"/>
        </w:rPr>
        <w:t>,</w:t>
      </w:r>
      <w:r w:rsidR="00B276FF">
        <w:rPr>
          <w:rFonts w:ascii="Arial" w:eastAsia="Times New Roman" w:hAnsi="Arial" w:cs="Times New Roman"/>
          <w:sz w:val="24"/>
          <w:szCs w:val="20"/>
          <w:lang w:eastAsia="es-ES"/>
        </w:rPr>
        <w:t xml:space="preserve"> </w:t>
      </w:r>
      <w:r w:rsidR="001C174B">
        <w:rPr>
          <w:rFonts w:ascii="Arial" w:eastAsia="Times New Roman" w:hAnsi="Arial" w:cs="Times New Roman"/>
          <w:sz w:val="24"/>
          <w:szCs w:val="20"/>
          <w:lang w:eastAsia="es-ES"/>
        </w:rPr>
        <w:t xml:space="preserve">bajo el acápite </w:t>
      </w:r>
      <w:r w:rsidR="00B276FF">
        <w:rPr>
          <w:rFonts w:ascii="Arial" w:eastAsia="Times New Roman" w:hAnsi="Arial" w:cs="Times New Roman"/>
          <w:sz w:val="24"/>
          <w:szCs w:val="20"/>
          <w:lang w:eastAsia="es-ES"/>
        </w:rPr>
        <w:t>“Apertura de ofertas”</w:t>
      </w:r>
      <w:r w:rsidR="001C174B">
        <w:rPr>
          <w:rFonts w:ascii="Arial" w:eastAsia="Times New Roman" w:hAnsi="Arial" w:cs="Times New Roman"/>
          <w:sz w:val="24"/>
          <w:szCs w:val="20"/>
          <w:lang w:eastAsia="es-ES"/>
        </w:rPr>
        <w:t xml:space="preserve">, establece </w:t>
      </w:r>
      <w:r w:rsidR="00B276FF">
        <w:rPr>
          <w:rFonts w:ascii="Arial" w:eastAsia="Times New Roman" w:hAnsi="Arial" w:cs="Times New Roman"/>
          <w:sz w:val="24"/>
          <w:szCs w:val="20"/>
          <w:lang w:eastAsia="es-ES"/>
        </w:rPr>
        <w:t>que “s</w:t>
      </w:r>
      <w:r w:rsidR="00B276FF" w:rsidRPr="002704BC">
        <w:rPr>
          <w:rFonts w:ascii="Arial" w:eastAsia="Times New Roman" w:hAnsi="Arial" w:cs="Times New Roman"/>
          <w:sz w:val="24"/>
          <w:szCs w:val="20"/>
          <w:lang w:eastAsia="es-ES"/>
        </w:rPr>
        <w:t>e</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controlará que las empresas oferentes se</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encue</w:t>
      </w:r>
      <w:r w:rsidR="00B276FF">
        <w:rPr>
          <w:rFonts w:ascii="Arial" w:eastAsia="Times New Roman" w:hAnsi="Arial" w:cs="Times New Roman"/>
          <w:sz w:val="24"/>
          <w:szCs w:val="20"/>
          <w:lang w:eastAsia="es-ES"/>
        </w:rPr>
        <w:t xml:space="preserve">ntren inscriptas en el Registro Único </w:t>
      </w:r>
      <w:r w:rsidR="00B276FF" w:rsidRPr="002704BC">
        <w:rPr>
          <w:rFonts w:ascii="Arial" w:eastAsia="Times New Roman" w:hAnsi="Arial" w:cs="Times New Roman"/>
          <w:sz w:val="24"/>
          <w:szCs w:val="20"/>
          <w:lang w:eastAsia="es-ES"/>
        </w:rPr>
        <w:t>de  Proveedores del Estado. En caso de que los oferentes no se</w:t>
      </w:r>
      <w:r w:rsidR="00B276FF">
        <w:rPr>
          <w:rFonts w:ascii="Arial" w:eastAsia="Times New Roman" w:hAnsi="Arial" w:cs="Times New Roman"/>
          <w:sz w:val="24"/>
          <w:szCs w:val="20"/>
          <w:lang w:eastAsia="es-ES"/>
        </w:rPr>
        <w:t xml:space="preserve"> e</w:t>
      </w:r>
      <w:r w:rsidR="00B276FF" w:rsidRPr="002704BC">
        <w:rPr>
          <w:rFonts w:ascii="Arial" w:eastAsia="Times New Roman" w:hAnsi="Arial" w:cs="Times New Roman"/>
          <w:sz w:val="24"/>
          <w:szCs w:val="20"/>
          <w:lang w:eastAsia="es-ES"/>
        </w:rPr>
        <w:t xml:space="preserve">ncuentren </w:t>
      </w:r>
      <w:r w:rsidR="00B276FF">
        <w:rPr>
          <w:rFonts w:ascii="Arial" w:eastAsia="Times New Roman" w:hAnsi="Arial" w:cs="Times New Roman"/>
          <w:sz w:val="24"/>
          <w:szCs w:val="20"/>
          <w:lang w:eastAsia="es-ES"/>
        </w:rPr>
        <w:t>i</w:t>
      </w:r>
      <w:r w:rsidR="00B276FF" w:rsidRPr="002704BC">
        <w:rPr>
          <w:rFonts w:ascii="Arial" w:eastAsia="Times New Roman" w:hAnsi="Arial" w:cs="Times New Roman"/>
          <w:sz w:val="24"/>
          <w:szCs w:val="20"/>
          <w:lang w:eastAsia="es-ES"/>
        </w:rPr>
        <w:t>nscriptos en dicho Registro, la Administración otorgará un plazo de</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 xml:space="preserve">2 días hábiles a fin de regularizar la situación. En caso de tratarse </w:t>
      </w:r>
      <w:r w:rsidR="00B276FF">
        <w:rPr>
          <w:rFonts w:ascii="Arial" w:eastAsia="Times New Roman" w:hAnsi="Arial" w:cs="Times New Roman"/>
          <w:sz w:val="24"/>
          <w:szCs w:val="20"/>
          <w:lang w:eastAsia="es-ES"/>
        </w:rPr>
        <w:t xml:space="preserve">de proveedores del </w:t>
      </w:r>
      <w:r w:rsidR="00B276FF" w:rsidRPr="002704BC">
        <w:rPr>
          <w:rFonts w:ascii="Arial" w:eastAsia="Times New Roman" w:hAnsi="Arial" w:cs="Times New Roman"/>
          <w:sz w:val="24"/>
          <w:szCs w:val="20"/>
          <w:lang w:eastAsia="es-ES"/>
        </w:rPr>
        <w:t xml:space="preserve">exterior, el plazo a dicho efecto, será </w:t>
      </w:r>
      <w:r w:rsidR="00B276FF">
        <w:rPr>
          <w:rFonts w:ascii="Arial" w:eastAsia="Times New Roman" w:hAnsi="Arial" w:cs="Times New Roman"/>
          <w:sz w:val="24"/>
          <w:szCs w:val="20"/>
          <w:lang w:eastAsia="es-ES"/>
        </w:rPr>
        <w:t xml:space="preserve">de 5 días hábiles”. </w:t>
      </w:r>
      <w:r w:rsidR="00506A39">
        <w:rPr>
          <w:rFonts w:ascii="Arial" w:eastAsia="Times New Roman" w:hAnsi="Arial" w:cs="Times New Roman"/>
          <w:sz w:val="24"/>
          <w:szCs w:val="20"/>
          <w:lang w:eastAsia="es-ES"/>
        </w:rPr>
        <w:t xml:space="preserve">De conformidad con </w:t>
      </w:r>
      <w:r w:rsidR="00B276FF">
        <w:rPr>
          <w:rFonts w:ascii="Arial" w:eastAsia="Times New Roman" w:hAnsi="Arial" w:cs="Times New Roman"/>
          <w:sz w:val="24"/>
          <w:szCs w:val="20"/>
          <w:lang w:eastAsia="es-ES"/>
        </w:rPr>
        <w:t>lo establecido en el TOCAF, los proveedores deben encontrarse inscriptos en RUPE al momento de la apertura de las ofertas y no después, por lo tanto, no corresponde el otorgamiento del plazo previsto en el Pliego de Condiciones Particulares para regularizar la situación;</w:t>
      </w:r>
    </w:p>
    <w:p w:rsidR="00B276FF" w:rsidRDefault="00506A39" w:rsidP="004974B3">
      <w:pPr>
        <w:spacing w:after="0" w:line="360" w:lineRule="auto"/>
        <w:jc w:val="both"/>
        <w:rPr>
          <w:rFonts w:ascii="Arial" w:eastAsia="Times New Roman" w:hAnsi="Arial" w:cs="Times New Roman"/>
          <w:sz w:val="24"/>
          <w:szCs w:val="20"/>
          <w:lang w:eastAsia="es-ES"/>
        </w:rPr>
      </w:pPr>
      <w:r w:rsidRPr="00506A39">
        <w:rPr>
          <w:rFonts w:ascii="Arial" w:eastAsia="Times New Roman" w:hAnsi="Arial" w:cs="Times New Roman"/>
          <w:b/>
          <w:sz w:val="24"/>
          <w:szCs w:val="20"/>
          <w:lang w:eastAsia="es-ES"/>
        </w:rPr>
        <w:t>2.3)</w:t>
      </w:r>
      <w:r w:rsidR="00B276FF">
        <w:rPr>
          <w:rFonts w:ascii="Arial" w:eastAsia="Times New Roman" w:hAnsi="Arial" w:cs="Times New Roman"/>
          <w:sz w:val="24"/>
          <w:szCs w:val="20"/>
          <w:lang w:eastAsia="es-ES"/>
        </w:rPr>
        <w:t xml:space="preserve"> el </w:t>
      </w:r>
      <w:r w:rsidR="007642ED">
        <w:rPr>
          <w:rFonts w:ascii="Arial" w:eastAsia="Times New Roman" w:hAnsi="Arial" w:cs="Times New Roman"/>
          <w:sz w:val="24"/>
          <w:szCs w:val="20"/>
          <w:lang w:eastAsia="es-ES"/>
        </w:rPr>
        <w:t>N</w:t>
      </w:r>
      <w:r w:rsidR="00B276FF">
        <w:rPr>
          <w:rFonts w:ascii="Arial" w:eastAsia="Times New Roman" w:hAnsi="Arial" w:cs="Times New Roman"/>
          <w:sz w:val="24"/>
          <w:szCs w:val="20"/>
          <w:lang w:eastAsia="es-ES"/>
        </w:rPr>
        <w:t xml:space="preserve">umeral 6.1 Parte II </w:t>
      </w:r>
      <w:r w:rsidR="00B276FF" w:rsidRPr="002704BC">
        <w:rPr>
          <w:rFonts w:ascii="Arial" w:eastAsia="Times New Roman" w:hAnsi="Arial" w:cs="Times New Roman"/>
          <w:sz w:val="24"/>
          <w:szCs w:val="20"/>
          <w:lang w:eastAsia="es-ES"/>
        </w:rPr>
        <w:t>del Pliego de Condiciones Particulares,</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bajo el acápite “M</w:t>
      </w:r>
      <w:r w:rsidR="00B276FF">
        <w:rPr>
          <w:rFonts w:ascii="Arial" w:eastAsia="Times New Roman" w:hAnsi="Arial" w:cs="Times New Roman"/>
          <w:sz w:val="24"/>
          <w:szCs w:val="20"/>
          <w:lang w:eastAsia="es-ES"/>
        </w:rPr>
        <w:t>antenimiento de Oferta</w:t>
      </w:r>
      <w:r w:rsidR="00B276FF" w:rsidRPr="002704BC">
        <w:rPr>
          <w:rFonts w:ascii="Arial" w:eastAsia="Times New Roman" w:hAnsi="Arial" w:cs="Times New Roman"/>
          <w:sz w:val="24"/>
          <w:szCs w:val="20"/>
          <w:lang w:eastAsia="es-ES"/>
        </w:rPr>
        <w:t>”</w:t>
      </w:r>
      <w:r w:rsidR="001C174B">
        <w:rPr>
          <w:rFonts w:ascii="Arial" w:eastAsia="Times New Roman" w:hAnsi="Arial" w:cs="Times New Roman"/>
          <w:sz w:val="24"/>
          <w:szCs w:val="20"/>
          <w:lang w:eastAsia="es-ES"/>
        </w:rPr>
        <w:t>,</w:t>
      </w:r>
      <w:r w:rsidR="00B276FF" w:rsidRPr="002704BC">
        <w:rPr>
          <w:rFonts w:ascii="Arial" w:eastAsia="Times New Roman" w:hAnsi="Arial" w:cs="Times New Roman"/>
          <w:sz w:val="24"/>
          <w:szCs w:val="20"/>
          <w:lang w:eastAsia="es-ES"/>
        </w:rPr>
        <w:t xml:space="preserve"> disp</w:t>
      </w:r>
      <w:r w:rsidR="00B276FF">
        <w:rPr>
          <w:rFonts w:ascii="Arial" w:eastAsia="Times New Roman" w:hAnsi="Arial" w:cs="Times New Roman"/>
          <w:sz w:val="24"/>
          <w:szCs w:val="20"/>
          <w:lang w:eastAsia="es-ES"/>
        </w:rPr>
        <w:t xml:space="preserve">one: </w:t>
      </w:r>
      <w:r w:rsidR="00B276FF" w:rsidRPr="002704BC">
        <w:rPr>
          <w:rFonts w:ascii="Arial" w:eastAsia="Times New Roman" w:hAnsi="Arial" w:cs="Times New Roman"/>
          <w:sz w:val="24"/>
          <w:szCs w:val="20"/>
          <w:lang w:eastAsia="es-ES"/>
        </w:rPr>
        <w:t>“No se podrán</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establecer cláusulas que condicionen el mantenimiento de la oferta en forma</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 xml:space="preserve">alguna o que indiquen otros plazos. </w:t>
      </w:r>
      <w:r w:rsidR="00B276FF" w:rsidRPr="00BA5250">
        <w:rPr>
          <w:rFonts w:ascii="Arial" w:eastAsia="Times New Roman" w:hAnsi="Arial" w:cs="Times New Roman"/>
          <w:sz w:val="24"/>
          <w:szCs w:val="20"/>
          <w:lang w:eastAsia="es-ES"/>
        </w:rPr>
        <w:t>Si esto ocurriera, esta Administración a su exclusivo juicio, podrá desestimar la oferta”</w:t>
      </w:r>
      <w:r w:rsidR="00B276FF" w:rsidRPr="002704BC">
        <w:rPr>
          <w:rFonts w:ascii="Arial" w:eastAsia="Times New Roman" w:hAnsi="Arial" w:cs="Times New Roman"/>
          <w:sz w:val="24"/>
          <w:szCs w:val="20"/>
          <w:lang w:eastAsia="es-ES"/>
        </w:rPr>
        <w:t xml:space="preserve">. </w:t>
      </w:r>
      <w:r w:rsidR="00B276FF">
        <w:rPr>
          <w:rFonts w:ascii="Arial" w:eastAsia="Times New Roman" w:hAnsi="Arial" w:cs="Times New Roman"/>
          <w:sz w:val="24"/>
          <w:szCs w:val="20"/>
          <w:lang w:eastAsia="es-ES"/>
        </w:rPr>
        <w:t>Esta norma habilita a los oferentes a apartarse de los requisitos de mantenimiento de oferta y al mismo tiempo, faculta a la Administr</w:t>
      </w:r>
      <w:r w:rsidR="001C174B">
        <w:rPr>
          <w:rFonts w:ascii="Arial" w:eastAsia="Times New Roman" w:hAnsi="Arial" w:cs="Times New Roman"/>
          <w:sz w:val="24"/>
          <w:szCs w:val="20"/>
          <w:lang w:eastAsia="es-ES"/>
        </w:rPr>
        <w:t>ación a rechazar propuestas, aunque</w:t>
      </w:r>
      <w:r w:rsidR="00B276FF">
        <w:rPr>
          <w:rFonts w:ascii="Arial" w:eastAsia="Times New Roman" w:hAnsi="Arial" w:cs="Times New Roman"/>
          <w:sz w:val="24"/>
          <w:szCs w:val="20"/>
          <w:lang w:eastAsia="es-ES"/>
        </w:rPr>
        <w:t xml:space="preserve"> sin basarse en parámetros objetivos para hacerlo, </w:t>
      </w:r>
      <w:r w:rsidR="001C174B">
        <w:rPr>
          <w:rFonts w:ascii="Arial" w:eastAsia="Times New Roman" w:hAnsi="Arial" w:cs="Times New Roman"/>
          <w:sz w:val="24"/>
          <w:szCs w:val="20"/>
          <w:lang w:eastAsia="es-ES"/>
        </w:rPr>
        <w:t>en contravención del</w:t>
      </w:r>
      <w:r w:rsidR="00B276FF">
        <w:rPr>
          <w:rFonts w:ascii="Arial" w:eastAsia="Times New Roman" w:hAnsi="Arial" w:cs="Times New Roman"/>
          <w:sz w:val="24"/>
          <w:szCs w:val="20"/>
          <w:lang w:eastAsia="es-ES"/>
        </w:rPr>
        <w:t xml:space="preserve"> principio de </w:t>
      </w:r>
      <w:r w:rsidR="00B276FF" w:rsidRPr="002704BC">
        <w:rPr>
          <w:rFonts w:ascii="Arial" w:eastAsia="Times New Roman" w:hAnsi="Arial" w:cs="Times New Roman"/>
          <w:sz w:val="24"/>
          <w:szCs w:val="20"/>
          <w:lang w:eastAsia="es-ES"/>
        </w:rPr>
        <w:t>estricto cumplimiento del Pliego de</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Condiciones</w:t>
      </w:r>
      <w:r w:rsidR="00B276FF">
        <w:rPr>
          <w:rFonts w:ascii="Arial" w:eastAsia="Times New Roman" w:hAnsi="Arial" w:cs="Times New Roman"/>
          <w:sz w:val="24"/>
          <w:szCs w:val="20"/>
          <w:lang w:eastAsia="es-ES"/>
        </w:rPr>
        <w:t xml:space="preserve"> Particulares</w:t>
      </w:r>
      <w:r w:rsidR="001C174B">
        <w:rPr>
          <w:rFonts w:ascii="Arial" w:eastAsia="Times New Roman" w:hAnsi="Arial" w:cs="Times New Roman"/>
          <w:sz w:val="24"/>
          <w:szCs w:val="20"/>
          <w:lang w:eastAsia="es-ES"/>
        </w:rPr>
        <w:t>,</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que deriva de los principios de legalidad</w:t>
      </w:r>
      <w:r w:rsidR="00B276FF">
        <w:rPr>
          <w:rFonts w:ascii="Arial" w:eastAsia="Times New Roman" w:hAnsi="Arial" w:cs="Times New Roman"/>
          <w:sz w:val="24"/>
          <w:szCs w:val="20"/>
          <w:lang w:eastAsia="es-ES"/>
        </w:rPr>
        <w:t>, transparencia</w:t>
      </w:r>
      <w:r w:rsidR="00B276FF" w:rsidRPr="002704BC">
        <w:rPr>
          <w:rFonts w:ascii="Arial" w:eastAsia="Times New Roman" w:hAnsi="Arial" w:cs="Times New Roman"/>
          <w:sz w:val="24"/>
          <w:szCs w:val="20"/>
          <w:lang w:eastAsia="es-ES"/>
        </w:rPr>
        <w:t xml:space="preserve"> e igualdad de los</w:t>
      </w:r>
      <w:r w:rsidR="00B276FF">
        <w:rPr>
          <w:rFonts w:ascii="Arial" w:eastAsia="Times New Roman" w:hAnsi="Arial" w:cs="Times New Roman"/>
          <w:sz w:val="24"/>
          <w:szCs w:val="20"/>
          <w:lang w:eastAsia="es-ES"/>
        </w:rPr>
        <w:t xml:space="preserve"> oferentes estipulados en el </w:t>
      </w:r>
      <w:r w:rsidR="007642ED">
        <w:rPr>
          <w:rFonts w:ascii="Arial" w:eastAsia="Times New Roman" w:hAnsi="Arial" w:cs="Times New Roman"/>
          <w:sz w:val="24"/>
          <w:szCs w:val="20"/>
          <w:lang w:eastAsia="es-ES"/>
        </w:rPr>
        <w:t>A</w:t>
      </w:r>
      <w:r w:rsidR="00B276FF">
        <w:rPr>
          <w:rFonts w:ascii="Arial" w:eastAsia="Times New Roman" w:hAnsi="Arial" w:cs="Times New Roman"/>
          <w:sz w:val="24"/>
          <w:szCs w:val="20"/>
          <w:lang w:eastAsia="es-ES"/>
        </w:rPr>
        <w:t xml:space="preserve">rtículo 149 </w:t>
      </w:r>
      <w:r w:rsidR="007642ED">
        <w:rPr>
          <w:rFonts w:ascii="Arial" w:eastAsia="Times New Roman" w:hAnsi="Arial" w:cs="Times New Roman"/>
          <w:sz w:val="24"/>
          <w:szCs w:val="20"/>
          <w:lang w:eastAsia="es-ES"/>
        </w:rPr>
        <w:t>L</w:t>
      </w:r>
      <w:r w:rsidR="00B276FF">
        <w:rPr>
          <w:rFonts w:ascii="Arial" w:eastAsia="Times New Roman" w:hAnsi="Arial" w:cs="Times New Roman"/>
          <w:sz w:val="24"/>
          <w:szCs w:val="20"/>
          <w:lang w:eastAsia="es-ES"/>
        </w:rPr>
        <w:t xml:space="preserve">iteral </w:t>
      </w:r>
      <w:r w:rsidR="00B276FF" w:rsidRPr="002704BC">
        <w:rPr>
          <w:rFonts w:ascii="Arial" w:eastAsia="Times New Roman" w:hAnsi="Arial" w:cs="Times New Roman"/>
          <w:sz w:val="24"/>
          <w:szCs w:val="20"/>
          <w:lang w:eastAsia="es-ES"/>
        </w:rPr>
        <w:t xml:space="preserve">B) del </w:t>
      </w:r>
      <w:r w:rsidR="00B276FF">
        <w:rPr>
          <w:rFonts w:ascii="Arial" w:eastAsia="Times New Roman" w:hAnsi="Arial" w:cs="Times New Roman"/>
          <w:sz w:val="24"/>
          <w:szCs w:val="20"/>
          <w:lang w:eastAsia="es-ES"/>
        </w:rPr>
        <w:t>TOCAF;</w:t>
      </w:r>
      <w:r w:rsidR="0070371A">
        <w:rPr>
          <w:rFonts w:ascii="Arial" w:eastAsia="Times New Roman" w:hAnsi="Arial" w:cs="Times New Roman"/>
          <w:sz w:val="24"/>
          <w:szCs w:val="20"/>
          <w:lang w:eastAsia="es-ES"/>
        </w:rPr>
        <w:t xml:space="preserve"> y</w:t>
      </w:r>
    </w:p>
    <w:p w:rsidR="00B276FF" w:rsidRDefault="00506A39" w:rsidP="004974B3">
      <w:pPr>
        <w:spacing w:after="0" w:line="360" w:lineRule="auto"/>
        <w:jc w:val="both"/>
        <w:rPr>
          <w:rFonts w:ascii="Arial" w:eastAsia="Times New Roman" w:hAnsi="Arial" w:cs="Times New Roman"/>
          <w:sz w:val="24"/>
          <w:szCs w:val="20"/>
          <w:lang w:eastAsia="es-ES"/>
        </w:rPr>
      </w:pPr>
      <w:r w:rsidRPr="00506A39">
        <w:rPr>
          <w:rFonts w:ascii="Arial" w:eastAsia="Times New Roman" w:hAnsi="Arial" w:cs="Times New Roman"/>
          <w:b/>
          <w:sz w:val="24"/>
          <w:szCs w:val="20"/>
          <w:lang w:eastAsia="es-ES"/>
        </w:rPr>
        <w:t>2.4</w:t>
      </w:r>
      <w:r w:rsidR="00B276FF" w:rsidRPr="00506A39">
        <w:rPr>
          <w:rFonts w:ascii="Arial" w:eastAsia="Times New Roman" w:hAnsi="Arial" w:cs="Times New Roman"/>
          <w:b/>
          <w:sz w:val="24"/>
          <w:szCs w:val="20"/>
          <w:lang w:eastAsia="es-ES"/>
        </w:rPr>
        <w:t>)</w:t>
      </w:r>
      <w:r w:rsidR="00B276FF">
        <w:rPr>
          <w:rFonts w:ascii="Arial" w:eastAsia="Times New Roman" w:hAnsi="Arial" w:cs="Times New Roman"/>
          <w:sz w:val="24"/>
          <w:szCs w:val="20"/>
          <w:lang w:eastAsia="es-ES"/>
        </w:rPr>
        <w:t xml:space="preserve"> de acuerdo al informe del Departamento de Registro y Control Presupuestal de fecha 11</w:t>
      </w:r>
      <w:r w:rsidR="007642ED">
        <w:rPr>
          <w:rFonts w:ascii="Arial" w:eastAsia="Times New Roman" w:hAnsi="Arial" w:cs="Times New Roman"/>
          <w:sz w:val="24"/>
          <w:szCs w:val="20"/>
          <w:lang w:eastAsia="es-ES"/>
        </w:rPr>
        <w:t>/</w:t>
      </w:r>
      <w:r w:rsidR="00B276FF">
        <w:rPr>
          <w:rFonts w:ascii="Arial" w:eastAsia="Times New Roman" w:hAnsi="Arial" w:cs="Times New Roman"/>
          <w:sz w:val="24"/>
          <w:szCs w:val="20"/>
          <w:lang w:eastAsia="es-ES"/>
        </w:rPr>
        <w:t>01</w:t>
      </w:r>
      <w:r w:rsidR="007642ED">
        <w:rPr>
          <w:rFonts w:ascii="Arial" w:eastAsia="Times New Roman" w:hAnsi="Arial" w:cs="Times New Roman"/>
          <w:sz w:val="24"/>
          <w:szCs w:val="20"/>
          <w:lang w:eastAsia="es-ES"/>
        </w:rPr>
        <w:t>/</w:t>
      </w:r>
      <w:r w:rsidR="00B276FF">
        <w:rPr>
          <w:rFonts w:ascii="Arial" w:eastAsia="Times New Roman" w:hAnsi="Arial" w:cs="Times New Roman"/>
          <w:sz w:val="24"/>
          <w:szCs w:val="20"/>
          <w:lang w:eastAsia="es-ES"/>
        </w:rPr>
        <w:t xml:space="preserve">16, el Grupo 3 </w:t>
      </w:r>
      <w:r w:rsidR="00DB2925">
        <w:rPr>
          <w:rFonts w:ascii="Arial" w:eastAsia="Times New Roman" w:hAnsi="Arial" w:cs="Times New Roman"/>
          <w:sz w:val="24"/>
          <w:szCs w:val="20"/>
          <w:lang w:eastAsia="es-ES"/>
        </w:rPr>
        <w:t>fue</w:t>
      </w:r>
      <w:r w:rsidR="00B276FF">
        <w:rPr>
          <w:rFonts w:ascii="Arial" w:eastAsia="Times New Roman" w:hAnsi="Arial" w:cs="Times New Roman"/>
          <w:sz w:val="24"/>
          <w:szCs w:val="20"/>
          <w:lang w:eastAsia="es-ES"/>
        </w:rPr>
        <w:t xml:space="preserve"> imputado sin disponibilidad presupuestal suficiente para comprometer el monto de U$S 17.677,46 (neto de impuestos) en el Ejercicio 2016, </w:t>
      </w:r>
      <w:r w:rsidR="00B276FF" w:rsidRPr="002704BC">
        <w:rPr>
          <w:rFonts w:ascii="Arial" w:eastAsia="Times New Roman" w:hAnsi="Arial" w:cs="Times New Roman"/>
          <w:sz w:val="24"/>
          <w:szCs w:val="20"/>
          <w:lang w:eastAsia="es-ES"/>
        </w:rPr>
        <w:t>contraviniéndose lo</w:t>
      </w:r>
      <w:r w:rsidR="00B276FF">
        <w:rPr>
          <w:rFonts w:ascii="Arial" w:eastAsia="Times New Roman" w:hAnsi="Arial" w:cs="Times New Roman"/>
          <w:sz w:val="24"/>
          <w:szCs w:val="20"/>
          <w:lang w:eastAsia="es-ES"/>
        </w:rPr>
        <w:t xml:space="preserve"> </w:t>
      </w:r>
      <w:r w:rsidR="00B276FF" w:rsidRPr="002704BC">
        <w:rPr>
          <w:rFonts w:ascii="Arial" w:eastAsia="Times New Roman" w:hAnsi="Arial" w:cs="Times New Roman"/>
          <w:sz w:val="24"/>
          <w:szCs w:val="20"/>
          <w:lang w:eastAsia="es-ES"/>
        </w:rPr>
        <w:t>dispuesto en</w:t>
      </w:r>
      <w:r w:rsidR="00B276FF">
        <w:rPr>
          <w:rFonts w:ascii="Arial" w:eastAsia="Times New Roman" w:hAnsi="Arial" w:cs="Times New Roman"/>
          <w:sz w:val="24"/>
          <w:szCs w:val="20"/>
          <w:lang w:eastAsia="es-ES"/>
        </w:rPr>
        <w:t xml:space="preserve"> el </w:t>
      </w:r>
      <w:r w:rsidR="007642ED">
        <w:rPr>
          <w:rFonts w:ascii="Arial" w:eastAsia="Times New Roman" w:hAnsi="Arial" w:cs="Times New Roman"/>
          <w:sz w:val="24"/>
          <w:szCs w:val="20"/>
          <w:lang w:eastAsia="es-ES"/>
        </w:rPr>
        <w:t>A</w:t>
      </w:r>
      <w:r w:rsidR="00B276FF">
        <w:rPr>
          <w:rFonts w:ascii="Arial" w:eastAsia="Times New Roman" w:hAnsi="Arial" w:cs="Times New Roman"/>
          <w:sz w:val="24"/>
          <w:szCs w:val="20"/>
          <w:lang w:eastAsia="es-ES"/>
        </w:rPr>
        <w:t>rtículo</w:t>
      </w:r>
      <w:r w:rsidR="00B276FF" w:rsidRPr="002704BC">
        <w:rPr>
          <w:rFonts w:ascii="Arial" w:eastAsia="Times New Roman" w:hAnsi="Arial" w:cs="Times New Roman"/>
          <w:sz w:val="24"/>
          <w:szCs w:val="20"/>
          <w:lang w:eastAsia="es-ES"/>
        </w:rPr>
        <w:t xml:space="preserve"> 15 del </w:t>
      </w:r>
      <w:r w:rsidR="00B276FF">
        <w:rPr>
          <w:rFonts w:ascii="Arial" w:eastAsia="Times New Roman" w:hAnsi="Arial" w:cs="Times New Roman"/>
          <w:sz w:val="24"/>
          <w:szCs w:val="20"/>
          <w:lang w:eastAsia="es-ES"/>
        </w:rPr>
        <w:t>TOCAF;</w:t>
      </w:r>
    </w:p>
    <w:p w:rsidR="00506A39" w:rsidRDefault="00506A39" w:rsidP="004974B3">
      <w:pPr>
        <w:spacing w:after="0" w:line="360" w:lineRule="auto"/>
        <w:ind w:firstLine="2835"/>
        <w:jc w:val="both"/>
        <w:rPr>
          <w:rFonts w:ascii="Arial" w:eastAsia="Times New Roman" w:hAnsi="Arial" w:cs="Times New Roman"/>
          <w:sz w:val="24"/>
          <w:szCs w:val="20"/>
          <w:lang w:eastAsia="es-ES"/>
        </w:rPr>
      </w:pPr>
      <w:r w:rsidRPr="00506A39">
        <w:rPr>
          <w:rFonts w:ascii="Arial" w:eastAsia="Times New Roman" w:hAnsi="Arial" w:cs="Times New Roman"/>
          <w:b/>
          <w:sz w:val="24"/>
          <w:szCs w:val="20"/>
          <w:lang w:eastAsia="es-ES"/>
        </w:rPr>
        <w:t xml:space="preserve">3) </w:t>
      </w:r>
      <w:r>
        <w:rPr>
          <w:rFonts w:ascii="Arial" w:eastAsia="Times New Roman" w:hAnsi="Arial" w:cs="Times New Roman"/>
          <w:sz w:val="24"/>
          <w:szCs w:val="20"/>
          <w:lang w:eastAsia="es-ES"/>
        </w:rPr>
        <w:t>que por Resolución N° 16.-915 de fecha 28</w:t>
      </w:r>
      <w:r w:rsidR="007642ED">
        <w:rPr>
          <w:rFonts w:ascii="Arial" w:eastAsia="Times New Roman" w:hAnsi="Arial" w:cs="Times New Roman"/>
          <w:sz w:val="24"/>
          <w:szCs w:val="20"/>
          <w:lang w:eastAsia="es-ES"/>
        </w:rPr>
        <w:t>/</w:t>
      </w:r>
      <w:r>
        <w:rPr>
          <w:rFonts w:ascii="Arial" w:eastAsia="Times New Roman" w:hAnsi="Arial" w:cs="Times New Roman"/>
          <w:sz w:val="24"/>
          <w:szCs w:val="20"/>
          <w:lang w:eastAsia="es-ES"/>
        </w:rPr>
        <w:t>04</w:t>
      </w:r>
      <w:r w:rsidR="007642ED">
        <w:rPr>
          <w:rFonts w:ascii="Arial" w:eastAsia="Times New Roman" w:hAnsi="Arial" w:cs="Times New Roman"/>
          <w:sz w:val="24"/>
          <w:szCs w:val="20"/>
          <w:lang w:eastAsia="es-ES"/>
        </w:rPr>
        <w:t>/</w:t>
      </w:r>
      <w:r>
        <w:rPr>
          <w:rFonts w:ascii="Arial" w:eastAsia="Times New Roman" w:hAnsi="Arial" w:cs="Times New Roman"/>
          <w:sz w:val="24"/>
          <w:szCs w:val="20"/>
          <w:lang w:eastAsia="es-ES"/>
        </w:rPr>
        <w:t>16</w:t>
      </w:r>
      <w:r w:rsidR="0073517B">
        <w:rPr>
          <w:rFonts w:ascii="Arial" w:eastAsia="Times New Roman" w:hAnsi="Arial" w:cs="Times New Roman"/>
          <w:sz w:val="24"/>
          <w:szCs w:val="20"/>
          <w:lang w:eastAsia="es-ES"/>
        </w:rPr>
        <w:t>, el Directorio reiteró el gasto manifestando que:</w:t>
      </w:r>
    </w:p>
    <w:p w:rsidR="0073517B" w:rsidRDefault="0073517B" w:rsidP="004974B3">
      <w:pPr>
        <w:spacing w:after="0" w:line="360" w:lineRule="auto"/>
        <w:jc w:val="both"/>
        <w:rPr>
          <w:rFonts w:ascii="Arial" w:eastAsia="Times New Roman" w:hAnsi="Arial" w:cs="Times New Roman"/>
          <w:sz w:val="24"/>
          <w:szCs w:val="20"/>
          <w:lang w:eastAsia="es-ES"/>
        </w:rPr>
      </w:pPr>
      <w:r w:rsidRPr="0073517B">
        <w:rPr>
          <w:rFonts w:ascii="Arial" w:eastAsia="Times New Roman" w:hAnsi="Arial" w:cs="Times New Roman"/>
          <w:b/>
          <w:sz w:val="24"/>
          <w:szCs w:val="20"/>
          <w:lang w:eastAsia="es-ES"/>
        </w:rPr>
        <w:lastRenderedPageBreak/>
        <w:t>3.1)</w:t>
      </w:r>
      <w:r>
        <w:rPr>
          <w:rFonts w:ascii="Arial" w:eastAsia="Times New Roman" w:hAnsi="Arial" w:cs="Times New Roman"/>
          <w:b/>
          <w:sz w:val="24"/>
          <w:szCs w:val="20"/>
          <w:lang w:eastAsia="es-ES"/>
        </w:rPr>
        <w:t xml:space="preserve"> </w:t>
      </w:r>
      <w:r>
        <w:rPr>
          <w:rFonts w:ascii="Arial" w:eastAsia="Times New Roman" w:hAnsi="Arial" w:cs="Times New Roman"/>
          <w:sz w:val="24"/>
          <w:szCs w:val="20"/>
          <w:lang w:eastAsia="es-ES"/>
        </w:rPr>
        <w:t xml:space="preserve">la exposición del orden creciente de precios se efectuó </w:t>
      </w:r>
      <w:r w:rsidR="001C174B">
        <w:rPr>
          <w:rFonts w:ascii="Arial" w:eastAsia="Times New Roman" w:hAnsi="Arial" w:cs="Times New Roman"/>
          <w:sz w:val="24"/>
          <w:szCs w:val="20"/>
          <w:lang w:eastAsia="es-ES"/>
        </w:rPr>
        <w:t xml:space="preserve">a </w:t>
      </w:r>
      <w:r>
        <w:rPr>
          <w:rFonts w:ascii="Arial" w:eastAsia="Times New Roman" w:hAnsi="Arial" w:cs="Times New Roman"/>
          <w:sz w:val="24"/>
          <w:szCs w:val="20"/>
          <w:lang w:eastAsia="es-ES"/>
        </w:rPr>
        <w:t xml:space="preserve">los efectos de informar al Ordenador competente sobre los precios obtenidos, fruto de las cotizaciones recibidas. Se destaca que por principio de buena administración de los recursos y en pro de la </w:t>
      </w:r>
      <w:r w:rsidR="00CE6DE2">
        <w:rPr>
          <w:rFonts w:ascii="Arial" w:eastAsia="Times New Roman" w:hAnsi="Arial" w:cs="Times New Roman"/>
          <w:sz w:val="24"/>
          <w:szCs w:val="20"/>
          <w:lang w:eastAsia="es-ES"/>
        </w:rPr>
        <w:t xml:space="preserve">eficiencia de los recursos administrativos, la Comisión sólo procede a completar el estudio de admisibilidad (ajuste a las condiciones técnicas) de la oferta que se encuentra en primer lugar del orden creciente de precios o, en su </w:t>
      </w:r>
      <w:r w:rsidR="00262AC7">
        <w:rPr>
          <w:rFonts w:ascii="Arial" w:eastAsia="Times New Roman" w:hAnsi="Arial" w:cs="Times New Roman"/>
          <w:sz w:val="24"/>
          <w:szCs w:val="20"/>
          <w:lang w:eastAsia="es-ES"/>
        </w:rPr>
        <w:t>defecto, de aquellas ofertas que se encuentran en un entorno de s</w:t>
      </w:r>
      <w:r w:rsidR="00DB2925">
        <w:rPr>
          <w:rFonts w:ascii="Arial" w:eastAsia="Times New Roman" w:hAnsi="Arial" w:cs="Times New Roman"/>
          <w:sz w:val="24"/>
          <w:szCs w:val="20"/>
          <w:lang w:eastAsia="es-ES"/>
        </w:rPr>
        <w:t>imilitud respecto a ésta última.</w:t>
      </w:r>
      <w:r w:rsidR="00262AC7">
        <w:rPr>
          <w:rFonts w:ascii="Arial" w:eastAsia="Times New Roman" w:hAnsi="Arial" w:cs="Times New Roman"/>
          <w:sz w:val="24"/>
          <w:szCs w:val="20"/>
          <w:lang w:eastAsia="es-ES"/>
        </w:rPr>
        <w:t xml:space="preserve"> En caso de que dichas ofertas no sean admisibles, se realiza el estudio completo de la oferta que continúa en dicho orden creciente de precios y así sucesivamente. En efecto, si bien no se procede tal como indica el Tribunal de Cuentas (estudiar primeramente todas las ofertas presentadas en sus aspectos formales, técnicos y comerciales), se realiza en forma primaria un análisis formal y comercial de todas las ofertas, para luego efectuar el estudio técnico </w:t>
      </w:r>
      <w:r w:rsidR="007C0900">
        <w:rPr>
          <w:rFonts w:ascii="Arial" w:eastAsia="Times New Roman" w:hAnsi="Arial" w:cs="Times New Roman"/>
          <w:sz w:val="24"/>
          <w:szCs w:val="20"/>
          <w:lang w:eastAsia="es-ES"/>
        </w:rPr>
        <w:t xml:space="preserve">en función del orden respecto al precio ofertado. Por lo expuesto, y en el entendido que el principio de buena administración y de razonabilidad establecidos en el </w:t>
      </w:r>
      <w:r w:rsidR="007642ED">
        <w:rPr>
          <w:rFonts w:ascii="Arial" w:eastAsia="Times New Roman" w:hAnsi="Arial" w:cs="Times New Roman"/>
          <w:sz w:val="24"/>
          <w:szCs w:val="20"/>
          <w:lang w:eastAsia="es-ES"/>
        </w:rPr>
        <w:t>A</w:t>
      </w:r>
      <w:r w:rsidR="007C0900">
        <w:rPr>
          <w:rFonts w:ascii="Arial" w:eastAsia="Times New Roman" w:hAnsi="Arial" w:cs="Times New Roman"/>
          <w:sz w:val="24"/>
          <w:szCs w:val="20"/>
          <w:lang w:eastAsia="es-ES"/>
        </w:rPr>
        <w:t>rtículo 149 del TOCAF</w:t>
      </w:r>
      <w:r w:rsidR="00DE7C1D">
        <w:rPr>
          <w:rFonts w:ascii="Arial" w:eastAsia="Times New Roman" w:hAnsi="Arial" w:cs="Times New Roman"/>
          <w:sz w:val="24"/>
          <w:szCs w:val="20"/>
          <w:lang w:eastAsia="es-ES"/>
        </w:rPr>
        <w:t>, deben ser el camino a recorrer por una empresa pública de las características de UTE, se concluye que se actuó en un marco adecuado en busca de la eficacia y eficiencia de sus procesos;</w:t>
      </w:r>
    </w:p>
    <w:p w:rsidR="00DE7C1D" w:rsidRDefault="00DE7C1D" w:rsidP="004974B3">
      <w:pPr>
        <w:spacing w:after="0" w:line="360" w:lineRule="auto"/>
        <w:jc w:val="both"/>
        <w:rPr>
          <w:rFonts w:ascii="Arial" w:eastAsia="Times New Roman" w:hAnsi="Arial" w:cs="Times New Roman"/>
          <w:sz w:val="24"/>
          <w:szCs w:val="20"/>
          <w:lang w:eastAsia="es-ES"/>
        </w:rPr>
      </w:pPr>
      <w:r w:rsidRPr="00DE7C1D">
        <w:rPr>
          <w:rFonts w:ascii="Arial" w:eastAsia="Times New Roman" w:hAnsi="Arial" w:cs="Times New Roman"/>
          <w:b/>
          <w:sz w:val="24"/>
          <w:szCs w:val="20"/>
          <w:lang w:eastAsia="es-ES"/>
        </w:rPr>
        <w:t xml:space="preserve">3.2) </w:t>
      </w:r>
      <w:r>
        <w:rPr>
          <w:rFonts w:ascii="Arial" w:eastAsia="Times New Roman" w:hAnsi="Arial" w:cs="Times New Roman"/>
          <w:sz w:val="24"/>
          <w:szCs w:val="20"/>
          <w:lang w:eastAsia="es-ES"/>
        </w:rPr>
        <w:t>en cuanto a la observación sobre la inscripción en el RUPE, a la fecha de la apertura de ofertas (27</w:t>
      </w:r>
      <w:r w:rsidR="007642ED">
        <w:rPr>
          <w:rFonts w:ascii="Arial" w:eastAsia="Times New Roman" w:hAnsi="Arial" w:cs="Times New Roman"/>
          <w:sz w:val="24"/>
          <w:szCs w:val="20"/>
          <w:lang w:eastAsia="es-ES"/>
        </w:rPr>
        <w:t>/</w:t>
      </w:r>
      <w:r>
        <w:rPr>
          <w:rFonts w:ascii="Arial" w:eastAsia="Times New Roman" w:hAnsi="Arial" w:cs="Times New Roman"/>
          <w:sz w:val="24"/>
          <w:szCs w:val="20"/>
          <w:lang w:eastAsia="es-ES"/>
        </w:rPr>
        <w:t>03</w:t>
      </w:r>
      <w:r w:rsidR="007642ED">
        <w:rPr>
          <w:rFonts w:ascii="Arial" w:eastAsia="Times New Roman" w:hAnsi="Arial" w:cs="Times New Roman"/>
          <w:sz w:val="24"/>
          <w:szCs w:val="20"/>
          <w:lang w:eastAsia="es-ES"/>
        </w:rPr>
        <w:t>/</w:t>
      </w:r>
      <w:r>
        <w:rPr>
          <w:rFonts w:ascii="Arial" w:eastAsia="Times New Roman" w:hAnsi="Arial" w:cs="Times New Roman"/>
          <w:sz w:val="24"/>
          <w:szCs w:val="20"/>
          <w:lang w:eastAsia="es-ES"/>
        </w:rPr>
        <w:t>15), UTE aún no estaba en estado de “Organismo incorporado a RUPE”, lo que ocurrió el 21</w:t>
      </w:r>
      <w:r w:rsidR="007642ED">
        <w:rPr>
          <w:rFonts w:ascii="Arial" w:eastAsia="Times New Roman" w:hAnsi="Arial" w:cs="Times New Roman"/>
          <w:sz w:val="24"/>
          <w:szCs w:val="20"/>
          <w:lang w:eastAsia="es-ES"/>
        </w:rPr>
        <w:t>/</w:t>
      </w:r>
      <w:r>
        <w:rPr>
          <w:rFonts w:ascii="Arial" w:eastAsia="Times New Roman" w:hAnsi="Arial" w:cs="Times New Roman"/>
          <w:sz w:val="24"/>
          <w:szCs w:val="20"/>
          <w:lang w:eastAsia="es-ES"/>
        </w:rPr>
        <w:t>12</w:t>
      </w:r>
      <w:r w:rsidR="007642ED">
        <w:rPr>
          <w:rFonts w:ascii="Arial" w:eastAsia="Times New Roman" w:hAnsi="Arial" w:cs="Times New Roman"/>
          <w:sz w:val="24"/>
          <w:szCs w:val="20"/>
          <w:lang w:eastAsia="es-ES"/>
        </w:rPr>
        <w:t>/*</w:t>
      </w:r>
      <w:r>
        <w:rPr>
          <w:rFonts w:ascii="Arial" w:eastAsia="Times New Roman" w:hAnsi="Arial" w:cs="Times New Roman"/>
          <w:sz w:val="24"/>
          <w:szCs w:val="20"/>
          <w:lang w:eastAsia="es-ES"/>
        </w:rPr>
        <w:t>15. A efectos de comenzar a instruir a los posibles oferentes sobre la exigencia de la inscripción en el RUPE, se entendió conveniente, al momento de elaborar el Pliego de Condiciones Particulares del llamado, la incorporación en el mismo de la potestad de otorgar un plazo para que aquellos oferentes que al momento de la apertura de ofertas no se encontraban en el ingreso en RUPE, pudieran regularizar su situación. Este criterio ha sido aplicado desde la aparición del RUPE sin que sufriera ninguna observación por parte del Tribunal de Cuentas</w:t>
      </w:r>
      <w:r w:rsidR="00090978">
        <w:rPr>
          <w:rFonts w:ascii="Arial" w:eastAsia="Times New Roman" w:hAnsi="Arial" w:cs="Times New Roman"/>
          <w:sz w:val="24"/>
          <w:szCs w:val="20"/>
          <w:lang w:eastAsia="es-ES"/>
        </w:rPr>
        <w:t xml:space="preserve">. Por su parte, se destaca que esta potestad solamente se entendía válida hasta tanto UTE </w:t>
      </w:r>
      <w:r w:rsidR="00090978">
        <w:rPr>
          <w:rFonts w:ascii="Arial" w:eastAsia="Times New Roman" w:hAnsi="Arial" w:cs="Times New Roman"/>
          <w:sz w:val="24"/>
          <w:szCs w:val="20"/>
          <w:lang w:eastAsia="es-ES"/>
        </w:rPr>
        <w:lastRenderedPageBreak/>
        <w:t>ingresara como “empresa incorporada a RUPE”. La frase observada fue eliminada de todos los Pliegos de Condiciones a partir del 21</w:t>
      </w:r>
      <w:r w:rsidR="007642ED">
        <w:rPr>
          <w:rFonts w:ascii="Arial" w:eastAsia="Times New Roman" w:hAnsi="Arial" w:cs="Times New Roman"/>
          <w:sz w:val="24"/>
          <w:szCs w:val="20"/>
          <w:lang w:eastAsia="es-ES"/>
        </w:rPr>
        <w:t>/</w:t>
      </w:r>
      <w:r w:rsidR="00090978">
        <w:rPr>
          <w:rFonts w:ascii="Arial" w:eastAsia="Times New Roman" w:hAnsi="Arial" w:cs="Times New Roman"/>
          <w:sz w:val="24"/>
          <w:szCs w:val="20"/>
          <w:lang w:eastAsia="es-ES"/>
        </w:rPr>
        <w:t>12</w:t>
      </w:r>
      <w:r w:rsidR="007642ED">
        <w:rPr>
          <w:rFonts w:ascii="Arial" w:eastAsia="Times New Roman" w:hAnsi="Arial" w:cs="Times New Roman"/>
          <w:sz w:val="24"/>
          <w:szCs w:val="20"/>
          <w:lang w:eastAsia="es-ES"/>
        </w:rPr>
        <w:t>/</w:t>
      </w:r>
      <w:r w:rsidR="00090978">
        <w:rPr>
          <w:rFonts w:ascii="Arial" w:eastAsia="Times New Roman" w:hAnsi="Arial" w:cs="Times New Roman"/>
          <w:sz w:val="24"/>
          <w:szCs w:val="20"/>
          <w:lang w:eastAsia="es-ES"/>
        </w:rPr>
        <w:t>15, estableciéndose actualmente que las ofertas serán automáticamente descartadas en caso que al momento de la apertura, los oferentes no se encuentren inscriptos en RUPE en alguno de los estados permitidos;</w:t>
      </w:r>
    </w:p>
    <w:p w:rsidR="00090978" w:rsidRDefault="00090978" w:rsidP="004974B3">
      <w:pPr>
        <w:spacing w:after="0" w:line="360" w:lineRule="auto"/>
        <w:jc w:val="both"/>
        <w:rPr>
          <w:rFonts w:ascii="Arial" w:eastAsia="Times New Roman" w:hAnsi="Arial" w:cs="Times New Roman"/>
          <w:sz w:val="24"/>
          <w:szCs w:val="20"/>
          <w:lang w:eastAsia="es-ES"/>
        </w:rPr>
      </w:pPr>
      <w:r w:rsidRPr="00090978">
        <w:rPr>
          <w:rFonts w:ascii="Arial" w:eastAsia="Times New Roman" w:hAnsi="Arial" w:cs="Times New Roman"/>
          <w:b/>
          <w:sz w:val="24"/>
          <w:szCs w:val="20"/>
          <w:lang w:eastAsia="es-ES"/>
        </w:rPr>
        <w:t>3.3)</w:t>
      </w:r>
      <w:r>
        <w:rPr>
          <w:rFonts w:ascii="Arial" w:eastAsia="Times New Roman" w:hAnsi="Arial" w:cs="Times New Roman"/>
          <w:sz w:val="24"/>
          <w:szCs w:val="20"/>
          <w:lang w:eastAsia="es-ES"/>
        </w:rPr>
        <w:t xml:space="preserve"> en lo relativo a la observación relacionada con las cláusulas que condicionen el mantenimiento de la oferta, si bien la redacción del </w:t>
      </w:r>
      <w:r w:rsidR="007642ED">
        <w:rPr>
          <w:rFonts w:ascii="Arial" w:eastAsia="Times New Roman" w:hAnsi="Arial" w:cs="Times New Roman"/>
          <w:sz w:val="24"/>
          <w:szCs w:val="20"/>
          <w:lang w:eastAsia="es-ES"/>
        </w:rPr>
        <w:t>N</w:t>
      </w:r>
      <w:r>
        <w:rPr>
          <w:rFonts w:ascii="Arial" w:eastAsia="Times New Roman" w:hAnsi="Arial" w:cs="Times New Roman"/>
          <w:sz w:val="24"/>
          <w:szCs w:val="20"/>
          <w:lang w:eastAsia="es-ES"/>
        </w:rPr>
        <w:t xml:space="preserve">umeral 6.1 parte II del Pliego de Condiciones Particulares puede dar lugar a confusión, está claro que la Comisión Asesora </w:t>
      </w:r>
      <w:r w:rsidR="0048196D">
        <w:rPr>
          <w:rFonts w:ascii="Arial" w:eastAsia="Times New Roman" w:hAnsi="Arial" w:cs="Times New Roman"/>
          <w:sz w:val="24"/>
          <w:szCs w:val="20"/>
          <w:lang w:eastAsia="es-ES"/>
        </w:rPr>
        <w:t>no acepta ninguna oferta que no</w:t>
      </w:r>
      <w:r>
        <w:rPr>
          <w:rFonts w:ascii="Arial" w:eastAsia="Times New Roman" w:hAnsi="Arial" w:cs="Times New Roman"/>
          <w:sz w:val="24"/>
          <w:szCs w:val="20"/>
          <w:lang w:eastAsia="es-ES"/>
        </w:rPr>
        <w:t xml:space="preserve"> cumpla con el período de mantenimiento de oferta exigido (120 días) y </w:t>
      </w:r>
      <w:r w:rsidR="00847141">
        <w:rPr>
          <w:rFonts w:ascii="Arial" w:eastAsia="Times New Roman" w:hAnsi="Arial" w:cs="Times New Roman"/>
          <w:sz w:val="24"/>
          <w:szCs w:val="20"/>
          <w:lang w:eastAsia="es-ES"/>
        </w:rPr>
        <w:t>dicha norma ya fue eliminada</w:t>
      </w:r>
      <w:r>
        <w:rPr>
          <w:rFonts w:ascii="Arial" w:eastAsia="Times New Roman" w:hAnsi="Arial" w:cs="Times New Roman"/>
          <w:sz w:val="24"/>
          <w:szCs w:val="20"/>
          <w:lang w:eastAsia="es-ES"/>
        </w:rPr>
        <w:t>;</w:t>
      </w:r>
      <w:r w:rsidR="0070371A">
        <w:rPr>
          <w:rFonts w:ascii="Arial" w:eastAsia="Times New Roman" w:hAnsi="Arial" w:cs="Times New Roman"/>
          <w:sz w:val="24"/>
          <w:szCs w:val="20"/>
          <w:lang w:eastAsia="es-ES"/>
        </w:rPr>
        <w:t xml:space="preserve"> y</w:t>
      </w:r>
    </w:p>
    <w:p w:rsidR="00090978" w:rsidRDefault="00090978" w:rsidP="004974B3">
      <w:pPr>
        <w:spacing w:after="0" w:line="360" w:lineRule="auto"/>
        <w:jc w:val="both"/>
        <w:rPr>
          <w:rFonts w:ascii="Arial" w:eastAsia="Times New Roman" w:hAnsi="Arial" w:cs="Times New Roman"/>
          <w:sz w:val="24"/>
          <w:szCs w:val="20"/>
          <w:lang w:eastAsia="es-ES"/>
        </w:rPr>
      </w:pPr>
      <w:r w:rsidRPr="00090978">
        <w:rPr>
          <w:rFonts w:ascii="Arial" w:eastAsia="Times New Roman" w:hAnsi="Arial" w:cs="Times New Roman"/>
          <w:b/>
          <w:sz w:val="24"/>
          <w:szCs w:val="20"/>
          <w:lang w:eastAsia="es-ES"/>
        </w:rPr>
        <w:t>3.4)</w:t>
      </w:r>
      <w:r w:rsidR="001C3673">
        <w:rPr>
          <w:rFonts w:ascii="Arial" w:eastAsia="Times New Roman" w:hAnsi="Arial" w:cs="Times New Roman"/>
          <w:sz w:val="24"/>
          <w:szCs w:val="20"/>
          <w:lang w:eastAsia="es-ES"/>
        </w:rPr>
        <w:t xml:space="preserve"> asimismo, se mantiene la necesidad de contar con el suministro, ya que los seccionadores están destinados a diversas obras de ampliación de la red a realizar en los próximos años;</w:t>
      </w:r>
    </w:p>
    <w:p w:rsidR="0070371A" w:rsidRDefault="004974B3" w:rsidP="004974B3">
      <w:pPr>
        <w:spacing w:after="0" w:line="360" w:lineRule="auto"/>
        <w:ind w:firstLine="851"/>
        <w:jc w:val="both"/>
        <w:rPr>
          <w:rFonts w:ascii="Arial" w:eastAsia="Times New Roman" w:hAnsi="Arial" w:cs="Times New Roman"/>
          <w:sz w:val="24"/>
          <w:szCs w:val="20"/>
          <w:lang w:eastAsia="es-ES"/>
        </w:rPr>
      </w:pPr>
      <w:r>
        <w:rPr>
          <w:rFonts w:ascii="Arial" w:eastAsia="Times New Roman" w:hAnsi="Arial" w:cs="Times New Roman"/>
          <w:b/>
          <w:sz w:val="24"/>
          <w:szCs w:val="20"/>
          <w:lang w:eastAsia="es-ES"/>
        </w:rPr>
        <w:t xml:space="preserve">CONSIDERANDO: </w:t>
      </w:r>
      <w:r w:rsidR="00146A64">
        <w:rPr>
          <w:rFonts w:ascii="Arial" w:eastAsia="Times New Roman" w:hAnsi="Arial" w:cs="Times New Roman"/>
          <w:b/>
          <w:sz w:val="24"/>
          <w:szCs w:val="20"/>
          <w:lang w:eastAsia="es-ES"/>
        </w:rPr>
        <w:t xml:space="preserve">1) </w:t>
      </w:r>
      <w:r w:rsidR="00146A64" w:rsidRPr="00146A64">
        <w:rPr>
          <w:rFonts w:ascii="Arial" w:eastAsia="Times New Roman" w:hAnsi="Arial" w:cs="Times New Roman"/>
          <w:sz w:val="24"/>
          <w:szCs w:val="20"/>
          <w:lang w:eastAsia="es-ES"/>
        </w:rPr>
        <w:t xml:space="preserve">que </w:t>
      </w:r>
      <w:r w:rsidR="00146A64">
        <w:rPr>
          <w:rFonts w:ascii="Arial" w:eastAsia="Times New Roman" w:hAnsi="Arial" w:cs="Times New Roman"/>
          <w:sz w:val="24"/>
          <w:szCs w:val="20"/>
          <w:lang w:eastAsia="es-ES"/>
        </w:rPr>
        <w:t>en la oportunidad de reiterar el gasto</w:t>
      </w:r>
      <w:r w:rsidR="00BF6D32">
        <w:rPr>
          <w:rFonts w:ascii="Arial" w:eastAsia="Times New Roman" w:hAnsi="Arial" w:cs="Times New Roman"/>
          <w:sz w:val="24"/>
          <w:szCs w:val="20"/>
          <w:lang w:eastAsia="es-ES"/>
        </w:rPr>
        <w:t xml:space="preserve">, la Administración manifestó que </w:t>
      </w:r>
      <w:r w:rsidR="00146A64" w:rsidRPr="00146A64">
        <w:rPr>
          <w:rFonts w:ascii="Arial" w:eastAsia="Times New Roman" w:hAnsi="Arial" w:cs="Times New Roman"/>
          <w:sz w:val="24"/>
          <w:szCs w:val="20"/>
          <w:lang w:eastAsia="es-ES"/>
        </w:rPr>
        <w:t>la Comisión Asesora únicamente proced</w:t>
      </w:r>
      <w:r w:rsidR="00BF6D32">
        <w:rPr>
          <w:rFonts w:ascii="Arial" w:eastAsia="Times New Roman" w:hAnsi="Arial" w:cs="Times New Roman"/>
          <w:sz w:val="24"/>
          <w:szCs w:val="20"/>
          <w:lang w:eastAsia="es-ES"/>
        </w:rPr>
        <w:t>ió</w:t>
      </w:r>
      <w:r w:rsidR="00146A64" w:rsidRPr="00146A64">
        <w:rPr>
          <w:rFonts w:ascii="Arial" w:eastAsia="Times New Roman" w:hAnsi="Arial" w:cs="Times New Roman"/>
          <w:sz w:val="24"/>
          <w:szCs w:val="20"/>
          <w:lang w:eastAsia="es-ES"/>
        </w:rPr>
        <w:t xml:space="preserve"> a completar el análisis de admisibilidad </w:t>
      </w:r>
      <w:r w:rsidR="00BF6D32">
        <w:rPr>
          <w:rFonts w:ascii="Arial" w:eastAsia="Times New Roman" w:hAnsi="Arial" w:cs="Times New Roman"/>
          <w:sz w:val="24"/>
          <w:szCs w:val="20"/>
          <w:lang w:eastAsia="es-ES"/>
        </w:rPr>
        <w:t>respecto de la oferta que ocup</w:t>
      </w:r>
      <w:r w:rsidR="00146A64" w:rsidRPr="00146A64">
        <w:rPr>
          <w:rFonts w:ascii="Arial" w:eastAsia="Times New Roman" w:hAnsi="Arial" w:cs="Times New Roman"/>
          <w:sz w:val="24"/>
          <w:szCs w:val="20"/>
          <w:lang w:eastAsia="es-ES"/>
        </w:rPr>
        <w:t>a el primer lugar en el orden creciente de precios</w:t>
      </w:r>
      <w:r w:rsidR="00BF6D32">
        <w:rPr>
          <w:rFonts w:ascii="Arial" w:eastAsia="Times New Roman" w:hAnsi="Arial" w:cs="Times New Roman"/>
          <w:sz w:val="24"/>
          <w:szCs w:val="20"/>
          <w:lang w:eastAsia="es-ES"/>
        </w:rPr>
        <w:t xml:space="preserve">, </w:t>
      </w:r>
      <w:r w:rsidR="00565B08">
        <w:rPr>
          <w:rFonts w:ascii="Arial" w:eastAsia="Times New Roman" w:hAnsi="Arial" w:cs="Times New Roman"/>
          <w:sz w:val="24"/>
          <w:szCs w:val="20"/>
          <w:lang w:eastAsia="es-ES"/>
        </w:rPr>
        <w:t xml:space="preserve">lo que </w:t>
      </w:r>
      <w:r w:rsidR="0070371A">
        <w:rPr>
          <w:rFonts w:ascii="Arial" w:eastAsia="Times New Roman" w:hAnsi="Arial" w:cs="Times New Roman"/>
          <w:sz w:val="24"/>
          <w:szCs w:val="20"/>
          <w:lang w:eastAsia="es-ES"/>
        </w:rPr>
        <w:t>supuso</w:t>
      </w:r>
      <w:r w:rsidR="00565B08">
        <w:rPr>
          <w:rFonts w:ascii="Arial" w:eastAsia="Times New Roman" w:hAnsi="Arial" w:cs="Times New Roman"/>
          <w:sz w:val="24"/>
          <w:szCs w:val="20"/>
          <w:lang w:eastAsia="es-ES"/>
        </w:rPr>
        <w:t xml:space="preserve"> alterar</w:t>
      </w:r>
      <w:r w:rsidR="0008492C">
        <w:rPr>
          <w:rFonts w:ascii="Arial" w:eastAsia="Times New Roman" w:hAnsi="Arial" w:cs="Times New Roman"/>
          <w:sz w:val="24"/>
          <w:szCs w:val="20"/>
          <w:lang w:eastAsia="es-ES"/>
        </w:rPr>
        <w:t xml:space="preserve"> el </w:t>
      </w:r>
      <w:r w:rsidR="00146A64" w:rsidRPr="0008492C">
        <w:rPr>
          <w:rFonts w:ascii="Arial" w:eastAsia="Times New Roman" w:hAnsi="Arial" w:cs="Times New Roman"/>
          <w:sz w:val="24"/>
          <w:szCs w:val="20"/>
          <w:lang w:eastAsia="es-ES"/>
        </w:rPr>
        <w:t xml:space="preserve">orden de las </w:t>
      </w:r>
      <w:r w:rsidR="00A3067A" w:rsidRPr="0008492C">
        <w:rPr>
          <w:rFonts w:ascii="Arial" w:eastAsia="Times New Roman" w:hAnsi="Arial" w:cs="Times New Roman"/>
          <w:sz w:val="24"/>
          <w:szCs w:val="20"/>
          <w:lang w:eastAsia="es-ES"/>
        </w:rPr>
        <w:t>etapas</w:t>
      </w:r>
      <w:r w:rsidR="00146A64" w:rsidRPr="0008492C">
        <w:rPr>
          <w:rFonts w:ascii="Arial" w:eastAsia="Times New Roman" w:hAnsi="Arial" w:cs="Times New Roman"/>
          <w:sz w:val="24"/>
          <w:szCs w:val="20"/>
          <w:lang w:eastAsia="es-ES"/>
        </w:rPr>
        <w:t xml:space="preserve"> de admisib</w:t>
      </w:r>
      <w:r w:rsidR="00A3067A" w:rsidRPr="0008492C">
        <w:rPr>
          <w:rFonts w:ascii="Arial" w:eastAsia="Times New Roman" w:hAnsi="Arial" w:cs="Times New Roman"/>
          <w:sz w:val="24"/>
          <w:szCs w:val="20"/>
          <w:lang w:eastAsia="es-ES"/>
        </w:rPr>
        <w:t>ilidad y de comparación de ofertas</w:t>
      </w:r>
      <w:r w:rsidR="00565B08">
        <w:rPr>
          <w:rFonts w:ascii="Arial" w:eastAsia="Times New Roman" w:hAnsi="Arial" w:cs="Times New Roman"/>
          <w:sz w:val="24"/>
          <w:szCs w:val="20"/>
          <w:lang w:eastAsia="es-ES"/>
        </w:rPr>
        <w:t>, invirtiéndolo</w:t>
      </w:r>
      <w:r w:rsidR="00A3067A" w:rsidRPr="0008492C">
        <w:rPr>
          <w:rFonts w:ascii="Arial" w:eastAsia="Times New Roman" w:hAnsi="Arial" w:cs="Times New Roman"/>
          <w:sz w:val="24"/>
          <w:szCs w:val="20"/>
          <w:lang w:eastAsia="es-ES"/>
        </w:rPr>
        <w:t>:</w:t>
      </w:r>
      <w:r w:rsidR="00146A64" w:rsidRPr="0008492C">
        <w:rPr>
          <w:rFonts w:ascii="Arial" w:eastAsia="Times New Roman" w:hAnsi="Arial" w:cs="Times New Roman"/>
          <w:sz w:val="24"/>
          <w:szCs w:val="20"/>
          <w:lang w:eastAsia="es-ES"/>
        </w:rPr>
        <w:t xml:space="preserve"> </w:t>
      </w:r>
      <w:r w:rsidR="00A3067A" w:rsidRPr="0008492C">
        <w:rPr>
          <w:rFonts w:ascii="Arial" w:eastAsia="Times New Roman" w:hAnsi="Arial" w:cs="Times New Roman"/>
          <w:sz w:val="24"/>
          <w:szCs w:val="20"/>
          <w:lang w:eastAsia="es-ES"/>
        </w:rPr>
        <w:t>la</w:t>
      </w:r>
      <w:r w:rsidR="00146A64" w:rsidRPr="0008492C">
        <w:rPr>
          <w:rFonts w:ascii="Arial" w:eastAsia="Times New Roman" w:hAnsi="Arial" w:cs="Times New Roman"/>
          <w:sz w:val="24"/>
          <w:szCs w:val="20"/>
          <w:lang w:eastAsia="es-ES"/>
        </w:rPr>
        <w:t xml:space="preserve"> </w:t>
      </w:r>
      <w:r w:rsidR="00A3067A" w:rsidRPr="0008492C">
        <w:rPr>
          <w:rFonts w:ascii="Arial" w:eastAsia="Times New Roman" w:hAnsi="Arial" w:cs="Times New Roman"/>
          <w:sz w:val="24"/>
          <w:szCs w:val="20"/>
          <w:lang w:eastAsia="es-ES"/>
        </w:rPr>
        <w:t xml:space="preserve">primera de </w:t>
      </w:r>
      <w:r w:rsidR="00C73BAD" w:rsidRPr="0008492C">
        <w:rPr>
          <w:rFonts w:ascii="Arial" w:eastAsia="Times New Roman" w:hAnsi="Arial" w:cs="Times New Roman"/>
          <w:sz w:val="24"/>
          <w:szCs w:val="20"/>
          <w:lang w:eastAsia="es-ES"/>
        </w:rPr>
        <w:t>éstas</w:t>
      </w:r>
      <w:r w:rsidR="00A3067A" w:rsidRPr="0008492C">
        <w:rPr>
          <w:rFonts w:ascii="Arial" w:eastAsia="Times New Roman" w:hAnsi="Arial" w:cs="Times New Roman"/>
          <w:sz w:val="24"/>
          <w:szCs w:val="20"/>
          <w:lang w:eastAsia="es-ES"/>
        </w:rPr>
        <w:t xml:space="preserve"> implica un estudio </w:t>
      </w:r>
      <w:r w:rsidR="00C73BAD" w:rsidRPr="0008492C">
        <w:rPr>
          <w:rFonts w:ascii="Arial" w:eastAsia="Times New Roman" w:hAnsi="Arial" w:cs="Times New Roman"/>
          <w:sz w:val="24"/>
          <w:szCs w:val="20"/>
          <w:lang w:eastAsia="es-ES"/>
        </w:rPr>
        <w:t>de la</w:t>
      </w:r>
      <w:r w:rsidR="00A3067A" w:rsidRPr="0008492C">
        <w:rPr>
          <w:rFonts w:ascii="Arial" w:eastAsia="Times New Roman" w:hAnsi="Arial" w:cs="Times New Roman"/>
          <w:sz w:val="24"/>
          <w:szCs w:val="20"/>
          <w:lang w:eastAsia="es-ES"/>
        </w:rPr>
        <w:t xml:space="preserve"> </w:t>
      </w:r>
      <w:r w:rsidR="00146A64" w:rsidRPr="0008492C">
        <w:rPr>
          <w:rFonts w:ascii="Arial" w:eastAsia="Times New Roman" w:hAnsi="Arial" w:cs="Times New Roman"/>
          <w:sz w:val="24"/>
          <w:szCs w:val="20"/>
          <w:lang w:eastAsia="es-ES"/>
        </w:rPr>
        <w:t>regularidad jurídica</w:t>
      </w:r>
      <w:r w:rsidR="00A3067A" w:rsidRPr="0008492C">
        <w:rPr>
          <w:rFonts w:ascii="Arial" w:eastAsia="Times New Roman" w:hAnsi="Arial" w:cs="Times New Roman"/>
          <w:sz w:val="24"/>
          <w:szCs w:val="20"/>
          <w:lang w:eastAsia="es-ES"/>
        </w:rPr>
        <w:t xml:space="preserve"> de </w:t>
      </w:r>
      <w:r w:rsidR="00C73BAD" w:rsidRPr="0008492C">
        <w:rPr>
          <w:rFonts w:ascii="Arial" w:eastAsia="Times New Roman" w:hAnsi="Arial" w:cs="Times New Roman"/>
          <w:sz w:val="24"/>
          <w:szCs w:val="20"/>
          <w:lang w:eastAsia="es-ES"/>
        </w:rPr>
        <w:t>todas las propuestas recibidas</w:t>
      </w:r>
      <w:r w:rsidR="00565B08">
        <w:rPr>
          <w:rFonts w:ascii="Arial" w:eastAsia="Times New Roman" w:hAnsi="Arial" w:cs="Times New Roman"/>
          <w:sz w:val="24"/>
          <w:szCs w:val="20"/>
          <w:lang w:eastAsia="es-ES"/>
        </w:rPr>
        <w:t>,</w:t>
      </w:r>
      <w:r w:rsidR="0008492C">
        <w:rPr>
          <w:rFonts w:ascii="Arial" w:eastAsia="Times New Roman" w:hAnsi="Arial" w:cs="Times New Roman"/>
          <w:sz w:val="24"/>
          <w:szCs w:val="20"/>
          <w:lang w:eastAsia="es-ES"/>
        </w:rPr>
        <w:t xml:space="preserve"> a efectos de determinar </w:t>
      </w:r>
      <w:r w:rsidR="00A3067A" w:rsidRPr="0008492C">
        <w:rPr>
          <w:rFonts w:ascii="Arial" w:eastAsia="Times New Roman" w:hAnsi="Arial" w:cs="Times New Roman"/>
          <w:sz w:val="24"/>
          <w:szCs w:val="20"/>
          <w:lang w:eastAsia="es-ES"/>
        </w:rPr>
        <w:t>su ade</w:t>
      </w:r>
      <w:r w:rsidR="00565B08">
        <w:rPr>
          <w:rFonts w:ascii="Arial" w:eastAsia="Times New Roman" w:hAnsi="Arial" w:cs="Times New Roman"/>
          <w:sz w:val="24"/>
          <w:szCs w:val="20"/>
          <w:lang w:eastAsia="es-ES"/>
        </w:rPr>
        <w:t>cuación a las bases del llamado,</w:t>
      </w:r>
      <w:r w:rsidR="00146A64" w:rsidRPr="0008492C">
        <w:rPr>
          <w:rFonts w:ascii="Arial" w:eastAsia="Times New Roman" w:hAnsi="Arial" w:cs="Times New Roman"/>
          <w:sz w:val="24"/>
          <w:szCs w:val="20"/>
          <w:lang w:eastAsia="es-ES"/>
        </w:rPr>
        <w:t xml:space="preserve"> </w:t>
      </w:r>
      <w:r w:rsidR="00A3067A" w:rsidRPr="0008492C">
        <w:rPr>
          <w:rFonts w:ascii="Arial" w:eastAsia="Times New Roman" w:hAnsi="Arial" w:cs="Times New Roman"/>
          <w:sz w:val="24"/>
          <w:szCs w:val="20"/>
          <w:lang w:eastAsia="es-ES"/>
        </w:rPr>
        <w:t>de conformidad con el</w:t>
      </w:r>
      <w:r w:rsidR="00146A64" w:rsidRPr="0008492C">
        <w:rPr>
          <w:rFonts w:ascii="Arial" w:eastAsia="Times New Roman" w:hAnsi="Arial" w:cs="Times New Roman"/>
          <w:sz w:val="24"/>
          <w:szCs w:val="20"/>
          <w:lang w:eastAsia="es-ES"/>
        </w:rPr>
        <w:t xml:space="preserve"> </w:t>
      </w:r>
      <w:r w:rsidR="00A3067A" w:rsidRPr="0008492C">
        <w:rPr>
          <w:rFonts w:ascii="Arial" w:eastAsia="Times New Roman" w:hAnsi="Arial" w:cs="Times New Roman"/>
          <w:sz w:val="24"/>
          <w:szCs w:val="20"/>
          <w:lang w:eastAsia="es-ES"/>
        </w:rPr>
        <w:t xml:space="preserve">principio de legalidad; </w:t>
      </w:r>
      <w:r w:rsidR="00C73BAD" w:rsidRPr="0008492C">
        <w:rPr>
          <w:rFonts w:ascii="Arial" w:eastAsia="Times New Roman" w:hAnsi="Arial" w:cs="Times New Roman"/>
          <w:sz w:val="24"/>
          <w:szCs w:val="20"/>
          <w:lang w:eastAsia="es-ES"/>
        </w:rPr>
        <w:t xml:space="preserve">finalizado este </w:t>
      </w:r>
      <w:r w:rsidR="00146A64" w:rsidRPr="0008492C">
        <w:rPr>
          <w:rFonts w:ascii="Arial" w:eastAsia="Times New Roman" w:hAnsi="Arial" w:cs="Times New Roman"/>
          <w:sz w:val="24"/>
          <w:szCs w:val="20"/>
          <w:lang w:eastAsia="es-ES"/>
        </w:rPr>
        <w:t>estudio</w:t>
      </w:r>
      <w:r w:rsidR="00565B08">
        <w:rPr>
          <w:rFonts w:ascii="Arial" w:eastAsia="Times New Roman" w:hAnsi="Arial" w:cs="Times New Roman"/>
          <w:sz w:val="24"/>
          <w:szCs w:val="20"/>
          <w:lang w:eastAsia="es-ES"/>
        </w:rPr>
        <w:t xml:space="preserve"> y determinadas las</w:t>
      </w:r>
      <w:r w:rsidR="00C73BAD" w:rsidRPr="0008492C">
        <w:rPr>
          <w:rFonts w:ascii="Arial" w:eastAsia="Times New Roman" w:hAnsi="Arial" w:cs="Times New Roman"/>
          <w:sz w:val="24"/>
          <w:szCs w:val="20"/>
          <w:lang w:eastAsia="es-ES"/>
        </w:rPr>
        <w:t xml:space="preserve"> o</w:t>
      </w:r>
      <w:r w:rsidR="00A3067A" w:rsidRPr="0008492C">
        <w:rPr>
          <w:rFonts w:ascii="Arial" w:eastAsia="Times New Roman" w:hAnsi="Arial" w:cs="Times New Roman"/>
          <w:sz w:val="24"/>
          <w:szCs w:val="20"/>
          <w:lang w:eastAsia="es-ES"/>
        </w:rPr>
        <w:t>fertas admisibles,</w:t>
      </w:r>
      <w:r w:rsidR="0068415D">
        <w:rPr>
          <w:rFonts w:ascii="Arial" w:eastAsia="Times New Roman" w:hAnsi="Arial" w:cs="Times New Roman"/>
          <w:sz w:val="24"/>
          <w:szCs w:val="20"/>
          <w:lang w:eastAsia="es-ES"/>
        </w:rPr>
        <w:t xml:space="preserve"> es que</w:t>
      </w:r>
      <w:r w:rsidR="00C73BAD" w:rsidRPr="0008492C">
        <w:rPr>
          <w:rFonts w:ascii="Arial" w:eastAsia="Times New Roman" w:hAnsi="Arial" w:cs="Times New Roman"/>
          <w:sz w:val="24"/>
          <w:szCs w:val="20"/>
          <w:lang w:eastAsia="es-ES"/>
        </w:rPr>
        <w:t xml:space="preserve"> </w:t>
      </w:r>
      <w:r w:rsidR="00A3067A" w:rsidRPr="0008492C">
        <w:rPr>
          <w:rFonts w:ascii="Arial" w:eastAsia="Times New Roman" w:hAnsi="Arial" w:cs="Times New Roman"/>
          <w:sz w:val="24"/>
          <w:szCs w:val="20"/>
          <w:lang w:eastAsia="es-ES"/>
        </w:rPr>
        <w:t>procede la</w:t>
      </w:r>
      <w:r w:rsidR="00365487">
        <w:rPr>
          <w:rFonts w:ascii="Arial" w:eastAsia="Times New Roman" w:hAnsi="Arial" w:cs="Times New Roman"/>
          <w:sz w:val="24"/>
          <w:szCs w:val="20"/>
          <w:lang w:eastAsia="es-ES"/>
        </w:rPr>
        <w:t xml:space="preserve"> </w:t>
      </w:r>
      <w:r w:rsidR="00A3067A" w:rsidRPr="0008492C">
        <w:rPr>
          <w:rFonts w:ascii="Arial" w:eastAsia="Times New Roman" w:hAnsi="Arial" w:cs="Times New Roman"/>
          <w:sz w:val="24"/>
          <w:szCs w:val="20"/>
          <w:lang w:eastAsia="es-ES"/>
        </w:rPr>
        <w:t xml:space="preserve">etapa de </w:t>
      </w:r>
      <w:r w:rsidR="00C73BAD" w:rsidRPr="0008492C">
        <w:rPr>
          <w:rFonts w:ascii="Arial" w:eastAsia="Times New Roman" w:hAnsi="Arial" w:cs="Times New Roman"/>
          <w:sz w:val="24"/>
          <w:szCs w:val="20"/>
          <w:lang w:eastAsia="es-ES"/>
        </w:rPr>
        <w:t xml:space="preserve">comparación, pero no antes. </w:t>
      </w:r>
    </w:p>
    <w:p w:rsidR="00146A64" w:rsidRPr="004D2A6A" w:rsidRDefault="0070371A" w:rsidP="004974B3">
      <w:pPr>
        <w:spacing w:after="0" w:line="360" w:lineRule="auto"/>
        <w:ind w:firstLine="3119"/>
        <w:jc w:val="both"/>
        <w:rPr>
          <w:rFonts w:ascii="Arial" w:eastAsia="Times New Roman" w:hAnsi="Arial" w:cs="Times New Roman"/>
          <w:sz w:val="24"/>
          <w:szCs w:val="20"/>
          <w:lang w:eastAsia="es-ES"/>
        </w:rPr>
      </w:pPr>
      <w:r w:rsidRPr="0070371A">
        <w:rPr>
          <w:rFonts w:ascii="Arial" w:eastAsia="Times New Roman" w:hAnsi="Arial" w:cs="Times New Roman"/>
          <w:b/>
          <w:sz w:val="24"/>
          <w:szCs w:val="20"/>
          <w:lang w:eastAsia="es-ES"/>
        </w:rPr>
        <w:t>2)</w:t>
      </w:r>
      <w:r>
        <w:rPr>
          <w:rFonts w:ascii="Arial" w:eastAsia="Times New Roman" w:hAnsi="Arial" w:cs="Times New Roman"/>
          <w:sz w:val="24"/>
          <w:szCs w:val="20"/>
          <w:lang w:eastAsia="es-ES"/>
        </w:rPr>
        <w:t xml:space="preserve"> por lo tanto, n</w:t>
      </w:r>
      <w:r w:rsidR="00C73BAD" w:rsidRPr="0008492C">
        <w:rPr>
          <w:rFonts w:ascii="Arial" w:eastAsia="Times New Roman" w:hAnsi="Arial" w:cs="Times New Roman"/>
          <w:sz w:val="24"/>
          <w:szCs w:val="20"/>
          <w:lang w:eastAsia="es-ES"/>
        </w:rPr>
        <w:t xml:space="preserve">o es de </w:t>
      </w:r>
      <w:r w:rsidR="00517366" w:rsidRPr="0008492C">
        <w:rPr>
          <w:rFonts w:ascii="Arial" w:eastAsia="Times New Roman" w:hAnsi="Arial" w:cs="Times New Roman"/>
          <w:sz w:val="24"/>
          <w:szCs w:val="20"/>
          <w:lang w:eastAsia="es-ES"/>
        </w:rPr>
        <w:t xml:space="preserve">recibo el argumento </w:t>
      </w:r>
      <w:r>
        <w:rPr>
          <w:rFonts w:ascii="Arial" w:eastAsia="Times New Roman" w:hAnsi="Arial" w:cs="Times New Roman"/>
          <w:sz w:val="24"/>
          <w:szCs w:val="20"/>
          <w:lang w:eastAsia="es-ES"/>
        </w:rPr>
        <w:t>esgrimido</w:t>
      </w:r>
      <w:r w:rsidR="00365487">
        <w:rPr>
          <w:rFonts w:ascii="Arial" w:eastAsia="Times New Roman" w:hAnsi="Arial" w:cs="Times New Roman"/>
          <w:sz w:val="24"/>
          <w:szCs w:val="20"/>
          <w:lang w:eastAsia="es-ES"/>
        </w:rPr>
        <w:t xml:space="preserve"> por </w:t>
      </w:r>
      <w:r w:rsidR="00517366" w:rsidRPr="0008492C">
        <w:rPr>
          <w:rFonts w:ascii="Arial" w:eastAsia="Times New Roman" w:hAnsi="Arial" w:cs="Times New Roman"/>
          <w:sz w:val="24"/>
          <w:szCs w:val="20"/>
          <w:lang w:eastAsia="es-ES"/>
        </w:rPr>
        <w:t xml:space="preserve">la Administración </w:t>
      </w:r>
      <w:r>
        <w:rPr>
          <w:rFonts w:ascii="Arial" w:eastAsia="Times New Roman" w:hAnsi="Arial" w:cs="Times New Roman"/>
          <w:sz w:val="24"/>
          <w:szCs w:val="20"/>
          <w:lang w:eastAsia="es-ES"/>
        </w:rPr>
        <w:t>sosteniendo</w:t>
      </w:r>
      <w:r w:rsidR="004D2A6A">
        <w:rPr>
          <w:rFonts w:ascii="Arial" w:eastAsia="Times New Roman" w:hAnsi="Arial" w:cs="Times New Roman"/>
          <w:sz w:val="24"/>
          <w:szCs w:val="20"/>
          <w:lang w:eastAsia="es-ES"/>
        </w:rPr>
        <w:t xml:space="preserve"> </w:t>
      </w:r>
      <w:r w:rsidR="00365487">
        <w:rPr>
          <w:rFonts w:ascii="Arial" w:eastAsia="Times New Roman" w:hAnsi="Arial" w:cs="Times New Roman"/>
          <w:sz w:val="24"/>
          <w:szCs w:val="20"/>
          <w:lang w:eastAsia="es-ES"/>
        </w:rPr>
        <w:t>que</w:t>
      </w:r>
      <w:r>
        <w:rPr>
          <w:rFonts w:ascii="Arial" w:eastAsia="Times New Roman" w:hAnsi="Arial" w:cs="Times New Roman"/>
          <w:sz w:val="24"/>
          <w:szCs w:val="20"/>
          <w:lang w:eastAsia="es-ES"/>
        </w:rPr>
        <w:t>,</w:t>
      </w:r>
      <w:r w:rsidR="00365487">
        <w:rPr>
          <w:rFonts w:ascii="Arial" w:eastAsia="Times New Roman" w:hAnsi="Arial" w:cs="Times New Roman"/>
          <w:sz w:val="24"/>
          <w:szCs w:val="20"/>
          <w:lang w:eastAsia="es-ES"/>
        </w:rPr>
        <w:t xml:space="preserve"> si bien no se p</w:t>
      </w:r>
      <w:r w:rsidR="00C73BAD" w:rsidRPr="0008492C">
        <w:rPr>
          <w:rFonts w:ascii="Arial" w:eastAsia="Times New Roman" w:hAnsi="Arial" w:cs="Times New Roman"/>
          <w:sz w:val="24"/>
          <w:szCs w:val="20"/>
          <w:lang w:eastAsia="es-ES"/>
        </w:rPr>
        <w:t>rocede tal como lo indica el Tribunal de</w:t>
      </w:r>
      <w:r w:rsidR="00517366" w:rsidRPr="0008492C">
        <w:rPr>
          <w:rFonts w:ascii="Arial" w:eastAsia="Times New Roman" w:hAnsi="Arial" w:cs="Times New Roman"/>
          <w:sz w:val="24"/>
          <w:szCs w:val="20"/>
          <w:lang w:eastAsia="es-ES"/>
        </w:rPr>
        <w:t xml:space="preserve"> Cuentas, se actuó en un marco adecuado en busca de la</w:t>
      </w:r>
      <w:r w:rsidR="00517366">
        <w:rPr>
          <w:rFonts w:ascii="Arial" w:eastAsia="Times New Roman" w:hAnsi="Arial" w:cs="Times New Roman"/>
          <w:sz w:val="24"/>
          <w:szCs w:val="20"/>
          <w:lang w:eastAsia="es-ES"/>
        </w:rPr>
        <w:t xml:space="preserve"> eficacia y eficiencia de sus procesos</w:t>
      </w:r>
      <w:r>
        <w:rPr>
          <w:rFonts w:ascii="Arial" w:eastAsia="Times New Roman" w:hAnsi="Arial" w:cs="Times New Roman"/>
          <w:sz w:val="24"/>
          <w:szCs w:val="20"/>
          <w:lang w:eastAsia="es-ES"/>
        </w:rPr>
        <w:t>. E</w:t>
      </w:r>
      <w:r w:rsidR="004D2A6A">
        <w:rPr>
          <w:rFonts w:ascii="Arial" w:eastAsia="Times New Roman" w:hAnsi="Arial" w:cs="Times New Roman"/>
          <w:sz w:val="24"/>
          <w:szCs w:val="20"/>
          <w:lang w:eastAsia="es-ES"/>
        </w:rPr>
        <w:t xml:space="preserve">l procedimiento debe adecuarse a las disposiciones </w:t>
      </w:r>
      <w:r w:rsidR="0068415D">
        <w:rPr>
          <w:rFonts w:ascii="Arial" w:eastAsia="Times New Roman" w:hAnsi="Arial" w:cs="Times New Roman"/>
          <w:sz w:val="24"/>
          <w:szCs w:val="20"/>
          <w:lang w:eastAsia="es-ES"/>
        </w:rPr>
        <w:t>establecidas en el</w:t>
      </w:r>
      <w:r w:rsidR="004D2A6A">
        <w:rPr>
          <w:rFonts w:ascii="Arial" w:eastAsia="Times New Roman" w:hAnsi="Arial" w:cs="Times New Roman"/>
          <w:sz w:val="24"/>
          <w:szCs w:val="20"/>
          <w:lang w:eastAsia="es-ES"/>
        </w:rPr>
        <w:t xml:space="preserve"> TOC</w:t>
      </w:r>
      <w:r>
        <w:rPr>
          <w:rFonts w:ascii="Arial" w:eastAsia="Times New Roman" w:hAnsi="Arial" w:cs="Times New Roman"/>
          <w:sz w:val="24"/>
          <w:szCs w:val="20"/>
          <w:lang w:eastAsia="es-ES"/>
        </w:rPr>
        <w:t>AF y es competencia de este</w:t>
      </w:r>
      <w:r w:rsidR="004D2A6A">
        <w:rPr>
          <w:rFonts w:ascii="Arial" w:eastAsia="Times New Roman" w:hAnsi="Arial" w:cs="Times New Roman"/>
          <w:sz w:val="24"/>
          <w:szCs w:val="20"/>
          <w:lang w:eastAsia="es-ES"/>
        </w:rPr>
        <w:t xml:space="preserve"> Tribunal</w:t>
      </w:r>
      <w:r>
        <w:rPr>
          <w:rFonts w:ascii="Arial" w:eastAsia="Times New Roman" w:hAnsi="Arial" w:cs="Times New Roman"/>
          <w:sz w:val="24"/>
          <w:szCs w:val="20"/>
          <w:lang w:eastAsia="es-ES"/>
        </w:rPr>
        <w:t xml:space="preserve"> la de</w:t>
      </w:r>
      <w:r w:rsidR="004D2A6A">
        <w:rPr>
          <w:rFonts w:ascii="Arial" w:eastAsia="Times New Roman" w:hAnsi="Arial" w:cs="Times New Roman"/>
          <w:sz w:val="24"/>
          <w:szCs w:val="20"/>
          <w:lang w:eastAsia="es-ES"/>
        </w:rPr>
        <w:t xml:space="preserve"> controlar que eso así suceda. </w:t>
      </w:r>
      <w:r w:rsidR="00906963">
        <w:rPr>
          <w:rFonts w:ascii="Arial" w:eastAsia="Times New Roman" w:hAnsi="Arial" w:cs="Times New Roman"/>
          <w:sz w:val="24"/>
          <w:szCs w:val="20"/>
          <w:lang w:eastAsia="es-ES"/>
        </w:rPr>
        <w:t xml:space="preserve">En efecto, </w:t>
      </w:r>
      <w:r w:rsidR="005E2AC9">
        <w:rPr>
          <w:rFonts w:ascii="Arial" w:eastAsia="Times New Roman" w:hAnsi="Arial" w:cs="Times New Roman"/>
          <w:sz w:val="24"/>
          <w:szCs w:val="20"/>
          <w:lang w:eastAsia="es-ES"/>
        </w:rPr>
        <w:t xml:space="preserve">el </w:t>
      </w:r>
      <w:r w:rsidR="001360EB">
        <w:rPr>
          <w:rFonts w:ascii="Arial" w:eastAsia="Times New Roman" w:hAnsi="Arial" w:cs="Times New Roman"/>
          <w:sz w:val="24"/>
          <w:szCs w:val="20"/>
          <w:lang w:eastAsia="es-ES"/>
        </w:rPr>
        <w:t>A</w:t>
      </w:r>
      <w:r w:rsidR="005E2AC9">
        <w:rPr>
          <w:rFonts w:ascii="Arial" w:eastAsia="Times New Roman" w:hAnsi="Arial" w:cs="Times New Roman"/>
          <w:sz w:val="24"/>
          <w:szCs w:val="20"/>
          <w:lang w:eastAsia="es-ES"/>
        </w:rPr>
        <w:t xml:space="preserve">rtículo 65 de </w:t>
      </w:r>
      <w:r w:rsidR="005E2AC9">
        <w:rPr>
          <w:rFonts w:ascii="Arial" w:eastAsia="Times New Roman" w:hAnsi="Arial" w:cs="Times New Roman"/>
          <w:sz w:val="24"/>
          <w:szCs w:val="20"/>
          <w:lang w:eastAsia="es-ES"/>
        </w:rPr>
        <w:lastRenderedPageBreak/>
        <w:t>dicho</w:t>
      </w:r>
      <w:r w:rsidR="0008492C">
        <w:rPr>
          <w:rFonts w:ascii="Arial" w:eastAsia="Times New Roman" w:hAnsi="Arial" w:cs="Times New Roman"/>
          <w:sz w:val="24"/>
          <w:szCs w:val="20"/>
          <w:lang w:eastAsia="es-ES"/>
        </w:rPr>
        <w:t xml:space="preserve"> cuerpo normativo hace referencia al análisis de admisibilidad</w:t>
      </w:r>
      <w:r w:rsidR="00365487">
        <w:rPr>
          <w:rFonts w:ascii="Arial" w:eastAsia="Times New Roman" w:hAnsi="Arial" w:cs="Times New Roman"/>
          <w:sz w:val="24"/>
          <w:szCs w:val="20"/>
          <w:lang w:eastAsia="es-ES"/>
        </w:rPr>
        <w:t xml:space="preserve"> como una etapa</w:t>
      </w:r>
      <w:r w:rsidR="0008492C">
        <w:rPr>
          <w:rFonts w:ascii="Arial" w:eastAsia="Times New Roman" w:hAnsi="Arial" w:cs="Times New Roman"/>
          <w:sz w:val="24"/>
          <w:szCs w:val="20"/>
          <w:lang w:eastAsia="es-ES"/>
        </w:rPr>
        <w:t xml:space="preserve"> anterior a la </w:t>
      </w:r>
      <w:r w:rsidR="004D2A6A">
        <w:rPr>
          <w:rFonts w:ascii="Arial" w:eastAsia="Times New Roman" w:hAnsi="Arial" w:cs="Times New Roman"/>
          <w:sz w:val="24"/>
          <w:szCs w:val="20"/>
          <w:lang w:eastAsia="es-ES"/>
        </w:rPr>
        <w:t xml:space="preserve">de </w:t>
      </w:r>
      <w:r w:rsidR="0008492C">
        <w:rPr>
          <w:rFonts w:ascii="Arial" w:eastAsia="Times New Roman" w:hAnsi="Arial" w:cs="Times New Roman"/>
          <w:sz w:val="24"/>
          <w:szCs w:val="20"/>
          <w:lang w:eastAsia="es-ES"/>
        </w:rPr>
        <w:t>evaluación</w:t>
      </w:r>
      <w:r w:rsidR="004D2A6A">
        <w:rPr>
          <w:rFonts w:ascii="Arial" w:eastAsia="Times New Roman" w:hAnsi="Arial" w:cs="Times New Roman"/>
          <w:sz w:val="24"/>
          <w:szCs w:val="20"/>
          <w:lang w:eastAsia="es-ES"/>
        </w:rPr>
        <w:t>, la</w:t>
      </w:r>
      <w:r w:rsidR="0008492C">
        <w:rPr>
          <w:rFonts w:ascii="Arial" w:eastAsia="Times New Roman" w:hAnsi="Arial" w:cs="Times New Roman"/>
          <w:sz w:val="24"/>
          <w:szCs w:val="20"/>
          <w:lang w:eastAsia="es-ES"/>
        </w:rPr>
        <w:t xml:space="preserve"> </w:t>
      </w:r>
      <w:r w:rsidR="00365487">
        <w:rPr>
          <w:rFonts w:ascii="Arial" w:eastAsia="Times New Roman" w:hAnsi="Arial" w:cs="Times New Roman"/>
          <w:sz w:val="24"/>
          <w:szCs w:val="20"/>
          <w:lang w:eastAsia="es-ES"/>
        </w:rPr>
        <w:t>que debe realizarse siguiendo</w:t>
      </w:r>
      <w:r w:rsidR="0008492C">
        <w:rPr>
          <w:rFonts w:ascii="Arial" w:eastAsia="Times New Roman" w:hAnsi="Arial" w:cs="Times New Roman"/>
          <w:sz w:val="24"/>
          <w:szCs w:val="20"/>
          <w:lang w:eastAsia="es-ES"/>
        </w:rPr>
        <w:t xml:space="preserve"> los factores estable</w:t>
      </w:r>
      <w:r w:rsidR="00365487">
        <w:rPr>
          <w:rFonts w:ascii="Arial" w:eastAsia="Times New Roman" w:hAnsi="Arial" w:cs="Times New Roman"/>
          <w:sz w:val="24"/>
          <w:szCs w:val="20"/>
          <w:lang w:eastAsia="es-ES"/>
        </w:rPr>
        <w:t>cidos en las bases del llamad</w:t>
      </w:r>
      <w:r w:rsidR="004D2A6A">
        <w:rPr>
          <w:rFonts w:ascii="Arial" w:eastAsia="Times New Roman" w:hAnsi="Arial" w:cs="Times New Roman"/>
          <w:sz w:val="24"/>
          <w:szCs w:val="20"/>
          <w:lang w:eastAsia="es-ES"/>
        </w:rPr>
        <w:t>o</w:t>
      </w:r>
      <w:r w:rsidR="00365487">
        <w:rPr>
          <w:rFonts w:ascii="Arial" w:eastAsia="Times New Roman" w:hAnsi="Arial" w:cs="Times New Roman"/>
          <w:sz w:val="24"/>
          <w:szCs w:val="20"/>
          <w:lang w:eastAsia="es-ES"/>
        </w:rPr>
        <w:t xml:space="preserve">. Asimismo, </w:t>
      </w:r>
      <w:r w:rsidR="0008492C">
        <w:rPr>
          <w:rFonts w:ascii="Arial" w:eastAsia="Times New Roman" w:hAnsi="Arial" w:cs="Times New Roman"/>
          <w:sz w:val="24"/>
          <w:szCs w:val="20"/>
          <w:lang w:eastAsia="es-ES"/>
        </w:rPr>
        <w:t xml:space="preserve">el </w:t>
      </w:r>
      <w:r w:rsidR="001360EB">
        <w:rPr>
          <w:rFonts w:ascii="Arial" w:eastAsia="Times New Roman" w:hAnsi="Arial" w:cs="Times New Roman"/>
          <w:sz w:val="24"/>
          <w:szCs w:val="20"/>
          <w:lang w:eastAsia="es-ES"/>
        </w:rPr>
        <w:t>A</w:t>
      </w:r>
      <w:r w:rsidR="0008492C">
        <w:rPr>
          <w:rFonts w:ascii="Arial" w:eastAsia="Times New Roman" w:hAnsi="Arial" w:cs="Times New Roman"/>
          <w:sz w:val="24"/>
          <w:szCs w:val="20"/>
          <w:lang w:eastAsia="es-ES"/>
        </w:rPr>
        <w:t xml:space="preserve">rtículo 66 regula la posibilidad de mejorar ofertas entre aquellas que recibieron una calificación similar o que tengan un precio similar, lo que </w:t>
      </w:r>
      <w:r w:rsidR="00365487">
        <w:rPr>
          <w:rFonts w:ascii="Arial" w:eastAsia="Times New Roman" w:hAnsi="Arial" w:cs="Times New Roman"/>
          <w:sz w:val="24"/>
          <w:szCs w:val="20"/>
          <w:lang w:eastAsia="es-ES"/>
        </w:rPr>
        <w:t>necesariamente implica</w:t>
      </w:r>
      <w:r w:rsidR="0008492C">
        <w:rPr>
          <w:rFonts w:ascii="Arial" w:eastAsia="Times New Roman" w:hAnsi="Arial" w:cs="Times New Roman"/>
          <w:sz w:val="24"/>
          <w:szCs w:val="20"/>
          <w:lang w:eastAsia="es-ES"/>
        </w:rPr>
        <w:t xml:space="preserve"> que las mismas hayan sido previamente evaluadas y calificadas</w:t>
      </w:r>
      <w:r>
        <w:rPr>
          <w:rFonts w:ascii="Arial" w:eastAsia="Times New Roman" w:hAnsi="Arial" w:cs="Times New Roman"/>
          <w:sz w:val="24"/>
          <w:szCs w:val="20"/>
          <w:lang w:eastAsia="es-ES"/>
        </w:rPr>
        <w:t>,</w:t>
      </w:r>
      <w:r w:rsidR="0008492C">
        <w:rPr>
          <w:rFonts w:ascii="Arial" w:eastAsia="Times New Roman" w:hAnsi="Arial" w:cs="Times New Roman"/>
          <w:sz w:val="24"/>
          <w:szCs w:val="20"/>
          <w:lang w:eastAsia="es-ES"/>
        </w:rPr>
        <w:t xml:space="preserve"> para </w:t>
      </w:r>
      <w:r w:rsidR="00365487">
        <w:rPr>
          <w:rFonts w:ascii="Arial" w:eastAsia="Times New Roman" w:hAnsi="Arial" w:cs="Times New Roman"/>
          <w:sz w:val="24"/>
          <w:szCs w:val="20"/>
          <w:lang w:eastAsia="es-ES"/>
        </w:rPr>
        <w:t xml:space="preserve">proceder a </w:t>
      </w:r>
      <w:r w:rsidR="0008492C">
        <w:rPr>
          <w:rFonts w:ascii="Arial" w:eastAsia="Times New Roman" w:hAnsi="Arial" w:cs="Times New Roman"/>
          <w:sz w:val="24"/>
          <w:szCs w:val="20"/>
          <w:lang w:eastAsia="es-ES"/>
        </w:rPr>
        <w:t>compa</w:t>
      </w:r>
      <w:r w:rsidR="00565B08">
        <w:rPr>
          <w:rFonts w:ascii="Arial" w:eastAsia="Times New Roman" w:hAnsi="Arial" w:cs="Times New Roman"/>
          <w:sz w:val="24"/>
          <w:szCs w:val="20"/>
          <w:lang w:eastAsia="es-ES"/>
        </w:rPr>
        <w:t>rar sus precios y puntuaciones</w:t>
      </w:r>
      <w:r w:rsidR="004D2A6A">
        <w:rPr>
          <w:rFonts w:ascii="Arial" w:eastAsia="Times New Roman" w:hAnsi="Arial" w:cs="Times New Roman"/>
          <w:sz w:val="24"/>
          <w:szCs w:val="20"/>
          <w:lang w:eastAsia="es-ES"/>
        </w:rPr>
        <w:t xml:space="preserve"> en una etapa posterior</w:t>
      </w:r>
      <w:r w:rsidR="00565B08">
        <w:rPr>
          <w:rFonts w:ascii="Arial" w:eastAsia="Times New Roman" w:hAnsi="Arial" w:cs="Times New Roman"/>
          <w:sz w:val="24"/>
          <w:szCs w:val="20"/>
          <w:lang w:eastAsia="es-ES"/>
        </w:rPr>
        <w:t>;</w:t>
      </w:r>
    </w:p>
    <w:p w:rsidR="00AC2B6D" w:rsidRPr="00463991" w:rsidRDefault="0070371A" w:rsidP="004974B3">
      <w:pPr>
        <w:spacing w:after="0" w:line="360" w:lineRule="auto"/>
        <w:ind w:firstLine="3119"/>
        <w:jc w:val="both"/>
        <w:rPr>
          <w:rFonts w:ascii="Arial" w:eastAsia="Times New Roman" w:hAnsi="Arial" w:cs="Arial"/>
          <w:sz w:val="24"/>
          <w:szCs w:val="24"/>
          <w:lang w:eastAsia="es-ES"/>
        </w:rPr>
      </w:pPr>
      <w:r>
        <w:rPr>
          <w:rFonts w:ascii="Arial" w:eastAsia="Times New Roman" w:hAnsi="Arial" w:cs="Times New Roman"/>
          <w:b/>
          <w:sz w:val="24"/>
          <w:szCs w:val="20"/>
          <w:lang w:eastAsia="es-ES"/>
        </w:rPr>
        <w:t>3</w:t>
      </w:r>
      <w:r w:rsidR="00907DA8">
        <w:rPr>
          <w:rFonts w:ascii="Arial" w:eastAsia="Times New Roman" w:hAnsi="Arial" w:cs="Times New Roman"/>
          <w:b/>
          <w:sz w:val="24"/>
          <w:szCs w:val="20"/>
          <w:lang w:eastAsia="es-ES"/>
        </w:rPr>
        <w:t xml:space="preserve">) </w:t>
      </w:r>
      <w:r w:rsidR="00907DA8" w:rsidRPr="008A109E">
        <w:rPr>
          <w:rFonts w:ascii="Arial" w:eastAsia="Times New Roman" w:hAnsi="Arial" w:cs="Times New Roman"/>
          <w:sz w:val="24"/>
          <w:szCs w:val="20"/>
          <w:lang w:eastAsia="es-ES"/>
        </w:rPr>
        <w:t xml:space="preserve">en </w:t>
      </w:r>
      <w:r w:rsidR="008A109E">
        <w:rPr>
          <w:rFonts w:ascii="Arial" w:eastAsia="Times New Roman" w:hAnsi="Arial" w:cs="Times New Roman"/>
          <w:sz w:val="24"/>
          <w:szCs w:val="20"/>
          <w:lang w:eastAsia="es-ES"/>
        </w:rPr>
        <w:t>cuanto</w:t>
      </w:r>
      <w:r w:rsidR="0089737E" w:rsidRPr="008A109E">
        <w:rPr>
          <w:rFonts w:ascii="Arial" w:eastAsia="Times New Roman" w:hAnsi="Arial" w:cs="Times New Roman"/>
          <w:sz w:val="24"/>
          <w:szCs w:val="20"/>
          <w:lang w:eastAsia="es-ES"/>
        </w:rPr>
        <w:t xml:space="preserve"> </w:t>
      </w:r>
      <w:r>
        <w:rPr>
          <w:rFonts w:ascii="Arial" w:eastAsia="Times New Roman" w:hAnsi="Arial" w:cs="Times New Roman"/>
          <w:sz w:val="24"/>
          <w:szCs w:val="20"/>
          <w:lang w:eastAsia="es-ES"/>
        </w:rPr>
        <w:t>al</w:t>
      </w:r>
      <w:r w:rsidR="00907DA8" w:rsidRPr="008A109E">
        <w:rPr>
          <w:rFonts w:ascii="Arial" w:eastAsia="Times New Roman" w:hAnsi="Arial" w:cs="Times New Roman"/>
          <w:sz w:val="24"/>
          <w:szCs w:val="20"/>
          <w:lang w:eastAsia="es-ES"/>
        </w:rPr>
        <w:t xml:space="preserve"> requisito de inscripción</w:t>
      </w:r>
      <w:r w:rsidR="0089737E" w:rsidRPr="008A109E">
        <w:rPr>
          <w:rFonts w:ascii="Arial" w:eastAsia="Times New Roman" w:hAnsi="Arial" w:cs="Times New Roman"/>
          <w:sz w:val="24"/>
          <w:szCs w:val="20"/>
          <w:lang w:eastAsia="es-ES"/>
        </w:rPr>
        <w:t xml:space="preserve"> de los oferentes</w:t>
      </w:r>
      <w:r w:rsidR="00907DA8" w:rsidRPr="008A109E">
        <w:rPr>
          <w:rFonts w:ascii="Arial" w:eastAsia="Times New Roman" w:hAnsi="Arial" w:cs="Times New Roman"/>
          <w:sz w:val="24"/>
          <w:szCs w:val="20"/>
          <w:lang w:eastAsia="es-ES"/>
        </w:rPr>
        <w:t xml:space="preserve"> en el </w:t>
      </w:r>
      <w:r w:rsidR="001C174B">
        <w:rPr>
          <w:rFonts w:ascii="Arial" w:eastAsia="Times New Roman" w:hAnsi="Arial" w:cs="Times New Roman"/>
          <w:sz w:val="24"/>
          <w:szCs w:val="20"/>
          <w:lang w:eastAsia="es-ES"/>
        </w:rPr>
        <w:t>RUPE</w:t>
      </w:r>
      <w:r w:rsidR="00907DA8" w:rsidRPr="008A109E">
        <w:rPr>
          <w:rFonts w:ascii="Arial" w:eastAsia="Times New Roman" w:hAnsi="Arial" w:cs="Times New Roman"/>
          <w:sz w:val="24"/>
          <w:szCs w:val="20"/>
          <w:lang w:eastAsia="es-ES"/>
        </w:rPr>
        <w:t xml:space="preserve"> </w:t>
      </w:r>
      <w:r w:rsidR="0089737E" w:rsidRPr="008A109E">
        <w:rPr>
          <w:rFonts w:ascii="Arial" w:eastAsia="Times New Roman" w:hAnsi="Arial" w:cs="Times New Roman"/>
          <w:sz w:val="24"/>
          <w:szCs w:val="20"/>
          <w:lang w:eastAsia="es-ES"/>
        </w:rPr>
        <w:t>y a la argumentación sostenida</w:t>
      </w:r>
      <w:r w:rsidR="008A109E">
        <w:rPr>
          <w:rFonts w:ascii="Arial" w:eastAsia="Times New Roman" w:hAnsi="Arial" w:cs="Times New Roman"/>
          <w:sz w:val="24"/>
          <w:szCs w:val="20"/>
          <w:lang w:eastAsia="es-ES"/>
        </w:rPr>
        <w:t xml:space="preserve"> por la Administración</w:t>
      </w:r>
      <w:r w:rsidR="0089737E" w:rsidRPr="008A109E">
        <w:rPr>
          <w:rFonts w:ascii="Arial" w:eastAsia="Times New Roman" w:hAnsi="Arial" w:cs="Times New Roman"/>
          <w:sz w:val="24"/>
          <w:szCs w:val="20"/>
          <w:lang w:eastAsia="es-ES"/>
        </w:rPr>
        <w:t xml:space="preserve"> de que a la fecha de la apertura </w:t>
      </w:r>
      <w:r w:rsidR="008A109E">
        <w:rPr>
          <w:rFonts w:ascii="Arial" w:eastAsia="Times New Roman" w:hAnsi="Arial" w:cs="Times New Roman"/>
          <w:sz w:val="24"/>
          <w:szCs w:val="20"/>
          <w:lang w:eastAsia="es-ES"/>
        </w:rPr>
        <w:t>de las ofertas ésta</w:t>
      </w:r>
      <w:r w:rsidR="0089737E" w:rsidRPr="008A109E">
        <w:rPr>
          <w:rFonts w:ascii="Arial" w:eastAsia="Times New Roman" w:hAnsi="Arial" w:cs="Times New Roman"/>
          <w:sz w:val="24"/>
          <w:szCs w:val="20"/>
          <w:lang w:eastAsia="es-ES"/>
        </w:rPr>
        <w:t xml:space="preserve"> no era un organismo incorporado al </w:t>
      </w:r>
      <w:r w:rsidR="008A109E">
        <w:rPr>
          <w:rFonts w:ascii="Arial" w:eastAsia="Times New Roman" w:hAnsi="Arial" w:cs="Times New Roman"/>
          <w:sz w:val="24"/>
          <w:szCs w:val="20"/>
          <w:lang w:eastAsia="es-ES"/>
        </w:rPr>
        <w:t>mencionado</w:t>
      </w:r>
      <w:r w:rsidR="0089737E" w:rsidRPr="008A109E">
        <w:rPr>
          <w:rFonts w:ascii="Arial" w:eastAsia="Times New Roman" w:hAnsi="Arial" w:cs="Times New Roman"/>
          <w:sz w:val="24"/>
          <w:szCs w:val="20"/>
          <w:lang w:eastAsia="es-ES"/>
        </w:rPr>
        <w:t xml:space="preserve"> </w:t>
      </w:r>
      <w:r w:rsidR="00A47D3F">
        <w:rPr>
          <w:rFonts w:ascii="Arial" w:eastAsia="Times New Roman" w:hAnsi="Arial" w:cs="Times New Roman"/>
          <w:sz w:val="24"/>
          <w:szCs w:val="20"/>
          <w:lang w:eastAsia="es-ES"/>
        </w:rPr>
        <w:t>R</w:t>
      </w:r>
      <w:r w:rsidR="0089737E" w:rsidRPr="008A109E">
        <w:rPr>
          <w:rFonts w:ascii="Arial" w:eastAsia="Times New Roman" w:hAnsi="Arial" w:cs="Times New Roman"/>
          <w:sz w:val="24"/>
          <w:szCs w:val="20"/>
          <w:lang w:eastAsia="es-ES"/>
        </w:rPr>
        <w:t xml:space="preserve">egistro, debe señalarse que, de conformidad con lo dispuesto </w:t>
      </w:r>
      <w:r w:rsidR="008A109E">
        <w:rPr>
          <w:rFonts w:ascii="Arial" w:eastAsia="Times New Roman" w:hAnsi="Arial" w:cs="Times New Roman"/>
          <w:sz w:val="24"/>
          <w:szCs w:val="20"/>
          <w:lang w:eastAsia="es-ES"/>
        </w:rPr>
        <w:t xml:space="preserve">en el </w:t>
      </w:r>
      <w:r w:rsidR="001360EB">
        <w:rPr>
          <w:rFonts w:ascii="Arial" w:eastAsia="Times New Roman" w:hAnsi="Arial" w:cs="Times New Roman"/>
          <w:sz w:val="24"/>
          <w:szCs w:val="20"/>
          <w:lang w:eastAsia="es-ES"/>
        </w:rPr>
        <w:t>A</w:t>
      </w:r>
      <w:r w:rsidR="008A109E">
        <w:rPr>
          <w:rFonts w:ascii="Arial" w:eastAsia="Times New Roman" w:hAnsi="Arial" w:cs="Times New Roman"/>
          <w:sz w:val="24"/>
          <w:szCs w:val="20"/>
          <w:lang w:eastAsia="es-ES"/>
        </w:rPr>
        <w:t>rtículo 46 del TOCAF, la falta de tal</w:t>
      </w:r>
      <w:r w:rsidR="0089737E" w:rsidRPr="008A109E">
        <w:rPr>
          <w:rFonts w:ascii="Arial" w:eastAsia="Times New Roman" w:hAnsi="Arial" w:cs="Times New Roman"/>
          <w:sz w:val="24"/>
          <w:szCs w:val="20"/>
          <w:lang w:eastAsia="es-ES"/>
        </w:rPr>
        <w:t xml:space="preserve"> requerimiento afecta </w:t>
      </w:r>
      <w:r w:rsidR="008A109E">
        <w:rPr>
          <w:rFonts w:ascii="Arial" w:eastAsia="Times New Roman" w:hAnsi="Arial" w:cs="Times New Roman"/>
          <w:sz w:val="24"/>
          <w:szCs w:val="20"/>
          <w:lang w:eastAsia="es-ES"/>
        </w:rPr>
        <w:t xml:space="preserve">a </w:t>
      </w:r>
      <w:r w:rsidR="0089737E" w:rsidRPr="008A109E">
        <w:rPr>
          <w:rFonts w:ascii="Arial" w:eastAsia="Times New Roman" w:hAnsi="Arial" w:cs="Times New Roman"/>
          <w:sz w:val="24"/>
          <w:szCs w:val="20"/>
          <w:lang w:eastAsia="es-ES"/>
        </w:rPr>
        <w:t xml:space="preserve">la capacidad para contratar con el Estado, por lo que no es procedente el otorgamiento de </w:t>
      </w:r>
      <w:r w:rsidR="00907DA8" w:rsidRPr="008A109E">
        <w:rPr>
          <w:rFonts w:ascii="Arial" w:eastAsia="Times New Roman" w:hAnsi="Arial" w:cs="Times New Roman"/>
          <w:sz w:val="24"/>
          <w:szCs w:val="20"/>
          <w:lang w:eastAsia="es-ES"/>
        </w:rPr>
        <w:t>un plazo complementario</w:t>
      </w:r>
      <w:r w:rsidR="008A109E">
        <w:rPr>
          <w:rFonts w:ascii="Arial" w:eastAsia="Times New Roman" w:hAnsi="Arial" w:cs="Times New Roman"/>
          <w:sz w:val="24"/>
          <w:szCs w:val="20"/>
          <w:lang w:eastAsia="es-ES"/>
        </w:rPr>
        <w:t xml:space="preserve"> para su cumplimiento, independientemente de la fecha de </w:t>
      </w:r>
      <w:r w:rsidR="00907DA8" w:rsidRPr="008A109E">
        <w:rPr>
          <w:rFonts w:ascii="Arial" w:eastAsia="Times New Roman" w:hAnsi="Arial" w:cs="Times New Roman"/>
          <w:sz w:val="24"/>
          <w:szCs w:val="20"/>
          <w:lang w:eastAsia="es-ES"/>
        </w:rPr>
        <w:t>incorporación del Organismo</w:t>
      </w:r>
      <w:r w:rsidR="008A109E">
        <w:rPr>
          <w:rFonts w:ascii="Arial" w:eastAsia="Times New Roman" w:hAnsi="Arial" w:cs="Times New Roman"/>
          <w:sz w:val="24"/>
          <w:szCs w:val="20"/>
          <w:lang w:eastAsia="es-ES"/>
        </w:rPr>
        <w:t xml:space="preserve"> al sistema</w:t>
      </w:r>
      <w:r w:rsidR="00AC2B6D">
        <w:rPr>
          <w:rFonts w:ascii="Arial" w:eastAsia="Times New Roman" w:hAnsi="Arial" w:cs="Times New Roman"/>
          <w:sz w:val="24"/>
          <w:szCs w:val="20"/>
          <w:lang w:eastAsia="es-ES"/>
        </w:rPr>
        <w:t>. Este extremo ha sido</w:t>
      </w:r>
      <w:r w:rsidR="0048196D">
        <w:rPr>
          <w:rFonts w:ascii="Arial" w:eastAsia="Times New Roman" w:hAnsi="Arial" w:cs="Times New Roman"/>
          <w:sz w:val="24"/>
          <w:szCs w:val="20"/>
          <w:lang w:eastAsia="es-ES"/>
        </w:rPr>
        <w:t xml:space="preserve"> anteriormente observado mediante </w:t>
      </w:r>
      <w:r w:rsidR="00AC2B6D" w:rsidRPr="00AC2B6D">
        <w:rPr>
          <w:rFonts w:ascii="Arial" w:eastAsia="Times New Roman" w:hAnsi="Arial" w:cs="Times New Roman"/>
          <w:sz w:val="24"/>
          <w:szCs w:val="20"/>
          <w:lang w:eastAsia="es-ES"/>
        </w:rPr>
        <w:t xml:space="preserve">Resolución </w:t>
      </w:r>
      <w:r w:rsidR="0048196D">
        <w:rPr>
          <w:rFonts w:ascii="Arial" w:eastAsia="Times New Roman" w:hAnsi="Arial" w:cs="Times New Roman"/>
          <w:sz w:val="24"/>
          <w:szCs w:val="20"/>
          <w:lang w:eastAsia="es-ES"/>
        </w:rPr>
        <w:t>de</w:t>
      </w:r>
      <w:r w:rsidR="00AC2B6D" w:rsidRPr="00AC2B6D">
        <w:rPr>
          <w:rFonts w:ascii="Arial" w:eastAsia="Times New Roman" w:hAnsi="Arial" w:cs="Times New Roman"/>
          <w:sz w:val="24"/>
          <w:szCs w:val="20"/>
          <w:lang w:eastAsia="es-ES"/>
        </w:rPr>
        <w:t xml:space="preserve"> </w:t>
      </w:r>
      <w:r w:rsidR="00CA0825">
        <w:rPr>
          <w:rFonts w:ascii="Arial" w:eastAsia="Times New Roman" w:hAnsi="Arial" w:cs="Times New Roman"/>
          <w:sz w:val="24"/>
          <w:szCs w:val="20"/>
          <w:lang w:eastAsia="es-ES"/>
        </w:rPr>
        <w:t>Sesión de fecha</w:t>
      </w:r>
      <w:r w:rsidR="00AC2B6D">
        <w:rPr>
          <w:rFonts w:ascii="Arial" w:eastAsia="Times New Roman" w:hAnsi="Arial" w:cs="Times New Roman"/>
          <w:sz w:val="24"/>
          <w:szCs w:val="20"/>
          <w:lang w:eastAsia="es-ES"/>
        </w:rPr>
        <w:t xml:space="preserve"> 07</w:t>
      </w:r>
      <w:r w:rsidR="001360EB">
        <w:rPr>
          <w:rFonts w:ascii="Arial" w:eastAsia="Times New Roman" w:hAnsi="Arial" w:cs="Times New Roman"/>
          <w:sz w:val="24"/>
          <w:szCs w:val="20"/>
          <w:lang w:eastAsia="es-ES"/>
        </w:rPr>
        <w:t>/</w:t>
      </w:r>
      <w:r w:rsidR="00AC2B6D">
        <w:rPr>
          <w:rFonts w:ascii="Arial" w:eastAsia="Times New Roman" w:hAnsi="Arial" w:cs="Times New Roman"/>
          <w:sz w:val="24"/>
          <w:szCs w:val="20"/>
          <w:lang w:eastAsia="es-ES"/>
        </w:rPr>
        <w:t>10</w:t>
      </w:r>
      <w:r w:rsidR="001360EB">
        <w:rPr>
          <w:rFonts w:ascii="Arial" w:eastAsia="Times New Roman" w:hAnsi="Arial" w:cs="Times New Roman"/>
          <w:sz w:val="24"/>
          <w:szCs w:val="20"/>
          <w:lang w:eastAsia="es-ES"/>
        </w:rPr>
        <w:t>/</w:t>
      </w:r>
      <w:r w:rsidR="00AC2B6D" w:rsidRPr="00AC2B6D">
        <w:rPr>
          <w:rFonts w:ascii="Arial" w:eastAsia="Times New Roman" w:hAnsi="Arial" w:cs="Times New Roman"/>
          <w:sz w:val="24"/>
          <w:szCs w:val="20"/>
          <w:lang w:eastAsia="es-ES"/>
        </w:rPr>
        <w:t>15</w:t>
      </w:r>
      <w:r w:rsidR="00CA0825">
        <w:rPr>
          <w:rFonts w:ascii="Arial" w:eastAsia="Times New Roman" w:hAnsi="Arial" w:cs="Times New Roman"/>
          <w:sz w:val="24"/>
          <w:szCs w:val="20"/>
          <w:lang w:eastAsia="es-ES"/>
        </w:rPr>
        <w:t>,</w:t>
      </w:r>
      <w:r w:rsidR="00AC2B6D" w:rsidRPr="00AC2B6D">
        <w:rPr>
          <w:rFonts w:ascii="Arial" w:eastAsia="Times New Roman" w:hAnsi="Arial" w:cs="Times New Roman"/>
          <w:sz w:val="24"/>
          <w:szCs w:val="20"/>
          <w:lang w:eastAsia="es-ES"/>
        </w:rPr>
        <w:t xml:space="preserve"> recaída </w:t>
      </w:r>
      <w:r w:rsidR="00F722F1">
        <w:rPr>
          <w:rFonts w:ascii="Arial" w:eastAsia="Times New Roman" w:hAnsi="Arial" w:cs="Times New Roman"/>
          <w:sz w:val="24"/>
          <w:szCs w:val="20"/>
          <w:lang w:eastAsia="es-ES"/>
        </w:rPr>
        <w:t>sobre</w:t>
      </w:r>
      <w:r w:rsidR="00AC2B6D">
        <w:rPr>
          <w:rFonts w:ascii="Arial" w:eastAsia="Times New Roman" w:hAnsi="Arial" w:cs="Times New Roman"/>
          <w:sz w:val="24"/>
          <w:szCs w:val="20"/>
          <w:lang w:eastAsia="es-ES"/>
        </w:rPr>
        <w:t xml:space="preserve"> </w:t>
      </w:r>
      <w:r w:rsidR="00AC2B6D" w:rsidRPr="00AC2B6D">
        <w:rPr>
          <w:rFonts w:ascii="Arial" w:eastAsia="Times New Roman" w:hAnsi="Arial" w:cs="Times New Roman"/>
          <w:sz w:val="24"/>
          <w:szCs w:val="20"/>
          <w:lang w:eastAsia="es-ES"/>
        </w:rPr>
        <w:t xml:space="preserve">la Licitación Pública </w:t>
      </w:r>
      <w:r w:rsidR="00AC2B6D" w:rsidRPr="00463991">
        <w:rPr>
          <w:rFonts w:ascii="Arial" w:eastAsia="Times New Roman" w:hAnsi="Arial" w:cs="Arial"/>
          <w:sz w:val="24"/>
          <w:szCs w:val="24"/>
          <w:lang w:eastAsia="es-ES"/>
        </w:rPr>
        <w:t>Nº 46563, así como</w:t>
      </w:r>
      <w:r w:rsidR="00CA0825">
        <w:rPr>
          <w:rFonts w:ascii="Arial" w:eastAsia="Times New Roman" w:hAnsi="Arial" w:cs="Arial"/>
          <w:sz w:val="24"/>
          <w:szCs w:val="24"/>
          <w:lang w:eastAsia="es-ES"/>
        </w:rPr>
        <w:t xml:space="preserve"> en</w:t>
      </w:r>
      <w:r w:rsidR="00AC2B6D" w:rsidRPr="00463991">
        <w:rPr>
          <w:rFonts w:ascii="Arial" w:eastAsia="Times New Roman" w:hAnsi="Arial" w:cs="Arial"/>
          <w:sz w:val="24"/>
          <w:szCs w:val="24"/>
          <w:lang w:eastAsia="es-ES"/>
        </w:rPr>
        <w:t xml:space="preserve"> la Resolución Nº 3/016 de fecha 13</w:t>
      </w:r>
      <w:r w:rsidR="001360EB">
        <w:rPr>
          <w:rFonts w:ascii="Arial" w:eastAsia="Times New Roman" w:hAnsi="Arial" w:cs="Arial"/>
          <w:sz w:val="24"/>
          <w:szCs w:val="24"/>
          <w:lang w:eastAsia="es-ES"/>
        </w:rPr>
        <w:t>/</w:t>
      </w:r>
      <w:r w:rsidR="00AC2B6D" w:rsidRPr="00463991">
        <w:rPr>
          <w:rFonts w:ascii="Arial" w:eastAsia="Times New Roman" w:hAnsi="Arial" w:cs="Arial"/>
          <w:sz w:val="24"/>
          <w:szCs w:val="24"/>
          <w:lang w:eastAsia="es-ES"/>
        </w:rPr>
        <w:t>01</w:t>
      </w:r>
      <w:r w:rsidR="001360EB">
        <w:rPr>
          <w:rFonts w:ascii="Arial" w:eastAsia="Times New Roman" w:hAnsi="Arial" w:cs="Arial"/>
          <w:sz w:val="24"/>
          <w:szCs w:val="24"/>
          <w:lang w:eastAsia="es-ES"/>
        </w:rPr>
        <w:t>/</w:t>
      </w:r>
      <w:r w:rsidR="00AC2B6D" w:rsidRPr="00463991">
        <w:rPr>
          <w:rFonts w:ascii="Arial" w:eastAsia="Times New Roman" w:hAnsi="Arial" w:cs="Arial"/>
          <w:sz w:val="24"/>
          <w:szCs w:val="24"/>
          <w:lang w:eastAsia="es-ES"/>
        </w:rPr>
        <w:t>16  en la que se mantuvo la observación formulada</w:t>
      </w:r>
      <w:r w:rsidR="0048196D" w:rsidRPr="00463991">
        <w:rPr>
          <w:rFonts w:ascii="Arial" w:eastAsia="Times New Roman" w:hAnsi="Arial" w:cs="Arial"/>
          <w:sz w:val="24"/>
          <w:szCs w:val="24"/>
          <w:lang w:eastAsia="es-ES"/>
        </w:rPr>
        <w:t>;</w:t>
      </w:r>
    </w:p>
    <w:p w:rsidR="0019680D" w:rsidRDefault="0070371A" w:rsidP="004974B3">
      <w:pPr>
        <w:spacing w:after="0" w:line="360" w:lineRule="auto"/>
        <w:ind w:firstLine="3119"/>
        <w:jc w:val="both"/>
        <w:rPr>
          <w:rFonts w:ascii="Arial" w:hAnsi="Arial" w:cs="Arial"/>
          <w:bCs/>
          <w:sz w:val="24"/>
          <w:szCs w:val="24"/>
        </w:rPr>
      </w:pPr>
      <w:r>
        <w:rPr>
          <w:rFonts w:ascii="Arial" w:eastAsia="Times New Roman" w:hAnsi="Arial" w:cs="Arial"/>
          <w:b/>
          <w:sz w:val="24"/>
          <w:szCs w:val="24"/>
          <w:lang w:eastAsia="es-ES"/>
        </w:rPr>
        <w:t>4</w:t>
      </w:r>
      <w:r w:rsidR="0048196D" w:rsidRPr="00463991">
        <w:rPr>
          <w:rFonts w:ascii="Arial" w:eastAsia="Times New Roman" w:hAnsi="Arial" w:cs="Arial"/>
          <w:b/>
          <w:sz w:val="24"/>
          <w:szCs w:val="24"/>
          <w:lang w:eastAsia="es-ES"/>
        </w:rPr>
        <w:t xml:space="preserve">) </w:t>
      </w:r>
      <w:r w:rsidR="0048196D" w:rsidRPr="00463991">
        <w:rPr>
          <w:rFonts w:ascii="Arial" w:hAnsi="Arial" w:cs="Arial"/>
          <w:sz w:val="24"/>
          <w:szCs w:val="24"/>
          <w:lang w:val="es-MX"/>
        </w:rPr>
        <w:t xml:space="preserve">que </w:t>
      </w:r>
      <w:r w:rsidR="00EA5A6E">
        <w:rPr>
          <w:rFonts w:ascii="Arial" w:hAnsi="Arial" w:cs="Arial"/>
          <w:sz w:val="24"/>
          <w:szCs w:val="24"/>
          <w:lang w:val="es-MX"/>
        </w:rPr>
        <w:t xml:space="preserve">no obstante la argumentación </w:t>
      </w:r>
      <w:r w:rsidR="008C563F">
        <w:rPr>
          <w:rFonts w:ascii="Arial" w:hAnsi="Arial" w:cs="Arial"/>
          <w:sz w:val="24"/>
          <w:szCs w:val="24"/>
          <w:lang w:val="es-MX"/>
        </w:rPr>
        <w:t>sostenida por</w:t>
      </w:r>
      <w:r w:rsidR="00EA5A6E">
        <w:rPr>
          <w:rFonts w:ascii="Arial" w:hAnsi="Arial" w:cs="Arial"/>
          <w:sz w:val="24"/>
          <w:szCs w:val="24"/>
          <w:lang w:val="es-MX"/>
        </w:rPr>
        <w:t xml:space="preserve"> la Administración,</w:t>
      </w:r>
      <w:r w:rsidR="0019680D">
        <w:rPr>
          <w:rFonts w:ascii="Arial" w:hAnsi="Arial" w:cs="Arial"/>
          <w:bCs/>
          <w:sz w:val="24"/>
          <w:szCs w:val="24"/>
        </w:rPr>
        <w:t xml:space="preserve"> reconociendo que </w:t>
      </w:r>
      <w:r w:rsidR="009C4CE4" w:rsidRPr="00463991">
        <w:rPr>
          <w:rFonts w:ascii="Arial" w:hAnsi="Arial" w:cs="Arial"/>
          <w:bCs/>
          <w:sz w:val="24"/>
          <w:szCs w:val="24"/>
        </w:rPr>
        <w:t xml:space="preserve">la redacción del </w:t>
      </w:r>
      <w:r w:rsidR="001360EB">
        <w:rPr>
          <w:rFonts w:ascii="Arial" w:hAnsi="Arial" w:cs="Arial"/>
          <w:bCs/>
          <w:sz w:val="24"/>
          <w:szCs w:val="24"/>
        </w:rPr>
        <w:t>N</w:t>
      </w:r>
      <w:r w:rsidR="009C4CE4" w:rsidRPr="00463991">
        <w:rPr>
          <w:rFonts w:ascii="Arial" w:hAnsi="Arial" w:cs="Arial"/>
          <w:bCs/>
          <w:sz w:val="24"/>
          <w:szCs w:val="24"/>
        </w:rPr>
        <w:t>umeral 6.1 de la Parte II del Pliego de Condiciones Particulares puede dar lugar a confusión,</w:t>
      </w:r>
      <w:r w:rsidR="0019680D">
        <w:rPr>
          <w:rFonts w:ascii="Arial" w:hAnsi="Arial" w:cs="Arial"/>
          <w:bCs/>
          <w:sz w:val="24"/>
          <w:szCs w:val="24"/>
        </w:rPr>
        <w:t xml:space="preserve"> y aclarando que</w:t>
      </w:r>
      <w:r w:rsidR="009C4CE4" w:rsidRPr="00463991">
        <w:rPr>
          <w:rFonts w:ascii="Arial" w:hAnsi="Arial" w:cs="Arial"/>
          <w:bCs/>
          <w:sz w:val="24"/>
          <w:szCs w:val="24"/>
        </w:rPr>
        <w:t xml:space="preserve"> </w:t>
      </w:r>
      <w:r w:rsidR="0048196D" w:rsidRPr="00463991">
        <w:rPr>
          <w:rFonts w:ascii="Arial" w:hAnsi="Arial" w:cs="Arial"/>
          <w:bCs/>
          <w:sz w:val="24"/>
          <w:szCs w:val="24"/>
        </w:rPr>
        <w:t>la Comisión Asesora no acepta ninguna propuesta que no cumpla con el período de mantenimiento de la oferta exigido, la observación formulada</w:t>
      </w:r>
      <w:r w:rsidR="00EA5A6E">
        <w:rPr>
          <w:rFonts w:ascii="Arial" w:hAnsi="Arial" w:cs="Arial"/>
          <w:bCs/>
          <w:sz w:val="24"/>
          <w:szCs w:val="24"/>
        </w:rPr>
        <w:t xml:space="preserve"> no se ve afectada, ya que </w:t>
      </w:r>
      <w:r w:rsidR="0019680D">
        <w:rPr>
          <w:rFonts w:ascii="Arial" w:hAnsi="Arial" w:cs="Arial"/>
          <w:bCs/>
          <w:sz w:val="24"/>
          <w:szCs w:val="24"/>
        </w:rPr>
        <w:t>recae sobre</w:t>
      </w:r>
      <w:r w:rsidR="0019680D" w:rsidRPr="00463991">
        <w:rPr>
          <w:rFonts w:ascii="Arial" w:hAnsi="Arial" w:cs="Arial"/>
          <w:bCs/>
          <w:sz w:val="24"/>
          <w:szCs w:val="24"/>
        </w:rPr>
        <w:t xml:space="preserve"> la etapa preparatoria del pr</w:t>
      </w:r>
      <w:r w:rsidR="0019680D">
        <w:rPr>
          <w:rFonts w:ascii="Arial" w:hAnsi="Arial" w:cs="Arial"/>
          <w:bCs/>
          <w:sz w:val="24"/>
          <w:szCs w:val="24"/>
        </w:rPr>
        <w:t>ocedimiento</w:t>
      </w:r>
      <w:r w:rsidR="00EA5A6E">
        <w:rPr>
          <w:rFonts w:ascii="Arial" w:hAnsi="Arial" w:cs="Arial"/>
          <w:bCs/>
          <w:sz w:val="24"/>
          <w:szCs w:val="24"/>
        </w:rPr>
        <w:t>,</w:t>
      </w:r>
      <w:r w:rsidR="00EA5A6E" w:rsidRPr="00EA5A6E">
        <w:rPr>
          <w:rFonts w:ascii="Arial" w:hAnsi="Arial" w:cs="Arial"/>
          <w:bCs/>
          <w:sz w:val="24"/>
          <w:szCs w:val="24"/>
        </w:rPr>
        <w:t xml:space="preserve"> </w:t>
      </w:r>
      <w:r w:rsidR="00EA5A6E">
        <w:rPr>
          <w:rFonts w:ascii="Arial" w:hAnsi="Arial" w:cs="Arial"/>
          <w:bCs/>
          <w:sz w:val="24"/>
          <w:szCs w:val="24"/>
        </w:rPr>
        <w:t xml:space="preserve">correspondiente a la fase </w:t>
      </w:r>
      <w:r w:rsidR="00EA5A6E" w:rsidRPr="00463991">
        <w:rPr>
          <w:rFonts w:ascii="Arial" w:hAnsi="Arial" w:cs="Arial"/>
          <w:bCs/>
          <w:sz w:val="24"/>
          <w:szCs w:val="24"/>
        </w:rPr>
        <w:t>de confección del Pliego de Condiciones Particulares</w:t>
      </w:r>
      <w:r w:rsidR="0019680D">
        <w:rPr>
          <w:rFonts w:ascii="Arial" w:hAnsi="Arial" w:cs="Arial"/>
          <w:bCs/>
          <w:sz w:val="24"/>
          <w:szCs w:val="24"/>
        </w:rPr>
        <w:t>,</w:t>
      </w:r>
      <w:r w:rsidR="00EA5A6E">
        <w:rPr>
          <w:rFonts w:ascii="Arial" w:hAnsi="Arial" w:cs="Arial"/>
          <w:bCs/>
          <w:sz w:val="24"/>
          <w:szCs w:val="24"/>
        </w:rPr>
        <w:t xml:space="preserve"> </w:t>
      </w:r>
      <w:r w:rsidR="0019680D" w:rsidRPr="00463991">
        <w:rPr>
          <w:rFonts w:ascii="Arial" w:hAnsi="Arial" w:cs="Arial"/>
          <w:bCs/>
          <w:sz w:val="24"/>
          <w:szCs w:val="24"/>
        </w:rPr>
        <w:t xml:space="preserve">y no </w:t>
      </w:r>
      <w:r w:rsidR="0019680D">
        <w:rPr>
          <w:rFonts w:ascii="Arial" w:hAnsi="Arial" w:cs="Arial"/>
          <w:bCs/>
          <w:sz w:val="24"/>
          <w:szCs w:val="24"/>
        </w:rPr>
        <w:t>a</w:t>
      </w:r>
      <w:r w:rsidR="0019680D" w:rsidRPr="00463991">
        <w:rPr>
          <w:rFonts w:ascii="Arial" w:hAnsi="Arial" w:cs="Arial"/>
          <w:bCs/>
          <w:sz w:val="24"/>
          <w:szCs w:val="24"/>
        </w:rPr>
        <w:t xml:space="preserve"> la posterior actuación </w:t>
      </w:r>
      <w:r w:rsidR="0019680D">
        <w:rPr>
          <w:rFonts w:ascii="Arial" w:hAnsi="Arial" w:cs="Arial"/>
          <w:bCs/>
          <w:sz w:val="24"/>
          <w:szCs w:val="24"/>
        </w:rPr>
        <w:t>d</w:t>
      </w:r>
      <w:r w:rsidR="00EA5A6E">
        <w:rPr>
          <w:rFonts w:ascii="Arial" w:hAnsi="Arial" w:cs="Arial"/>
          <w:bCs/>
          <w:sz w:val="24"/>
          <w:szCs w:val="24"/>
        </w:rPr>
        <w:t>e la Comisión Asesora actuante;</w:t>
      </w:r>
    </w:p>
    <w:p w:rsidR="00745D6B" w:rsidRPr="00EA5A6E" w:rsidRDefault="0070371A" w:rsidP="004974B3">
      <w:pPr>
        <w:spacing w:after="0" w:line="360" w:lineRule="auto"/>
        <w:ind w:firstLine="3119"/>
        <w:jc w:val="both"/>
        <w:rPr>
          <w:rFonts w:ascii="Arial" w:hAnsi="Arial" w:cs="Arial"/>
          <w:b/>
          <w:bCs/>
          <w:sz w:val="24"/>
          <w:szCs w:val="24"/>
        </w:rPr>
      </w:pPr>
      <w:r>
        <w:rPr>
          <w:rFonts w:ascii="Arial" w:hAnsi="Arial" w:cs="Arial"/>
          <w:b/>
          <w:bCs/>
          <w:sz w:val="24"/>
          <w:szCs w:val="24"/>
        </w:rPr>
        <w:t>5</w:t>
      </w:r>
      <w:r w:rsidR="00EA5A6E" w:rsidRPr="00EA5A6E">
        <w:rPr>
          <w:rFonts w:ascii="Arial" w:hAnsi="Arial" w:cs="Arial"/>
          <w:b/>
          <w:bCs/>
          <w:sz w:val="24"/>
          <w:szCs w:val="24"/>
        </w:rPr>
        <w:t xml:space="preserve">) </w:t>
      </w:r>
      <w:r w:rsidR="006E7966">
        <w:rPr>
          <w:rFonts w:ascii="Arial" w:hAnsi="Arial" w:cs="Arial"/>
          <w:bCs/>
          <w:sz w:val="24"/>
          <w:szCs w:val="24"/>
        </w:rPr>
        <w:t xml:space="preserve">que en cuanto a la </w:t>
      </w:r>
      <w:r w:rsidR="007D661E" w:rsidRPr="007D661E">
        <w:rPr>
          <w:rFonts w:ascii="Arial" w:hAnsi="Arial" w:cs="Arial"/>
          <w:bCs/>
          <w:sz w:val="24"/>
          <w:szCs w:val="24"/>
        </w:rPr>
        <w:t>contravención</w:t>
      </w:r>
      <w:r w:rsidR="007D661E">
        <w:rPr>
          <w:rFonts w:ascii="Arial" w:hAnsi="Arial" w:cs="Arial"/>
          <w:bCs/>
          <w:sz w:val="24"/>
          <w:szCs w:val="24"/>
        </w:rPr>
        <w:t xml:space="preserve"> del </w:t>
      </w:r>
      <w:r w:rsidR="001360EB">
        <w:rPr>
          <w:rFonts w:ascii="Arial" w:hAnsi="Arial" w:cs="Arial"/>
          <w:bCs/>
          <w:sz w:val="24"/>
          <w:szCs w:val="24"/>
        </w:rPr>
        <w:t>A</w:t>
      </w:r>
      <w:r w:rsidR="007D661E">
        <w:rPr>
          <w:rFonts w:ascii="Arial" w:hAnsi="Arial" w:cs="Arial"/>
          <w:bCs/>
          <w:sz w:val="24"/>
          <w:szCs w:val="24"/>
        </w:rPr>
        <w:t>rtículo 15 del TOCAF, los argumentos esgrimidos</w:t>
      </w:r>
      <w:r w:rsidR="007D661E" w:rsidRPr="007D661E">
        <w:rPr>
          <w:rFonts w:ascii="Arial" w:hAnsi="Arial" w:cs="Arial"/>
          <w:bCs/>
          <w:sz w:val="24"/>
          <w:szCs w:val="24"/>
        </w:rPr>
        <w:t xml:space="preserve"> no guardan relación con </w:t>
      </w:r>
      <w:r w:rsidR="007D661E">
        <w:rPr>
          <w:rFonts w:ascii="Arial" w:hAnsi="Arial" w:cs="Arial"/>
          <w:bCs/>
          <w:sz w:val="24"/>
          <w:szCs w:val="24"/>
        </w:rPr>
        <w:t xml:space="preserve">la causal </w:t>
      </w:r>
      <w:r w:rsidR="007D661E">
        <w:rPr>
          <w:rFonts w:ascii="Arial" w:hAnsi="Arial" w:cs="Arial"/>
          <w:bCs/>
          <w:sz w:val="24"/>
          <w:szCs w:val="24"/>
        </w:rPr>
        <w:lastRenderedPageBreak/>
        <w:t>invocada</w:t>
      </w:r>
      <w:r w:rsidR="007D661E" w:rsidRPr="007D661E">
        <w:rPr>
          <w:rFonts w:ascii="Arial" w:hAnsi="Arial" w:cs="Arial"/>
          <w:bCs/>
          <w:sz w:val="24"/>
          <w:szCs w:val="24"/>
        </w:rPr>
        <w:t>, por lo que se mantienen incambiados los extremos indicados oportunamente al respecto</w:t>
      </w:r>
      <w:r w:rsidR="007D661E">
        <w:rPr>
          <w:rFonts w:ascii="Arial" w:hAnsi="Arial" w:cs="Arial"/>
          <w:bCs/>
          <w:sz w:val="24"/>
          <w:szCs w:val="24"/>
        </w:rPr>
        <w:t>;</w:t>
      </w:r>
      <w:r w:rsidR="00745D6B">
        <w:rPr>
          <w:rFonts w:ascii="Arial" w:hAnsi="Arial" w:cs="Arial"/>
          <w:bCs/>
          <w:sz w:val="24"/>
          <w:szCs w:val="24"/>
        </w:rPr>
        <w:tab/>
      </w:r>
      <w:r w:rsidR="00745D6B">
        <w:rPr>
          <w:rFonts w:ascii="Arial" w:hAnsi="Arial" w:cs="Arial"/>
          <w:bCs/>
          <w:sz w:val="24"/>
          <w:szCs w:val="24"/>
        </w:rPr>
        <w:tab/>
      </w:r>
      <w:r w:rsidR="00745D6B">
        <w:rPr>
          <w:rFonts w:ascii="Arial" w:hAnsi="Arial" w:cs="Arial"/>
          <w:bCs/>
          <w:sz w:val="24"/>
          <w:szCs w:val="24"/>
        </w:rPr>
        <w:tab/>
      </w:r>
    </w:p>
    <w:p w:rsidR="00745D6B" w:rsidRPr="002906FE" w:rsidRDefault="00B276FF" w:rsidP="004974B3">
      <w:pPr>
        <w:spacing w:after="0" w:line="360" w:lineRule="auto"/>
        <w:ind w:firstLine="851"/>
        <w:jc w:val="both"/>
        <w:rPr>
          <w:rFonts w:ascii="Arial" w:eastAsia="Times New Roman" w:hAnsi="Arial" w:cs="Arial"/>
          <w:sz w:val="24"/>
          <w:szCs w:val="20"/>
          <w:lang w:val="es-ES" w:eastAsia="es-ES"/>
        </w:rPr>
      </w:pPr>
      <w:r w:rsidRPr="002906FE">
        <w:rPr>
          <w:rFonts w:ascii="Arial" w:eastAsia="Times New Roman" w:hAnsi="Arial" w:cs="Arial"/>
          <w:b/>
          <w:bCs/>
          <w:sz w:val="24"/>
          <w:szCs w:val="20"/>
          <w:lang w:val="es-ES" w:eastAsia="es-ES"/>
        </w:rPr>
        <w:t xml:space="preserve">ATENTO: </w:t>
      </w:r>
      <w:r w:rsidRPr="002906FE">
        <w:rPr>
          <w:rFonts w:ascii="Arial" w:eastAsia="Times New Roman" w:hAnsi="Arial" w:cs="Arial"/>
          <w:sz w:val="24"/>
          <w:szCs w:val="20"/>
          <w:lang w:val="es-ES" w:eastAsia="es-ES"/>
        </w:rPr>
        <w:t xml:space="preserve">a lo expuesto y a lo dispuesto por el  </w:t>
      </w:r>
      <w:r w:rsidR="001360EB">
        <w:rPr>
          <w:rFonts w:ascii="Arial" w:eastAsia="Times New Roman" w:hAnsi="Arial" w:cs="Arial"/>
          <w:sz w:val="24"/>
          <w:szCs w:val="20"/>
          <w:lang w:val="es-ES" w:eastAsia="es-ES"/>
        </w:rPr>
        <w:t>A</w:t>
      </w:r>
      <w:r w:rsidRPr="002906FE">
        <w:rPr>
          <w:rFonts w:ascii="Arial" w:eastAsia="Times New Roman" w:hAnsi="Arial" w:cs="Arial"/>
          <w:sz w:val="24"/>
          <w:szCs w:val="20"/>
          <w:lang w:val="es-ES" w:eastAsia="es-ES"/>
        </w:rPr>
        <w:t xml:space="preserve">rtículo 211 </w:t>
      </w:r>
      <w:r w:rsidR="001360EB">
        <w:rPr>
          <w:rFonts w:ascii="Arial" w:eastAsia="Times New Roman" w:hAnsi="Arial" w:cs="Arial"/>
          <w:sz w:val="24"/>
          <w:szCs w:val="20"/>
          <w:lang w:val="es-ES" w:eastAsia="es-ES"/>
        </w:rPr>
        <w:t>L</w:t>
      </w:r>
      <w:r w:rsidRPr="002906FE">
        <w:rPr>
          <w:rFonts w:ascii="Arial" w:eastAsia="Times New Roman" w:hAnsi="Arial" w:cs="Arial"/>
          <w:sz w:val="24"/>
          <w:szCs w:val="20"/>
          <w:lang w:val="es-ES" w:eastAsia="es-ES"/>
        </w:rPr>
        <w:t>iteral B) de la Constitución de la República;</w:t>
      </w:r>
    </w:p>
    <w:p w:rsidR="00B276FF" w:rsidRPr="004974B3" w:rsidRDefault="00B276FF" w:rsidP="004974B3">
      <w:pPr>
        <w:keepNext/>
        <w:spacing w:after="0" w:line="360" w:lineRule="auto"/>
        <w:jc w:val="center"/>
        <w:outlineLvl w:val="0"/>
        <w:rPr>
          <w:rFonts w:ascii="Arial" w:eastAsia="Times New Roman" w:hAnsi="Arial" w:cs="Arial"/>
          <w:b/>
          <w:bCs/>
          <w:sz w:val="24"/>
          <w:szCs w:val="20"/>
          <w:lang w:val="es-MX" w:eastAsia="es-ES"/>
        </w:rPr>
      </w:pPr>
      <w:r w:rsidRPr="002906FE">
        <w:rPr>
          <w:rFonts w:ascii="Arial" w:eastAsia="Times New Roman" w:hAnsi="Arial" w:cs="Arial"/>
          <w:b/>
          <w:bCs/>
          <w:sz w:val="24"/>
          <w:szCs w:val="20"/>
          <w:lang w:val="es-MX" w:eastAsia="es-ES"/>
        </w:rPr>
        <w:t>EL TRIBUNAL ACUERDA</w:t>
      </w:r>
    </w:p>
    <w:p w:rsidR="00745D6B" w:rsidRPr="00745D6B" w:rsidRDefault="00745D6B" w:rsidP="004974B3">
      <w:pPr>
        <w:spacing w:after="0" w:line="360" w:lineRule="auto"/>
        <w:ind w:left="284" w:hanging="284"/>
        <w:jc w:val="both"/>
        <w:rPr>
          <w:rFonts w:ascii="Arial" w:eastAsia="Times New Roman" w:hAnsi="Arial" w:cs="Arial"/>
          <w:sz w:val="24"/>
          <w:szCs w:val="20"/>
          <w:lang w:val="es-ES" w:eastAsia="es-ES"/>
        </w:rPr>
      </w:pPr>
      <w:r w:rsidRPr="00745D6B">
        <w:rPr>
          <w:rFonts w:ascii="Arial" w:eastAsia="Times New Roman" w:hAnsi="Arial" w:cs="Arial"/>
          <w:b/>
          <w:sz w:val="24"/>
          <w:szCs w:val="20"/>
          <w:lang w:val="es-ES" w:eastAsia="es-ES"/>
        </w:rPr>
        <w:t>1)</w:t>
      </w:r>
      <w:r>
        <w:rPr>
          <w:rFonts w:ascii="Arial" w:eastAsia="Times New Roman" w:hAnsi="Arial" w:cs="Arial"/>
          <w:sz w:val="24"/>
          <w:szCs w:val="20"/>
          <w:lang w:val="es-ES" w:eastAsia="es-ES"/>
        </w:rPr>
        <w:t xml:space="preserve"> </w:t>
      </w:r>
      <w:r w:rsidRPr="00745D6B">
        <w:rPr>
          <w:rFonts w:ascii="Arial" w:eastAsia="Times New Roman" w:hAnsi="Arial" w:cs="Arial"/>
          <w:sz w:val="24"/>
          <w:szCs w:val="20"/>
          <w:lang w:val="es-ES" w:eastAsia="es-ES"/>
        </w:rPr>
        <w:t xml:space="preserve">Mantener la observación formulada por este Tribunal en Sesión de fecha </w:t>
      </w:r>
      <w:r w:rsidR="004173C1">
        <w:rPr>
          <w:rFonts w:ascii="Arial" w:eastAsia="Times New Roman" w:hAnsi="Arial" w:cs="Arial"/>
          <w:sz w:val="24"/>
          <w:szCs w:val="20"/>
          <w:lang w:val="es-ES" w:eastAsia="es-ES"/>
        </w:rPr>
        <w:t>24</w:t>
      </w:r>
      <w:r w:rsidR="004974B3">
        <w:rPr>
          <w:rFonts w:ascii="Arial" w:eastAsia="Times New Roman" w:hAnsi="Arial" w:cs="Arial"/>
          <w:sz w:val="24"/>
          <w:szCs w:val="20"/>
          <w:lang w:val="es-ES" w:eastAsia="es-ES"/>
        </w:rPr>
        <w:t>/</w:t>
      </w:r>
      <w:r>
        <w:rPr>
          <w:rFonts w:ascii="Arial" w:eastAsia="Times New Roman" w:hAnsi="Arial" w:cs="Arial"/>
          <w:sz w:val="24"/>
          <w:szCs w:val="20"/>
          <w:lang w:val="es-ES" w:eastAsia="es-ES"/>
        </w:rPr>
        <w:t>0</w:t>
      </w:r>
      <w:r w:rsidR="00244F09">
        <w:rPr>
          <w:rFonts w:ascii="Arial" w:eastAsia="Times New Roman" w:hAnsi="Arial" w:cs="Arial"/>
          <w:sz w:val="24"/>
          <w:szCs w:val="20"/>
          <w:lang w:val="es-ES" w:eastAsia="es-ES"/>
        </w:rPr>
        <w:t>2</w:t>
      </w:r>
      <w:r w:rsidR="004974B3">
        <w:rPr>
          <w:rFonts w:ascii="Arial" w:eastAsia="Times New Roman" w:hAnsi="Arial" w:cs="Arial"/>
          <w:sz w:val="24"/>
          <w:szCs w:val="20"/>
          <w:lang w:val="es-ES" w:eastAsia="es-ES"/>
        </w:rPr>
        <w:t>/</w:t>
      </w:r>
      <w:r>
        <w:rPr>
          <w:rFonts w:ascii="Arial" w:eastAsia="Times New Roman" w:hAnsi="Arial" w:cs="Arial"/>
          <w:sz w:val="24"/>
          <w:szCs w:val="20"/>
          <w:lang w:val="es-ES" w:eastAsia="es-ES"/>
        </w:rPr>
        <w:t>16</w:t>
      </w:r>
      <w:r w:rsidR="004974B3">
        <w:rPr>
          <w:rFonts w:ascii="Arial" w:eastAsia="Times New Roman" w:hAnsi="Arial" w:cs="Arial"/>
          <w:sz w:val="24"/>
          <w:szCs w:val="20"/>
          <w:lang w:val="es-ES" w:eastAsia="es-ES"/>
        </w:rPr>
        <w:t>;</w:t>
      </w:r>
    </w:p>
    <w:p w:rsidR="00745D6B" w:rsidRPr="00745D6B" w:rsidRDefault="00745D6B" w:rsidP="004974B3">
      <w:pPr>
        <w:spacing w:after="0" w:line="360" w:lineRule="auto"/>
        <w:jc w:val="both"/>
        <w:rPr>
          <w:rFonts w:ascii="Arial" w:eastAsia="Times New Roman" w:hAnsi="Arial" w:cs="Arial"/>
          <w:sz w:val="24"/>
          <w:szCs w:val="20"/>
          <w:lang w:val="es-ES" w:eastAsia="es-ES"/>
        </w:rPr>
      </w:pPr>
      <w:r w:rsidRPr="00745D6B">
        <w:rPr>
          <w:rFonts w:ascii="Arial" w:eastAsia="Times New Roman" w:hAnsi="Arial" w:cs="Arial"/>
          <w:b/>
          <w:sz w:val="24"/>
          <w:szCs w:val="20"/>
          <w:lang w:val="es-ES" w:eastAsia="es-ES"/>
        </w:rPr>
        <w:t>2)</w:t>
      </w:r>
      <w:r w:rsidR="001360EB" w:rsidRPr="001360EB">
        <w:rPr>
          <w:rFonts w:ascii="Arial" w:eastAsia="Times New Roman" w:hAnsi="Arial" w:cs="Arial"/>
          <w:sz w:val="24"/>
          <w:szCs w:val="20"/>
          <w:lang w:val="es-ES" w:eastAsia="es-ES"/>
        </w:rPr>
        <w:t xml:space="preserve"> </w:t>
      </w:r>
      <w:r w:rsidR="001360EB" w:rsidRPr="00745D6B">
        <w:rPr>
          <w:rFonts w:ascii="Arial" w:eastAsia="Times New Roman" w:hAnsi="Arial" w:cs="Arial"/>
          <w:sz w:val="24"/>
          <w:szCs w:val="20"/>
          <w:lang w:val="es-ES" w:eastAsia="es-ES"/>
        </w:rPr>
        <w:t>Comunicar a la Administración actuante</w:t>
      </w:r>
      <w:r w:rsidR="004974B3">
        <w:rPr>
          <w:rFonts w:ascii="Arial" w:eastAsia="Times New Roman" w:hAnsi="Arial" w:cs="Arial"/>
          <w:sz w:val="24"/>
          <w:szCs w:val="20"/>
          <w:lang w:val="es-ES" w:eastAsia="es-ES"/>
        </w:rPr>
        <w:t>;</w:t>
      </w:r>
    </w:p>
    <w:p w:rsidR="00745D6B" w:rsidRDefault="00745D6B" w:rsidP="004974B3">
      <w:pPr>
        <w:spacing w:after="0" w:line="360" w:lineRule="auto"/>
        <w:jc w:val="both"/>
        <w:rPr>
          <w:rFonts w:ascii="Arial" w:eastAsia="Times New Roman" w:hAnsi="Arial" w:cs="Arial"/>
          <w:sz w:val="24"/>
          <w:szCs w:val="20"/>
          <w:lang w:val="es-ES" w:eastAsia="es-ES"/>
        </w:rPr>
      </w:pPr>
      <w:r w:rsidRPr="00745D6B">
        <w:rPr>
          <w:rFonts w:ascii="Arial" w:eastAsia="Times New Roman" w:hAnsi="Arial" w:cs="Arial"/>
          <w:b/>
          <w:sz w:val="24"/>
          <w:szCs w:val="20"/>
          <w:lang w:val="es-ES" w:eastAsia="es-ES"/>
        </w:rPr>
        <w:t>3)</w:t>
      </w:r>
      <w:r w:rsidR="001360EB" w:rsidRPr="001360EB">
        <w:rPr>
          <w:rFonts w:ascii="Arial" w:eastAsia="Times New Roman" w:hAnsi="Arial" w:cs="Arial"/>
          <w:sz w:val="24"/>
          <w:szCs w:val="20"/>
          <w:lang w:val="es-ES" w:eastAsia="es-ES"/>
        </w:rPr>
        <w:t xml:space="preserve"> </w:t>
      </w:r>
      <w:r w:rsidR="001360EB" w:rsidRPr="00745D6B">
        <w:rPr>
          <w:rFonts w:ascii="Arial" w:eastAsia="Times New Roman" w:hAnsi="Arial" w:cs="Arial"/>
          <w:sz w:val="24"/>
          <w:szCs w:val="20"/>
          <w:lang w:val="es-ES" w:eastAsia="es-ES"/>
        </w:rPr>
        <w:t>Dar cuenta a la Asamblea General</w:t>
      </w:r>
      <w:r w:rsidRPr="00745D6B">
        <w:rPr>
          <w:rFonts w:ascii="Arial" w:eastAsia="Times New Roman" w:hAnsi="Arial" w:cs="Arial"/>
          <w:sz w:val="24"/>
          <w:szCs w:val="20"/>
          <w:lang w:val="es-ES" w:eastAsia="es-ES"/>
        </w:rPr>
        <w:t>.</w:t>
      </w:r>
    </w:p>
    <w:p w:rsidR="004974B3" w:rsidRDefault="004974B3" w:rsidP="004974B3">
      <w:pPr>
        <w:spacing w:after="0" w:line="360" w:lineRule="auto"/>
        <w:jc w:val="both"/>
        <w:rPr>
          <w:rFonts w:ascii="Arial" w:eastAsia="Times New Roman" w:hAnsi="Arial" w:cs="Arial"/>
          <w:sz w:val="24"/>
          <w:szCs w:val="20"/>
          <w:lang w:val="es-ES" w:eastAsia="es-ES"/>
        </w:rPr>
      </w:pPr>
    </w:p>
    <w:p w:rsidR="001360EB" w:rsidRPr="00745D6B" w:rsidRDefault="001360EB" w:rsidP="004974B3">
      <w:pPr>
        <w:spacing w:after="0" w:line="360" w:lineRule="auto"/>
        <w:jc w:val="both"/>
        <w:rPr>
          <w:rFonts w:ascii="Arial" w:eastAsia="Times New Roman" w:hAnsi="Arial" w:cs="Arial"/>
          <w:sz w:val="24"/>
          <w:szCs w:val="20"/>
          <w:lang w:val="es-ES" w:eastAsia="es-ES"/>
        </w:rPr>
      </w:pPr>
      <w:bookmarkStart w:id="0" w:name="_GoBack"/>
      <w:bookmarkEnd w:id="0"/>
    </w:p>
    <w:p w:rsidR="00B276FF" w:rsidRPr="002906FE" w:rsidRDefault="004974B3" w:rsidP="004974B3">
      <w:pPr>
        <w:spacing w:after="0" w:line="360" w:lineRule="auto"/>
        <w:jc w:val="both"/>
        <w:rPr>
          <w:rFonts w:ascii="Arial" w:eastAsia="Times New Roman" w:hAnsi="Arial" w:cs="Arial"/>
          <w:sz w:val="24"/>
          <w:szCs w:val="20"/>
          <w:lang w:val="es-MX" w:eastAsia="es-ES"/>
        </w:rPr>
      </w:pPr>
      <w:proofErr w:type="spellStart"/>
      <w:proofErr w:type="gramStart"/>
      <w:r>
        <w:rPr>
          <w:rFonts w:ascii="Arial" w:eastAsia="Times New Roman" w:hAnsi="Arial" w:cs="Times New Roman"/>
          <w:sz w:val="24"/>
          <w:szCs w:val="20"/>
          <w:lang w:val="es-MX" w:eastAsia="es-ES"/>
        </w:rPr>
        <w:t>bf</w:t>
      </w:r>
      <w:proofErr w:type="spellEnd"/>
      <w:proofErr w:type="gramEnd"/>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Pr>
          <w:rFonts w:ascii="Arial" w:eastAsia="Times New Roman" w:hAnsi="Arial" w:cs="Times New Roman"/>
          <w:sz w:val="24"/>
          <w:szCs w:val="20"/>
          <w:lang w:val="es-MX" w:eastAsia="es-ES"/>
        </w:rPr>
        <w:tab/>
      </w:r>
      <w:r w:rsidR="00B276FF" w:rsidRPr="002906FE">
        <w:rPr>
          <w:rFonts w:ascii="Arial" w:eastAsia="Times New Roman" w:hAnsi="Arial" w:cs="Arial"/>
          <w:sz w:val="24"/>
          <w:szCs w:val="20"/>
          <w:lang w:val="es-MX" w:eastAsia="es-ES"/>
        </w:rPr>
        <w:t xml:space="preserve"> </w:t>
      </w:r>
    </w:p>
    <w:p w:rsidR="00B276FF" w:rsidRPr="002906FE" w:rsidRDefault="00B276FF" w:rsidP="004974B3">
      <w:pPr>
        <w:spacing w:after="0" w:line="360" w:lineRule="auto"/>
        <w:jc w:val="both"/>
        <w:rPr>
          <w:rFonts w:ascii="Arial" w:eastAsia="Times New Roman" w:hAnsi="Arial" w:cs="Arial"/>
          <w:sz w:val="24"/>
          <w:szCs w:val="20"/>
          <w:lang w:val="es-MX" w:eastAsia="es-ES"/>
        </w:rPr>
      </w:pPr>
    </w:p>
    <w:p w:rsidR="00B276FF" w:rsidRPr="002906FE" w:rsidRDefault="00B276FF" w:rsidP="004974B3">
      <w:pPr>
        <w:spacing w:after="0" w:line="360" w:lineRule="auto"/>
        <w:jc w:val="both"/>
        <w:rPr>
          <w:rFonts w:ascii="Arial" w:eastAsia="Times New Roman" w:hAnsi="Arial" w:cs="Arial"/>
          <w:sz w:val="24"/>
          <w:szCs w:val="20"/>
          <w:lang w:val="es-MX" w:eastAsia="es-ES"/>
        </w:rPr>
      </w:pPr>
    </w:p>
    <w:p w:rsidR="00B276FF" w:rsidRPr="002906FE" w:rsidRDefault="00B276FF" w:rsidP="00B276FF">
      <w:pPr>
        <w:spacing w:after="0" w:line="360" w:lineRule="auto"/>
        <w:jc w:val="both"/>
        <w:rPr>
          <w:rFonts w:ascii="Arial" w:eastAsia="Times New Roman" w:hAnsi="Arial" w:cs="Arial"/>
          <w:bCs/>
          <w:sz w:val="24"/>
          <w:szCs w:val="20"/>
          <w:lang w:val="es-MX" w:eastAsia="es-ES"/>
        </w:rPr>
      </w:pPr>
    </w:p>
    <w:sectPr w:rsidR="00B276FF" w:rsidRPr="002906FE" w:rsidSect="00BE520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FF"/>
    <w:rsid w:val="0005507B"/>
    <w:rsid w:val="0008492C"/>
    <w:rsid w:val="00090978"/>
    <w:rsid w:val="00130655"/>
    <w:rsid w:val="001360EB"/>
    <w:rsid w:val="00146A64"/>
    <w:rsid w:val="0019680D"/>
    <w:rsid w:val="001C174B"/>
    <w:rsid w:val="001C3673"/>
    <w:rsid w:val="00244F09"/>
    <w:rsid w:val="00262AC7"/>
    <w:rsid w:val="003331D0"/>
    <w:rsid w:val="00365487"/>
    <w:rsid w:val="003F0D46"/>
    <w:rsid w:val="004173C1"/>
    <w:rsid w:val="00463991"/>
    <w:rsid w:val="0048196D"/>
    <w:rsid w:val="004974B3"/>
    <w:rsid w:val="004D2A6A"/>
    <w:rsid w:val="00506A39"/>
    <w:rsid w:val="00517366"/>
    <w:rsid w:val="00565B08"/>
    <w:rsid w:val="005A4AAC"/>
    <w:rsid w:val="005E2AC9"/>
    <w:rsid w:val="0068415D"/>
    <w:rsid w:val="006E7966"/>
    <w:rsid w:val="0070371A"/>
    <w:rsid w:val="0073517B"/>
    <w:rsid w:val="00745D6B"/>
    <w:rsid w:val="007642ED"/>
    <w:rsid w:val="007C0900"/>
    <w:rsid w:val="007D661E"/>
    <w:rsid w:val="00836FC9"/>
    <w:rsid w:val="00847141"/>
    <w:rsid w:val="0089737E"/>
    <w:rsid w:val="008A109E"/>
    <w:rsid w:val="008A6CD7"/>
    <w:rsid w:val="008C563F"/>
    <w:rsid w:val="00906963"/>
    <w:rsid w:val="00907DA8"/>
    <w:rsid w:val="009C4CE4"/>
    <w:rsid w:val="00A3067A"/>
    <w:rsid w:val="00A47D3F"/>
    <w:rsid w:val="00AB3A66"/>
    <w:rsid w:val="00AC2B6D"/>
    <w:rsid w:val="00B276FF"/>
    <w:rsid w:val="00BE5207"/>
    <w:rsid w:val="00BF6D32"/>
    <w:rsid w:val="00C62857"/>
    <w:rsid w:val="00C73BAD"/>
    <w:rsid w:val="00CA0825"/>
    <w:rsid w:val="00CE6DE2"/>
    <w:rsid w:val="00D32C8F"/>
    <w:rsid w:val="00DB2925"/>
    <w:rsid w:val="00DE7C1D"/>
    <w:rsid w:val="00EA5A6E"/>
    <w:rsid w:val="00F722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173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173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008D-CC37-4FD8-A94F-78BB52F6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2016-06-10T14:15:00Z</cp:lastPrinted>
  <dcterms:created xsi:type="dcterms:W3CDTF">2016-06-10T14:14:00Z</dcterms:created>
  <dcterms:modified xsi:type="dcterms:W3CDTF">2016-06-10T14:15:00Z</dcterms:modified>
</cp:coreProperties>
</file>