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CA5" w:rsidRPr="00786EEB" w:rsidRDefault="00BC4CA5" w:rsidP="00BC4CA5">
      <w:pPr>
        <w:tabs>
          <w:tab w:val="center" w:pos="4253"/>
        </w:tabs>
        <w:suppressAutoHyphens/>
        <w:jc w:val="right"/>
        <w:rPr>
          <w:rFonts w:cs="Arial"/>
          <w:b/>
          <w:sz w:val="28"/>
          <w:szCs w:val="28"/>
          <w:lang w:val="es-ES_tradnl"/>
        </w:rPr>
      </w:pPr>
      <w:bookmarkStart w:id="0" w:name="_GoBack"/>
      <w:bookmarkEnd w:id="0"/>
      <w:r w:rsidRPr="00786EEB">
        <w:rPr>
          <w:rFonts w:cs="Arial"/>
          <w:b/>
          <w:sz w:val="28"/>
          <w:szCs w:val="28"/>
          <w:lang w:val="es-ES_tradnl"/>
        </w:rPr>
        <w:t xml:space="preserve">RES. </w:t>
      </w:r>
      <w:r>
        <w:rPr>
          <w:rFonts w:cs="Arial"/>
          <w:b/>
          <w:sz w:val="28"/>
          <w:szCs w:val="28"/>
          <w:lang w:val="es-ES_tradnl"/>
        </w:rPr>
        <w:t>1426</w:t>
      </w:r>
      <w:r w:rsidRPr="00786EEB">
        <w:rPr>
          <w:rFonts w:cs="Arial"/>
          <w:b/>
          <w:sz w:val="28"/>
          <w:szCs w:val="28"/>
          <w:lang w:val="es-ES_tradnl"/>
        </w:rPr>
        <w:t>/16</w:t>
      </w:r>
    </w:p>
    <w:p w:rsidR="00BC4CA5" w:rsidRDefault="00BC4CA5" w:rsidP="00BC4CA5">
      <w:pPr>
        <w:tabs>
          <w:tab w:val="center" w:pos="4253"/>
        </w:tabs>
        <w:suppressAutoHyphens/>
        <w:jc w:val="right"/>
        <w:rPr>
          <w:rFonts w:cs="Arial"/>
          <w:b/>
          <w:lang w:val="es-ES_tradnl"/>
        </w:rPr>
      </w:pPr>
    </w:p>
    <w:p w:rsidR="00BC4CA5" w:rsidRPr="00762B34" w:rsidRDefault="00BC4CA5">
      <w:pPr>
        <w:tabs>
          <w:tab w:val="center" w:pos="4253"/>
        </w:tabs>
        <w:suppressAutoHyphens/>
        <w:jc w:val="center"/>
        <w:rPr>
          <w:rFonts w:cs="Arial"/>
          <w:b/>
          <w:lang w:val="es-ES_tradnl"/>
        </w:rPr>
      </w:pPr>
      <w:r w:rsidRPr="00762B34">
        <w:rPr>
          <w:rFonts w:cs="Arial"/>
          <w:b/>
          <w:lang w:val="es-ES_tradnl"/>
        </w:rPr>
        <w:t>RESOLUCION ADOPTADA POR EL</w:t>
      </w:r>
    </w:p>
    <w:p w:rsidR="00BC4CA5" w:rsidRPr="00762B34" w:rsidRDefault="00BC4CA5">
      <w:pPr>
        <w:tabs>
          <w:tab w:val="left" w:pos="-720"/>
        </w:tabs>
        <w:suppressAutoHyphens/>
        <w:jc w:val="center"/>
        <w:rPr>
          <w:rFonts w:cs="Arial"/>
          <w:b/>
          <w:lang w:val="es-ES_tradnl"/>
        </w:rPr>
      </w:pPr>
    </w:p>
    <w:p w:rsidR="00BC4CA5" w:rsidRPr="00762B34" w:rsidRDefault="00BC4CA5">
      <w:pPr>
        <w:tabs>
          <w:tab w:val="center" w:pos="4253"/>
        </w:tabs>
        <w:suppressAutoHyphens/>
        <w:jc w:val="center"/>
        <w:rPr>
          <w:rFonts w:cs="Arial"/>
          <w:b/>
          <w:lang w:val="es-ES_tradnl"/>
        </w:rPr>
      </w:pPr>
      <w:r w:rsidRPr="00762B34">
        <w:rPr>
          <w:rFonts w:cs="Arial"/>
          <w:b/>
          <w:lang w:val="es-ES_tradnl"/>
        </w:rPr>
        <w:t>TRIBUNAL DE CUENTAS</w:t>
      </w:r>
    </w:p>
    <w:p w:rsidR="00BC4CA5" w:rsidRPr="00762B34" w:rsidRDefault="00BC4CA5">
      <w:pPr>
        <w:tabs>
          <w:tab w:val="left" w:pos="-720"/>
        </w:tabs>
        <w:suppressAutoHyphens/>
        <w:jc w:val="center"/>
        <w:rPr>
          <w:rFonts w:cs="Arial"/>
          <w:b/>
          <w:lang w:val="es-ES_tradnl"/>
        </w:rPr>
      </w:pPr>
    </w:p>
    <w:p w:rsidR="00BC4CA5" w:rsidRPr="00762B34" w:rsidRDefault="00BC4CA5">
      <w:pPr>
        <w:tabs>
          <w:tab w:val="center" w:pos="4253"/>
        </w:tabs>
        <w:suppressAutoHyphens/>
        <w:jc w:val="center"/>
        <w:rPr>
          <w:rFonts w:cs="Arial"/>
          <w:b/>
          <w:lang w:val="es-ES_tradnl"/>
        </w:rPr>
      </w:pPr>
      <w:r w:rsidRPr="00762B34">
        <w:rPr>
          <w:rFonts w:cs="Arial"/>
          <w:b/>
          <w:lang w:val="es-ES_tradnl"/>
        </w:rPr>
        <w:t xml:space="preserve">EN SESION DE FECHA </w:t>
      </w:r>
      <w:r>
        <w:rPr>
          <w:rFonts w:ascii="Helvetica" w:hAnsi="Helvetica"/>
          <w:b/>
          <w:lang w:val="es-ES_tradnl"/>
        </w:rPr>
        <w:t>3 DE MAYO DE 2016</w:t>
      </w:r>
    </w:p>
    <w:p w:rsidR="00BC4CA5" w:rsidRPr="00762B34" w:rsidRDefault="00BC4CA5">
      <w:pPr>
        <w:tabs>
          <w:tab w:val="center" w:pos="4253"/>
        </w:tabs>
        <w:suppressAutoHyphens/>
        <w:jc w:val="center"/>
        <w:rPr>
          <w:rFonts w:cs="Arial"/>
          <w:b/>
          <w:lang w:val="es-ES_tradnl"/>
        </w:rPr>
      </w:pPr>
    </w:p>
    <w:p w:rsidR="00BC4CA5" w:rsidRPr="002A65A5" w:rsidRDefault="00BC4CA5">
      <w:pPr>
        <w:tabs>
          <w:tab w:val="center" w:pos="4253"/>
        </w:tabs>
        <w:suppressAutoHyphens/>
        <w:jc w:val="center"/>
        <w:rPr>
          <w:rFonts w:cs="Arial"/>
          <w:b/>
          <w:lang w:val="es-UY"/>
        </w:rPr>
      </w:pPr>
      <w:r w:rsidRPr="002A65A5">
        <w:rPr>
          <w:rFonts w:cs="Arial"/>
          <w:b/>
          <w:lang w:val="es-UY"/>
        </w:rPr>
        <w:t xml:space="preserve">(E. E. Nº 2016-17-1-0002491, </w:t>
      </w:r>
      <w:proofErr w:type="spellStart"/>
      <w:r w:rsidRPr="002A65A5">
        <w:rPr>
          <w:rFonts w:cs="Arial"/>
          <w:b/>
          <w:lang w:val="es-UY"/>
        </w:rPr>
        <w:t>Ent</w:t>
      </w:r>
      <w:proofErr w:type="spellEnd"/>
      <w:r w:rsidRPr="002A65A5">
        <w:rPr>
          <w:rFonts w:cs="Arial"/>
          <w:b/>
          <w:lang w:val="es-UY"/>
        </w:rPr>
        <w:t>. N° 1879/16)</w:t>
      </w:r>
    </w:p>
    <w:p w:rsidR="00BC4CA5" w:rsidRPr="002A65A5" w:rsidRDefault="00BC4CA5">
      <w:pPr>
        <w:rPr>
          <w:lang w:val="es-UY"/>
        </w:rPr>
      </w:pPr>
    </w:p>
    <w:p w:rsidR="007056F6" w:rsidRDefault="007056F6">
      <w:pPr>
        <w:suppressAutoHyphens/>
        <w:spacing w:line="360" w:lineRule="auto"/>
        <w:ind w:firstLine="851"/>
        <w:jc w:val="both"/>
      </w:pPr>
      <w:r>
        <w:rPr>
          <w:spacing w:val="-3"/>
          <w:lang w:val="es-ES_tradnl"/>
        </w:rPr>
        <w:t xml:space="preserve">  </w:t>
      </w:r>
    </w:p>
    <w:p w:rsidR="0076246A" w:rsidRDefault="0076246A" w:rsidP="007056F6">
      <w:pPr>
        <w:pStyle w:val="Textoindependiente"/>
        <w:ind w:firstLine="708"/>
      </w:pPr>
      <w:r>
        <w:rPr>
          <w:b/>
        </w:rPr>
        <w:t>VISTO:</w:t>
      </w:r>
      <w:r>
        <w:t xml:space="preserve"> el Proyecto de Presupuesto Quinquenal de la Intendencia de </w:t>
      </w:r>
      <w:r w:rsidR="00137C43">
        <w:t>Tacuarembó</w:t>
      </w:r>
      <w:r>
        <w:t xml:space="preserve"> para los ejercicios 2016 -2020;</w:t>
      </w:r>
    </w:p>
    <w:p w:rsidR="0076246A" w:rsidRDefault="0076246A" w:rsidP="007056F6">
      <w:pPr>
        <w:pStyle w:val="Textoindependiente"/>
        <w:ind w:firstLine="708"/>
      </w:pPr>
      <w:r>
        <w:rPr>
          <w:b/>
        </w:rPr>
        <w:t>CONSIDERANDO:</w:t>
      </w:r>
      <w:r>
        <w:t xml:space="preserve"> </w:t>
      </w:r>
      <w:r>
        <w:rPr>
          <w:b/>
        </w:rPr>
        <w:t xml:space="preserve">1) </w:t>
      </w:r>
      <w:r>
        <w:rPr>
          <w:bCs/>
        </w:rPr>
        <w:t>que se ha dado cumplimiento a lo dispuesto por los Artículos</w:t>
      </w:r>
      <w:r>
        <w:t xml:space="preserve"> 223 al 225 de la Constitución de la República;</w:t>
      </w:r>
    </w:p>
    <w:p w:rsidR="0076246A" w:rsidRDefault="0076246A" w:rsidP="0076246A">
      <w:pPr>
        <w:pStyle w:val="Textoindependiente"/>
      </w:pPr>
      <w:r>
        <w:t xml:space="preserve">            </w:t>
      </w:r>
      <w:r w:rsidR="007056F6">
        <w:t xml:space="preserve">                </w:t>
      </w:r>
      <w:r>
        <w:t xml:space="preserve">                    </w:t>
      </w:r>
      <w:r>
        <w:rPr>
          <w:b/>
          <w:bCs/>
        </w:rPr>
        <w:t>2)</w:t>
      </w:r>
      <w:r>
        <w:t xml:space="preserve"> que las conclusiones y evidencias obtenidas son las que se expresan en el Dictamen que se adjunta;</w:t>
      </w:r>
    </w:p>
    <w:p w:rsidR="0076246A" w:rsidRDefault="0076246A" w:rsidP="007056F6">
      <w:pPr>
        <w:pStyle w:val="Textoindependiente"/>
        <w:ind w:firstLine="708"/>
      </w:pPr>
      <w:r>
        <w:rPr>
          <w:b/>
        </w:rPr>
        <w:t>ATENTO:</w:t>
      </w:r>
      <w:r>
        <w:t xml:space="preserve"> a lo dispuesto por los Artículos 211 </w:t>
      </w:r>
      <w:r w:rsidR="007056F6">
        <w:t>L</w:t>
      </w:r>
      <w:r>
        <w:t>iteral A) y 225 de la Constitución de la República;</w:t>
      </w:r>
    </w:p>
    <w:p w:rsidR="0076246A" w:rsidRDefault="0076246A" w:rsidP="0076246A">
      <w:pPr>
        <w:pStyle w:val="Textoindependiente"/>
        <w:jc w:val="center"/>
        <w:rPr>
          <w:b/>
          <w:highlight w:val="yellow"/>
        </w:rPr>
      </w:pPr>
      <w:r>
        <w:rPr>
          <w:b/>
        </w:rPr>
        <w:t>EL TRIBUNAL ACUERDA</w:t>
      </w:r>
    </w:p>
    <w:p w:rsidR="0076246A" w:rsidRDefault="0076246A" w:rsidP="007056F6">
      <w:pPr>
        <w:pStyle w:val="Textoindependiente"/>
        <w:numPr>
          <w:ilvl w:val="0"/>
          <w:numId w:val="1"/>
        </w:numPr>
        <w:tabs>
          <w:tab w:val="clear" w:pos="720"/>
          <w:tab w:val="num" w:pos="284"/>
        </w:tabs>
        <w:ind w:left="284" w:hanging="284"/>
      </w:pPr>
      <w:r>
        <w:t xml:space="preserve">Emitir su pronunciamiento respecto al Proyecto de Presupuesto Quinquenal de la Intendencia de </w:t>
      </w:r>
      <w:r w:rsidR="00137C43">
        <w:t>Tacuarembó</w:t>
      </w:r>
      <w:r>
        <w:t xml:space="preserve"> correspondiente al período 2016-2020 en los términos del Dictamen que se adjunta</w:t>
      </w:r>
      <w:r w:rsidR="007056F6">
        <w:t>;</w:t>
      </w:r>
    </w:p>
    <w:p w:rsidR="0076246A" w:rsidRDefault="0076246A" w:rsidP="007056F6">
      <w:pPr>
        <w:pStyle w:val="Textoindependiente"/>
        <w:numPr>
          <w:ilvl w:val="0"/>
          <w:numId w:val="1"/>
        </w:numPr>
        <w:tabs>
          <w:tab w:val="clear" w:pos="720"/>
          <w:tab w:val="num" w:pos="284"/>
        </w:tabs>
        <w:ind w:left="284" w:hanging="284"/>
      </w:pPr>
      <w:r>
        <w:t xml:space="preserve">Observar el referido documento por lo expresado en los párrafos 4.3), </w:t>
      </w:r>
      <w:r w:rsidR="003276AC">
        <w:t xml:space="preserve">4.2) y </w:t>
      </w:r>
      <w:r>
        <w:t>4.4) del Dictamen</w:t>
      </w:r>
      <w:r w:rsidR="007056F6">
        <w:t>;</w:t>
      </w:r>
    </w:p>
    <w:p w:rsidR="0076246A" w:rsidRDefault="0076246A" w:rsidP="007056F6">
      <w:pPr>
        <w:pStyle w:val="Textoindependiente"/>
        <w:numPr>
          <w:ilvl w:val="0"/>
          <w:numId w:val="1"/>
        </w:numPr>
        <w:tabs>
          <w:tab w:val="clear" w:pos="720"/>
          <w:tab w:val="num" w:pos="284"/>
        </w:tabs>
        <w:ind w:left="284" w:hanging="284"/>
      </w:pPr>
      <w:r>
        <w:t xml:space="preserve">Téngase presente lo establecido en los párrafos </w:t>
      </w:r>
      <w:r w:rsidR="00137C43">
        <w:t>3</w:t>
      </w:r>
      <w:r>
        <w:t>.</w:t>
      </w:r>
      <w:r w:rsidR="00137C43">
        <w:t>2</w:t>
      </w:r>
      <w:r>
        <w:t xml:space="preserve">), </w:t>
      </w:r>
      <w:r w:rsidR="00137C43">
        <w:t>3</w:t>
      </w:r>
      <w:r>
        <w:t>.</w:t>
      </w:r>
      <w:r w:rsidR="00137C43">
        <w:t>3</w:t>
      </w:r>
      <w:r>
        <w:t xml:space="preserve">) y </w:t>
      </w:r>
      <w:r w:rsidR="003276AC">
        <w:t>3.4</w:t>
      </w:r>
      <w:r>
        <w:t>) del Dictamen</w:t>
      </w:r>
      <w:r w:rsidR="007056F6">
        <w:t>;</w:t>
      </w:r>
    </w:p>
    <w:p w:rsidR="0076246A" w:rsidRDefault="0076246A" w:rsidP="007056F6">
      <w:pPr>
        <w:pStyle w:val="Textoindependiente"/>
        <w:numPr>
          <w:ilvl w:val="0"/>
          <w:numId w:val="1"/>
        </w:numPr>
        <w:tabs>
          <w:tab w:val="clear" w:pos="720"/>
          <w:tab w:val="num" w:pos="284"/>
        </w:tabs>
        <w:ind w:left="284" w:hanging="284"/>
      </w:pPr>
      <w:r>
        <w:t xml:space="preserve">Comunicar la presente Resolución a la Intendencia de </w:t>
      </w:r>
      <w:r w:rsidR="00137C43">
        <w:t>Tacuarembó</w:t>
      </w:r>
      <w:r w:rsidR="007056F6">
        <w:t>; y</w:t>
      </w:r>
    </w:p>
    <w:p w:rsidR="0076246A" w:rsidRDefault="0076246A" w:rsidP="007056F6">
      <w:pPr>
        <w:pStyle w:val="Textoindependiente"/>
        <w:numPr>
          <w:ilvl w:val="0"/>
          <w:numId w:val="1"/>
        </w:numPr>
        <w:tabs>
          <w:tab w:val="clear" w:pos="720"/>
          <w:tab w:val="num" w:pos="284"/>
        </w:tabs>
        <w:ind w:left="284" w:hanging="284"/>
      </w:pPr>
      <w:r>
        <w:t xml:space="preserve">Devolver los antecedentes a la Junta Departamental de </w:t>
      </w:r>
      <w:r w:rsidR="00137C43">
        <w:t>Tacuarembó</w:t>
      </w:r>
      <w:r>
        <w:t>.</w:t>
      </w:r>
    </w:p>
    <w:p w:rsidR="007056F6" w:rsidRDefault="007056F6" w:rsidP="007056F6">
      <w:pPr>
        <w:pStyle w:val="Textoindependiente"/>
      </w:pPr>
    </w:p>
    <w:p w:rsidR="007056F6" w:rsidRDefault="007056F6" w:rsidP="007056F6">
      <w:pPr>
        <w:pStyle w:val="Textoindependiente"/>
      </w:pPr>
    </w:p>
    <w:p w:rsidR="0076246A" w:rsidRDefault="0076246A" w:rsidP="0076246A">
      <w:pPr>
        <w:pStyle w:val="Textoindependiente"/>
        <w:rPr>
          <w:highlight w:val="yellow"/>
        </w:rPr>
      </w:pPr>
    </w:p>
    <w:p w:rsidR="002A65A5" w:rsidRDefault="002A65A5" w:rsidP="0076246A">
      <w:pPr>
        <w:pStyle w:val="Textoindependiente"/>
        <w:rPr>
          <w:highlight w:val="yellow"/>
        </w:rPr>
      </w:pPr>
    </w:p>
    <w:p w:rsidR="002A65A5" w:rsidRDefault="002A65A5">
      <w:pPr>
        <w:pStyle w:val="Ttulo1"/>
        <w:spacing w:line="360" w:lineRule="auto"/>
      </w:pPr>
      <w:r>
        <w:lastRenderedPageBreak/>
        <w:t>DICTAMEN</w:t>
      </w:r>
    </w:p>
    <w:p w:rsidR="002A65A5" w:rsidRPr="002E6887" w:rsidRDefault="002A65A5" w:rsidP="002E6887">
      <w:pPr>
        <w:pStyle w:val="Ttulo2"/>
        <w:tabs>
          <w:tab w:val="left" w:pos="3717"/>
          <w:tab w:val="left" w:pos="7080"/>
        </w:tabs>
        <w:jc w:val="left"/>
      </w:pPr>
      <w:r>
        <w:tab/>
      </w:r>
    </w:p>
    <w:p w:rsidR="002A65A5" w:rsidRDefault="002A65A5">
      <w:pPr>
        <w:spacing w:line="360" w:lineRule="auto"/>
        <w:jc w:val="both"/>
        <w:rPr>
          <w:highlight w:val="yellow"/>
        </w:rPr>
      </w:pPr>
      <w:r>
        <w:t>El Tribunal de Cuentas ha examinado el Proyecto de Presupuesto Quinquenal para el período 2016-2020 de la Intendencia de Tacuarembó. Toda la  información incluida en el referido Proyecto y los supuestos sobre los que se basa, son responsabilidad del Organismo que los emite. La responsabilidad del Tribunal de Cuentas es expresar una opinión sobre dicho Proyecto de Presupuesto, de acuerdo a lo dispuesto por los Artículos 211 Literal A) y 225 de la Constitución de la República y establecer, en caso que corresponda, los hallazgos realizados en relación con el cumplimiento de las normas constitucionales, legales y reglamen</w:t>
      </w:r>
      <w:r w:rsidR="009A7DB1">
        <w:t>tarias que resulten aplicables.</w:t>
      </w:r>
    </w:p>
    <w:p w:rsidR="002A65A5" w:rsidRDefault="002A65A5">
      <w:pPr>
        <w:spacing w:line="360" w:lineRule="auto"/>
        <w:jc w:val="both"/>
        <w:rPr>
          <w:b/>
        </w:rPr>
      </w:pPr>
    </w:p>
    <w:p w:rsidR="002A65A5" w:rsidRDefault="009A7DB1">
      <w:pPr>
        <w:spacing w:line="360" w:lineRule="auto"/>
        <w:jc w:val="both"/>
        <w:rPr>
          <w:rFonts w:cs="Arial"/>
          <w:b/>
        </w:rPr>
      </w:pPr>
      <w:r>
        <w:rPr>
          <w:rFonts w:cs="Arial"/>
          <w:b/>
        </w:rPr>
        <w:t>1) Antecedentes</w:t>
      </w:r>
    </w:p>
    <w:p w:rsidR="002A65A5" w:rsidRDefault="002A65A5">
      <w:pPr>
        <w:pStyle w:val="Textoindependiente2"/>
        <w:rPr>
          <w:rFonts w:ascii="Arial" w:hAnsi="Arial" w:cs="Arial"/>
        </w:rPr>
      </w:pPr>
      <w:r w:rsidRPr="00551EAD">
        <w:rPr>
          <w:rFonts w:ascii="Arial" w:hAnsi="Arial" w:cs="Arial"/>
          <w:b/>
        </w:rPr>
        <w:t>1.1)</w:t>
      </w:r>
      <w:r>
        <w:rPr>
          <w:rFonts w:ascii="Arial" w:hAnsi="Arial" w:cs="Arial"/>
        </w:rPr>
        <w:t xml:space="preserve"> El Proyecto de Presupuesto Quinquenal ingresó a la Junta Departamental de Tacuarembó el 05/01/2016 de conformidad con el Artículo 223 de la Constitución de la República.</w:t>
      </w:r>
    </w:p>
    <w:p w:rsidR="002A65A5" w:rsidRDefault="002A65A5">
      <w:pPr>
        <w:pStyle w:val="Textoindependiente2"/>
        <w:rPr>
          <w:rFonts w:ascii="Arial" w:hAnsi="Arial" w:cs="Arial"/>
        </w:rPr>
      </w:pPr>
      <w:r w:rsidRPr="00551EAD">
        <w:rPr>
          <w:rFonts w:ascii="Arial" w:hAnsi="Arial" w:cs="Arial"/>
          <w:b/>
        </w:rPr>
        <w:t>1.2)</w:t>
      </w:r>
      <w:r>
        <w:rPr>
          <w:rFonts w:ascii="Arial" w:hAnsi="Arial" w:cs="Arial"/>
        </w:rPr>
        <w:t xml:space="preserve"> El Legislativo Departamental, en Sesión de fecha 13/04/2016, aprobó en general por mayoría de 30 Ediles presentes y, en particular, por las mayorías requeridas, el Proyecto de Presupuesto Quinquenal de la Intendencia.</w:t>
      </w:r>
    </w:p>
    <w:p w:rsidR="002A65A5" w:rsidRDefault="002A65A5">
      <w:pPr>
        <w:pStyle w:val="Textoindependiente2"/>
        <w:rPr>
          <w:rFonts w:ascii="Arial" w:hAnsi="Arial" w:cs="Arial"/>
        </w:rPr>
      </w:pPr>
      <w:r w:rsidRPr="00551EAD">
        <w:rPr>
          <w:rFonts w:ascii="Arial" w:hAnsi="Arial" w:cs="Arial"/>
          <w:b/>
        </w:rPr>
        <w:t>1.3)</w:t>
      </w:r>
      <w:r>
        <w:rPr>
          <w:rFonts w:ascii="Arial" w:hAnsi="Arial" w:cs="Arial"/>
        </w:rPr>
        <w:t xml:space="preserve"> Por Oficio N° 190/16 de fecha 13/04/16 la Junta Departamental de Tacuarembó remitió las actuaciones a efectos de recabar el dictamen de este Tribunal, ingresando las mismas oficialmente en Sesión de 20/04/16 (Ordenanzas Nro. 51 de fecha 22/11/72 y 70 de 20/07/94).</w:t>
      </w:r>
    </w:p>
    <w:p w:rsidR="002A65A5" w:rsidRDefault="002A65A5">
      <w:pPr>
        <w:pStyle w:val="Textoindependiente2"/>
        <w:rPr>
          <w:rFonts w:ascii="Arial" w:hAnsi="Arial" w:cs="Arial"/>
        </w:rPr>
      </w:pPr>
    </w:p>
    <w:p w:rsidR="002A65A5" w:rsidRDefault="002A65A5" w:rsidP="00A8377D">
      <w:pPr>
        <w:spacing w:line="360" w:lineRule="auto"/>
        <w:jc w:val="both"/>
      </w:pPr>
      <w:r>
        <w:rPr>
          <w:b/>
          <w:lang w:val="es-ES_tradnl"/>
        </w:rPr>
        <w:t>2)</w:t>
      </w:r>
      <w:r>
        <w:rPr>
          <w:b/>
        </w:rPr>
        <w:t xml:space="preserve"> Análisis de las estimaciones de recursos</w:t>
      </w:r>
    </w:p>
    <w:p w:rsidR="002A65A5" w:rsidRDefault="002A65A5">
      <w:pPr>
        <w:pStyle w:val="Textoindependiente"/>
      </w:pPr>
      <w:r w:rsidRPr="00257992">
        <w:rPr>
          <w:b/>
        </w:rPr>
        <w:t>2.1)</w:t>
      </w:r>
      <w:r>
        <w:t xml:space="preserve"> Las estimaciones de recursos para los ejercicios 2016 - 2020 se resumen, en pesos uruguayos expresados a valores de diciembre de 2015, de acuerdo al siguiente detalle:</w:t>
      </w:r>
    </w:p>
    <w:p w:rsidR="002A65A5" w:rsidRDefault="002A65A5">
      <w:pPr>
        <w:pStyle w:val="Textoindependiente"/>
      </w:pPr>
    </w:p>
    <w:p w:rsidR="009A7DB1" w:rsidRDefault="009A7DB1">
      <w:pPr>
        <w:pStyle w:val="Textoindependiente"/>
      </w:pPr>
    </w:p>
    <w:tbl>
      <w:tblPr>
        <w:tblW w:w="9336" w:type="dxa"/>
        <w:jc w:val="center"/>
        <w:tblCellMar>
          <w:left w:w="70" w:type="dxa"/>
          <w:right w:w="70" w:type="dxa"/>
        </w:tblCellMar>
        <w:tblLook w:val="04A0" w:firstRow="1" w:lastRow="0" w:firstColumn="1" w:lastColumn="0" w:noHBand="0" w:noVBand="1"/>
      </w:tblPr>
      <w:tblGrid>
        <w:gridCol w:w="1452"/>
        <w:gridCol w:w="1141"/>
        <w:gridCol w:w="1292"/>
        <w:gridCol w:w="1392"/>
        <w:gridCol w:w="1475"/>
        <w:gridCol w:w="1292"/>
        <w:gridCol w:w="1292"/>
      </w:tblGrid>
      <w:tr w:rsidR="002A65A5" w:rsidRPr="00551EAD" w:rsidTr="00551EAD">
        <w:trPr>
          <w:trHeight w:val="300"/>
          <w:jc w:val="center"/>
        </w:trPr>
        <w:tc>
          <w:tcPr>
            <w:tcW w:w="145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A65A5" w:rsidRPr="00551EAD" w:rsidRDefault="002A65A5" w:rsidP="00C832B7">
            <w:pPr>
              <w:jc w:val="center"/>
              <w:rPr>
                <w:rFonts w:cs="Arial"/>
                <w:b/>
                <w:bCs/>
                <w:color w:val="000000"/>
                <w:sz w:val="18"/>
                <w:szCs w:val="18"/>
              </w:rPr>
            </w:pPr>
            <w:r w:rsidRPr="00551EAD">
              <w:rPr>
                <w:rFonts w:cs="Arial"/>
                <w:b/>
                <w:bCs/>
                <w:color w:val="000000"/>
                <w:sz w:val="18"/>
                <w:szCs w:val="18"/>
              </w:rPr>
              <w:t>Origen</w:t>
            </w:r>
          </w:p>
        </w:tc>
        <w:tc>
          <w:tcPr>
            <w:tcW w:w="1141" w:type="dxa"/>
            <w:tcBorders>
              <w:top w:val="single" w:sz="8" w:space="0" w:color="auto"/>
              <w:left w:val="nil"/>
              <w:bottom w:val="nil"/>
              <w:right w:val="single" w:sz="8" w:space="0" w:color="auto"/>
            </w:tcBorders>
            <w:shd w:val="clear" w:color="auto" w:fill="auto"/>
            <w:vAlign w:val="center"/>
            <w:hideMark/>
          </w:tcPr>
          <w:p w:rsidR="002A65A5" w:rsidRPr="00551EAD" w:rsidRDefault="002A65A5" w:rsidP="00C832B7">
            <w:pPr>
              <w:jc w:val="center"/>
              <w:rPr>
                <w:rFonts w:cs="Arial"/>
                <w:b/>
                <w:bCs/>
                <w:color w:val="000000"/>
                <w:sz w:val="18"/>
                <w:szCs w:val="18"/>
              </w:rPr>
            </w:pPr>
            <w:r w:rsidRPr="00551EAD">
              <w:rPr>
                <w:rFonts w:cs="Arial"/>
                <w:b/>
                <w:bCs/>
                <w:color w:val="000000"/>
                <w:sz w:val="18"/>
                <w:szCs w:val="18"/>
              </w:rPr>
              <w:t>Vigente</w:t>
            </w:r>
          </w:p>
        </w:tc>
        <w:tc>
          <w:tcPr>
            <w:tcW w:w="12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A65A5" w:rsidRPr="00551EAD" w:rsidRDefault="002A65A5" w:rsidP="00C832B7">
            <w:pPr>
              <w:jc w:val="center"/>
              <w:rPr>
                <w:rFonts w:cs="Arial"/>
                <w:b/>
                <w:bCs/>
                <w:color w:val="000000"/>
                <w:sz w:val="18"/>
                <w:szCs w:val="18"/>
              </w:rPr>
            </w:pPr>
            <w:r w:rsidRPr="00551EAD">
              <w:rPr>
                <w:rFonts w:cs="Arial"/>
                <w:b/>
                <w:bCs/>
                <w:color w:val="000000"/>
                <w:sz w:val="18"/>
                <w:szCs w:val="18"/>
              </w:rPr>
              <w:t>2016</w:t>
            </w:r>
          </w:p>
        </w:tc>
        <w:tc>
          <w:tcPr>
            <w:tcW w:w="139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A65A5" w:rsidRPr="00551EAD" w:rsidRDefault="002A65A5" w:rsidP="00C832B7">
            <w:pPr>
              <w:jc w:val="center"/>
              <w:rPr>
                <w:rFonts w:cs="Arial"/>
                <w:b/>
                <w:bCs/>
                <w:color w:val="000000"/>
                <w:sz w:val="18"/>
                <w:szCs w:val="18"/>
              </w:rPr>
            </w:pPr>
            <w:r w:rsidRPr="00551EAD">
              <w:rPr>
                <w:rFonts w:cs="Arial"/>
                <w:b/>
                <w:bCs/>
                <w:color w:val="000000"/>
                <w:sz w:val="18"/>
                <w:szCs w:val="18"/>
              </w:rPr>
              <w:t>2017</w:t>
            </w:r>
          </w:p>
        </w:tc>
        <w:tc>
          <w:tcPr>
            <w:tcW w:w="147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A65A5" w:rsidRPr="00551EAD" w:rsidRDefault="002A65A5" w:rsidP="00C832B7">
            <w:pPr>
              <w:jc w:val="center"/>
              <w:rPr>
                <w:rFonts w:cs="Arial"/>
                <w:b/>
                <w:bCs/>
                <w:color w:val="000000"/>
                <w:sz w:val="18"/>
                <w:szCs w:val="18"/>
              </w:rPr>
            </w:pPr>
            <w:r w:rsidRPr="00551EAD">
              <w:rPr>
                <w:rFonts w:cs="Arial"/>
                <w:b/>
                <w:bCs/>
                <w:color w:val="000000"/>
                <w:sz w:val="18"/>
                <w:szCs w:val="18"/>
              </w:rPr>
              <w:t>2018</w:t>
            </w:r>
          </w:p>
        </w:tc>
        <w:tc>
          <w:tcPr>
            <w:tcW w:w="12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A65A5" w:rsidRPr="00551EAD" w:rsidRDefault="002A65A5" w:rsidP="00C832B7">
            <w:pPr>
              <w:jc w:val="center"/>
              <w:rPr>
                <w:rFonts w:cs="Arial"/>
                <w:b/>
                <w:bCs/>
                <w:color w:val="000000"/>
                <w:sz w:val="18"/>
                <w:szCs w:val="18"/>
              </w:rPr>
            </w:pPr>
            <w:r w:rsidRPr="00551EAD">
              <w:rPr>
                <w:rFonts w:cs="Arial"/>
                <w:b/>
                <w:bCs/>
                <w:color w:val="000000"/>
                <w:sz w:val="18"/>
                <w:szCs w:val="18"/>
              </w:rPr>
              <w:t>2019</w:t>
            </w:r>
          </w:p>
        </w:tc>
        <w:tc>
          <w:tcPr>
            <w:tcW w:w="12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A65A5" w:rsidRPr="00551EAD" w:rsidRDefault="002A65A5" w:rsidP="00C832B7">
            <w:pPr>
              <w:jc w:val="center"/>
              <w:rPr>
                <w:rFonts w:cs="Arial"/>
                <w:b/>
                <w:bCs/>
                <w:color w:val="000000"/>
                <w:sz w:val="18"/>
                <w:szCs w:val="18"/>
              </w:rPr>
            </w:pPr>
            <w:r w:rsidRPr="00551EAD">
              <w:rPr>
                <w:rFonts w:cs="Arial"/>
                <w:b/>
                <w:bCs/>
                <w:color w:val="000000"/>
                <w:sz w:val="18"/>
                <w:szCs w:val="18"/>
              </w:rPr>
              <w:t>2020</w:t>
            </w:r>
          </w:p>
        </w:tc>
      </w:tr>
      <w:tr w:rsidR="002A65A5" w:rsidRPr="00551EAD" w:rsidTr="00551EAD">
        <w:trPr>
          <w:trHeight w:val="315"/>
          <w:jc w:val="center"/>
        </w:trPr>
        <w:tc>
          <w:tcPr>
            <w:tcW w:w="1452" w:type="dxa"/>
            <w:vMerge/>
            <w:tcBorders>
              <w:top w:val="single" w:sz="8" w:space="0" w:color="auto"/>
              <w:left w:val="single" w:sz="8" w:space="0" w:color="auto"/>
              <w:bottom w:val="single" w:sz="8" w:space="0" w:color="000000"/>
              <w:right w:val="single" w:sz="8" w:space="0" w:color="auto"/>
            </w:tcBorders>
            <w:vAlign w:val="center"/>
            <w:hideMark/>
          </w:tcPr>
          <w:p w:rsidR="002A65A5" w:rsidRPr="00551EAD" w:rsidRDefault="002A65A5" w:rsidP="00C832B7">
            <w:pPr>
              <w:rPr>
                <w:rFonts w:cs="Arial"/>
                <w:b/>
                <w:bCs/>
                <w:color w:val="000000"/>
                <w:sz w:val="18"/>
                <w:szCs w:val="18"/>
              </w:rPr>
            </w:pPr>
          </w:p>
        </w:tc>
        <w:tc>
          <w:tcPr>
            <w:tcW w:w="1141" w:type="dxa"/>
            <w:tcBorders>
              <w:top w:val="nil"/>
              <w:left w:val="nil"/>
              <w:bottom w:val="single" w:sz="8" w:space="0" w:color="auto"/>
              <w:right w:val="single" w:sz="8" w:space="0" w:color="auto"/>
            </w:tcBorders>
            <w:shd w:val="clear" w:color="auto" w:fill="auto"/>
            <w:vAlign w:val="center"/>
            <w:hideMark/>
          </w:tcPr>
          <w:p w:rsidR="002A65A5" w:rsidRPr="00551EAD" w:rsidRDefault="002A65A5" w:rsidP="00C832B7">
            <w:pPr>
              <w:jc w:val="center"/>
              <w:rPr>
                <w:rFonts w:cs="Arial"/>
                <w:b/>
                <w:bCs/>
                <w:color w:val="000000"/>
                <w:sz w:val="18"/>
                <w:szCs w:val="18"/>
              </w:rPr>
            </w:pPr>
            <w:r w:rsidRPr="00551EAD">
              <w:rPr>
                <w:rFonts w:cs="Arial"/>
                <w:b/>
                <w:bCs/>
                <w:color w:val="000000"/>
                <w:sz w:val="18"/>
                <w:szCs w:val="18"/>
              </w:rPr>
              <w:t>2015</w:t>
            </w:r>
          </w:p>
        </w:tc>
        <w:tc>
          <w:tcPr>
            <w:tcW w:w="1292" w:type="dxa"/>
            <w:vMerge/>
            <w:tcBorders>
              <w:top w:val="single" w:sz="8" w:space="0" w:color="auto"/>
              <w:left w:val="single" w:sz="8" w:space="0" w:color="auto"/>
              <w:bottom w:val="single" w:sz="8" w:space="0" w:color="000000"/>
              <w:right w:val="single" w:sz="8" w:space="0" w:color="auto"/>
            </w:tcBorders>
            <w:vAlign w:val="center"/>
            <w:hideMark/>
          </w:tcPr>
          <w:p w:rsidR="002A65A5" w:rsidRPr="00551EAD" w:rsidRDefault="002A65A5" w:rsidP="00C832B7">
            <w:pPr>
              <w:rPr>
                <w:rFonts w:cs="Arial"/>
                <w:b/>
                <w:bCs/>
                <w:color w:val="000000"/>
                <w:sz w:val="18"/>
                <w:szCs w:val="18"/>
              </w:rPr>
            </w:pPr>
          </w:p>
        </w:tc>
        <w:tc>
          <w:tcPr>
            <w:tcW w:w="1392" w:type="dxa"/>
            <w:vMerge/>
            <w:tcBorders>
              <w:top w:val="single" w:sz="8" w:space="0" w:color="auto"/>
              <w:left w:val="single" w:sz="8" w:space="0" w:color="auto"/>
              <w:bottom w:val="single" w:sz="8" w:space="0" w:color="000000"/>
              <w:right w:val="single" w:sz="8" w:space="0" w:color="auto"/>
            </w:tcBorders>
            <w:vAlign w:val="center"/>
            <w:hideMark/>
          </w:tcPr>
          <w:p w:rsidR="002A65A5" w:rsidRPr="00551EAD" w:rsidRDefault="002A65A5" w:rsidP="00C832B7">
            <w:pPr>
              <w:rPr>
                <w:rFonts w:cs="Arial"/>
                <w:b/>
                <w:bCs/>
                <w:color w:val="000000"/>
                <w:sz w:val="18"/>
                <w:szCs w:val="18"/>
              </w:rPr>
            </w:pPr>
          </w:p>
        </w:tc>
        <w:tc>
          <w:tcPr>
            <w:tcW w:w="1475" w:type="dxa"/>
            <w:vMerge/>
            <w:tcBorders>
              <w:top w:val="single" w:sz="8" w:space="0" w:color="auto"/>
              <w:left w:val="single" w:sz="8" w:space="0" w:color="auto"/>
              <w:bottom w:val="single" w:sz="8" w:space="0" w:color="000000"/>
              <w:right w:val="single" w:sz="8" w:space="0" w:color="auto"/>
            </w:tcBorders>
            <w:vAlign w:val="center"/>
            <w:hideMark/>
          </w:tcPr>
          <w:p w:rsidR="002A65A5" w:rsidRPr="00551EAD" w:rsidRDefault="002A65A5" w:rsidP="00C832B7">
            <w:pPr>
              <w:rPr>
                <w:rFonts w:cs="Arial"/>
                <w:b/>
                <w:bCs/>
                <w:color w:val="000000"/>
                <w:sz w:val="18"/>
                <w:szCs w:val="18"/>
              </w:rPr>
            </w:pPr>
          </w:p>
        </w:tc>
        <w:tc>
          <w:tcPr>
            <w:tcW w:w="1292" w:type="dxa"/>
            <w:vMerge/>
            <w:tcBorders>
              <w:top w:val="single" w:sz="8" w:space="0" w:color="auto"/>
              <w:left w:val="single" w:sz="8" w:space="0" w:color="auto"/>
              <w:bottom w:val="single" w:sz="8" w:space="0" w:color="000000"/>
              <w:right w:val="single" w:sz="8" w:space="0" w:color="auto"/>
            </w:tcBorders>
            <w:vAlign w:val="center"/>
            <w:hideMark/>
          </w:tcPr>
          <w:p w:rsidR="002A65A5" w:rsidRPr="00551EAD" w:rsidRDefault="002A65A5" w:rsidP="00C832B7">
            <w:pPr>
              <w:rPr>
                <w:rFonts w:cs="Arial"/>
                <w:b/>
                <w:bCs/>
                <w:color w:val="000000"/>
                <w:sz w:val="18"/>
                <w:szCs w:val="18"/>
              </w:rPr>
            </w:pPr>
          </w:p>
        </w:tc>
        <w:tc>
          <w:tcPr>
            <w:tcW w:w="1292" w:type="dxa"/>
            <w:vMerge/>
            <w:tcBorders>
              <w:top w:val="single" w:sz="8" w:space="0" w:color="auto"/>
              <w:left w:val="single" w:sz="8" w:space="0" w:color="auto"/>
              <w:bottom w:val="single" w:sz="8" w:space="0" w:color="000000"/>
              <w:right w:val="single" w:sz="8" w:space="0" w:color="auto"/>
            </w:tcBorders>
            <w:vAlign w:val="center"/>
            <w:hideMark/>
          </w:tcPr>
          <w:p w:rsidR="002A65A5" w:rsidRPr="00551EAD" w:rsidRDefault="002A65A5" w:rsidP="00C832B7">
            <w:pPr>
              <w:rPr>
                <w:rFonts w:cs="Arial"/>
                <w:b/>
                <w:bCs/>
                <w:color w:val="000000"/>
                <w:sz w:val="18"/>
                <w:szCs w:val="18"/>
              </w:rPr>
            </w:pPr>
          </w:p>
        </w:tc>
      </w:tr>
      <w:tr w:rsidR="002A65A5" w:rsidRPr="00551EAD" w:rsidTr="00551EAD">
        <w:trPr>
          <w:trHeight w:val="315"/>
          <w:jc w:val="center"/>
        </w:trPr>
        <w:tc>
          <w:tcPr>
            <w:tcW w:w="1452" w:type="dxa"/>
            <w:tcBorders>
              <w:top w:val="nil"/>
              <w:left w:val="single" w:sz="8" w:space="0" w:color="auto"/>
              <w:bottom w:val="single" w:sz="8" w:space="0" w:color="auto"/>
              <w:right w:val="single" w:sz="8" w:space="0" w:color="auto"/>
            </w:tcBorders>
            <w:shd w:val="clear" w:color="auto" w:fill="auto"/>
            <w:noWrap/>
            <w:vAlign w:val="center"/>
            <w:hideMark/>
          </w:tcPr>
          <w:p w:rsidR="002A65A5" w:rsidRPr="00551EAD" w:rsidRDefault="002A65A5" w:rsidP="00C832B7">
            <w:pPr>
              <w:jc w:val="center"/>
              <w:rPr>
                <w:rFonts w:cs="Arial"/>
                <w:color w:val="000000"/>
                <w:sz w:val="18"/>
                <w:szCs w:val="18"/>
              </w:rPr>
            </w:pPr>
            <w:r w:rsidRPr="00551EAD">
              <w:rPr>
                <w:rFonts w:cs="Arial"/>
                <w:color w:val="000000"/>
                <w:sz w:val="18"/>
                <w:szCs w:val="18"/>
              </w:rPr>
              <w:t>Departamental</w:t>
            </w:r>
          </w:p>
        </w:tc>
        <w:tc>
          <w:tcPr>
            <w:tcW w:w="1141" w:type="dxa"/>
            <w:tcBorders>
              <w:top w:val="nil"/>
              <w:left w:val="nil"/>
              <w:bottom w:val="single" w:sz="8" w:space="0" w:color="auto"/>
              <w:right w:val="single" w:sz="8" w:space="0" w:color="auto"/>
            </w:tcBorders>
            <w:shd w:val="clear" w:color="auto" w:fill="auto"/>
            <w:vAlign w:val="center"/>
            <w:hideMark/>
          </w:tcPr>
          <w:p w:rsidR="002A65A5" w:rsidRPr="00551EAD" w:rsidRDefault="002A65A5" w:rsidP="00DE0FF5">
            <w:pPr>
              <w:jc w:val="center"/>
              <w:rPr>
                <w:rFonts w:cs="Arial"/>
                <w:color w:val="000000"/>
                <w:sz w:val="18"/>
                <w:szCs w:val="18"/>
              </w:rPr>
            </w:pPr>
            <w:r w:rsidRPr="00551EAD">
              <w:rPr>
                <w:rFonts w:cs="Arial"/>
                <w:color w:val="000000"/>
                <w:sz w:val="18"/>
                <w:szCs w:val="18"/>
              </w:rPr>
              <w:t>510.533.699</w:t>
            </w:r>
          </w:p>
        </w:tc>
        <w:tc>
          <w:tcPr>
            <w:tcW w:w="1292" w:type="dxa"/>
            <w:tcBorders>
              <w:top w:val="nil"/>
              <w:left w:val="nil"/>
              <w:bottom w:val="single" w:sz="8" w:space="0" w:color="auto"/>
              <w:right w:val="single" w:sz="8" w:space="0" w:color="auto"/>
            </w:tcBorders>
            <w:shd w:val="clear" w:color="auto" w:fill="auto"/>
            <w:vAlign w:val="center"/>
            <w:hideMark/>
          </w:tcPr>
          <w:p w:rsidR="002A65A5" w:rsidRPr="00551EAD" w:rsidRDefault="002A65A5" w:rsidP="00C832B7">
            <w:pPr>
              <w:jc w:val="center"/>
              <w:rPr>
                <w:rFonts w:cs="Arial"/>
                <w:color w:val="000000"/>
                <w:sz w:val="18"/>
                <w:szCs w:val="18"/>
              </w:rPr>
            </w:pPr>
            <w:r w:rsidRPr="00551EAD">
              <w:rPr>
                <w:rFonts w:cs="Arial"/>
                <w:color w:val="000000"/>
                <w:sz w:val="18"/>
                <w:szCs w:val="18"/>
              </w:rPr>
              <w:t>896.290.676</w:t>
            </w:r>
          </w:p>
        </w:tc>
        <w:tc>
          <w:tcPr>
            <w:tcW w:w="1392" w:type="dxa"/>
            <w:tcBorders>
              <w:top w:val="nil"/>
              <w:left w:val="nil"/>
              <w:bottom w:val="single" w:sz="8" w:space="0" w:color="auto"/>
              <w:right w:val="single" w:sz="8" w:space="0" w:color="auto"/>
            </w:tcBorders>
            <w:shd w:val="clear" w:color="auto" w:fill="auto"/>
            <w:noWrap/>
            <w:vAlign w:val="center"/>
            <w:hideMark/>
          </w:tcPr>
          <w:p w:rsidR="002A65A5" w:rsidRPr="00551EAD" w:rsidRDefault="002A65A5" w:rsidP="00C832B7">
            <w:pPr>
              <w:jc w:val="center"/>
              <w:rPr>
                <w:rFonts w:cs="Arial"/>
                <w:color w:val="000000"/>
                <w:sz w:val="18"/>
                <w:szCs w:val="18"/>
              </w:rPr>
            </w:pPr>
            <w:r w:rsidRPr="00551EAD">
              <w:rPr>
                <w:rFonts w:cs="Arial"/>
                <w:color w:val="000000"/>
                <w:sz w:val="18"/>
                <w:szCs w:val="18"/>
              </w:rPr>
              <w:t>956.356.970</w:t>
            </w:r>
          </w:p>
        </w:tc>
        <w:tc>
          <w:tcPr>
            <w:tcW w:w="1475" w:type="dxa"/>
            <w:tcBorders>
              <w:top w:val="nil"/>
              <w:left w:val="nil"/>
              <w:bottom w:val="single" w:sz="8" w:space="0" w:color="auto"/>
              <w:right w:val="single" w:sz="8" w:space="0" w:color="auto"/>
            </w:tcBorders>
            <w:shd w:val="clear" w:color="auto" w:fill="auto"/>
            <w:noWrap/>
            <w:vAlign w:val="center"/>
            <w:hideMark/>
          </w:tcPr>
          <w:p w:rsidR="002A65A5" w:rsidRPr="00551EAD" w:rsidRDefault="002A65A5" w:rsidP="00C832B7">
            <w:pPr>
              <w:jc w:val="center"/>
              <w:rPr>
                <w:rFonts w:cs="Arial"/>
                <w:color w:val="000000"/>
                <w:sz w:val="18"/>
                <w:szCs w:val="18"/>
              </w:rPr>
            </w:pPr>
            <w:r w:rsidRPr="00551EAD">
              <w:rPr>
                <w:rFonts w:cs="Arial"/>
                <w:color w:val="000000"/>
                <w:sz w:val="18"/>
                <w:szCs w:val="18"/>
              </w:rPr>
              <w:t>998.245.535</w:t>
            </w:r>
          </w:p>
        </w:tc>
        <w:tc>
          <w:tcPr>
            <w:tcW w:w="1292" w:type="dxa"/>
            <w:tcBorders>
              <w:top w:val="nil"/>
              <w:left w:val="nil"/>
              <w:bottom w:val="single" w:sz="8" w:space="0" w:color="auto"/>
              <w:right w:val="single" w:sz="8" w:space="0" w:color="auto"/>
            </w:tcBorders>
            <w:shd w:val="clear" w:color="auto" w:fill="auto"/>
            <w:vAlign w:val="center"/>
            <w:hideMark/>
          </w:tcPr>
          <w:p w:rsidR="002A65A5" w:rsidRPr="00551EAD" w:rsidRDefault="002A65A5" w:rsidP="00C832B7">
            <w:pPr>
              <w:jc w:val="center"/>
              <w:rPr>
                <w:rFonts w:cs="Arial"/>
                <w:color w:val="000000"/>
                <w:sz w:val="18"/>
                <w:szCs w:val="18"/>
              </w:rPr>
            </w:pPr>
            <w:r w:rsidRPr="00551EAD">
              <w:rPr>
                <w:rFonts w:cs="Arial"/>
                <w:color w:val="000000"/>
                <w:sz w:val="18"/>
                <w:szCs w:val="18"/>
              </w:rPr>
              <w:t>1.058.140.268</w:t>
            </w:r>
          </w:p>
        </w:tc>
        <w:tc>
          <w:tcPr>
            <w:tcW w:w="1292" w:type="dxa"/>
            <w:tcBorders>
              <w:top w:val="nil"/>
              <w:left w:val="nil"/>
              <w:bottom w:val="single" w:sz="8" w:space="0" w:color="auto"/>
              <w:right w:val="single" w:sz="8" w:space="0" w:color="auto"/>
            </w:tcBorders>
            <w:shd w:val="clear" w:color="auto" w:fill="auto"/>
            <w:vAlign w:val="center"/>
            <w:hideMark/>
          </w:tcPr>
          <w:p w:rsidR="002A65A5" w:rsidRPr="00551EAD" w:rsidRDefault="002A65A5" w:rsidP="00C832B7">
            <w:pPr>
              <w:jc w:val="center"/>
              <w:rPr>
                <w:rFonts w:cs="Arial"/>
                <w:color w:val="000000"/>
                <w:sz w:val="18"/>
                <w:szCs w:val="18"/>
              </w:rPr>
            </w:pPr>
            <w:r w:rsidRPr="00551EAD">
              <w:rPr>
                <w:rFonts w:cs="Arial"/>
                <w:color w:val="000000"/>
                <w:sz w:val="18"/>
                <w:szCs w:val="18"/>
              </w:rPr>
              <w:t>1.114.750.772</w:t>
            </w:r>
          </w:p>
        </w:tc>
      </w:tr>
      <w:tr w:rsidR="002A65A5" w:rsidRPr="00551EAD" w:rsidTr="00551EAD">
        <w:trPr>
          <w:trHeight w:val="315"/>
          <w:jc w:val="center"/>
        </w:trPr>
        <w:tc>
          <w:tcPr>
            <w:tcW w:w="1452" w:type="dxa"/>
            <w:tcBorders>
              <w:top w:val="nil"/>
              <w:left w:val="single" w:sz="8" w:space="0" w:color="auto"/>
              <w:bottom w:val="single" w:sz="8" w:space="0" w:color="auto"/>
              <w:right w:val="single" w:sz="8" w:space="0" w:color="auto"/>
            </w:tcBorders>
            <w:shd w:val="clear" w:color="auto" w:fill="auto"/>
            <w:noWrap/>
            <w:vAlign w:val="center"/>
            <w:hideMark/>
          </w:tcPr>
          <w:p w:rsidR="002A65A5" w:rsidRPr="00551EAD" w:rsidRDefault="002A65A5" w:rsidP="00C832B7">
            <w:pPr>
              <w:jc w:val="center"/>
              <w:rPr>
                <w:rFonts w:cs="Arial"/>
                <w:color w:val="000000"/>
                <w:sz w:val="18"/>
                <w:szCs w:val="18"/>
              </w:rPr>
            </w:pPr>
            <w:r w:rsidRPr="00551EAD">
              <w:rPr>
                <w:rFonts w:cs="Arial"/>
                <w:color w:val="000000"/>
                <w:sz w:val="18"/>
                <w:szCs w:val="18"/>
              </w:rPr>
              <w:t>Nacional</w:t>
            </w:r>
          </w:p>
        </w:tc>
        <w:tc>
          <w:tcPr>
            <w:tcW w:w="1141" w:type="dxa"/>
            <w:tcBorders>
              <w:top w:val="nil"/>
              <w:left w:val="nil"/>
              <w:bottom w:val="single" w:sz="8" w:space="0" w:color="auto"/>
              <w:right w:val="single" w:sz="8" w:space="0" w:color="auto"/>
            </w:tcBorders>
            <w:shd w:val="clear" w:color="auto" w:fill="auto"/>
            <w:vAlign w:val="center"/>
            <w:hideMark/>
          </w:tcPr>
          <w:p w:rsidR="002A65A5" w:rsidRPr="00551EAD" w:rsidRDefault="002A65A5" w:rsidP="00C832B7">
            <w:pPr>
              <w:jc w:val="center"/>
              <w:rPr>
                <w:rFonts w:cs="Arial"/>
                <w:color w:val="000000"/>
                <w:sz w:val="18"/>
                <w:szCs w:val="18"/>
              </w:rPr>
            </w:pPr>
            <w:r w:rsidRPr="00551EAD">
              <w:rPr>
                <w:rFonts w:cs="Arial"/>
                <w:color w:val="000000"/>
                <w:sz w:val="18"/>
                <w:szCs w:val="18"/>
              </w:rPr>
              <w:t>480.977.364</w:t>
            </w:r>
          </w:p>
        </w:tc>
        <w:tc>
          <w:tcPr>
            <w:tcW w:w="1292" w:type="dxa"/>
            <w:tcBorders>
              <w:top w:val="nil"/>
              <w:left w:val="nil"/>
              <w:bottom w:val="single" w:sz="8" w:space="0" w:color="auto"/>
              <w:right w:val="single" w:sz="8" w:space="0" w:color="auto"/>
            </w:tcBorders>
            <w:shd w:val="clear" w:color="auto" w:fill="auto"/>
            <w:vAlign w:val="center"/>
            <w:hideMark/>
          </w:tcPr>
          <w:p w:rsidR="002A65A5" w:rsidRPr="00551EAD" w:rsidRDefault="002A65A5" w:rsidP="00C832B7">
            <w:pPr>
              <w:jc w:val="right"/>
              <w:rPr>
                <w:rFonts w:cs="Arial"/>
                <w:color w:val="000000"/>
                <w:sz w:val="18"/>
                <w:szCs w:val="18"/>
              </w:rPr>
            </w:pPr>
            <w:r w:rsidRPr="00551EAD">
              <w:rPr>
                <w:rFonts w:cs="Arial"/>
                <w:color w:val="000000"/>
                <w:sz w:val="18"/>
                <w:szCs w:val="18"/>
              </w:rPr>
              <w:t>804.749.943</w:t>
            </w:r>
          </w:p>
        </w:tc>
        <w:tc>
          <w:tcPr>
            <w:tcW w:w="1392" w:type="dxa"/>
            <w:tcBorders>
              <w:top w:val="nil"/>
              <w:left w:val="nil"/>
              <w:bottom w:val="single" w:sz="8" w:space="0" w:color="auto"/>
              <w:right w:val="single" w:sz="8" w:space="0" w:color="auto"/>
            </w:tcBorders>
            <w:shd w:val="clear" w:color="auto" w:fill="auto"/>
            <w:noWrap/>
            <w:vAlign w:val="center"/>
            <w:hideMark/>
          </w:tcPr>
          <w:p w:rsidR="002A65A5" w:rsidRPr="00551EAD" w:rsidRDefault="002A65A5" w:rsidP="00C832B7">
            <w:pPr>
              <w:jc w:val="right"/>
              <w:rPr>
                <w:rFonts w:cs="Arial"/>
                <w:color w:val="000000"/>
                <w:sz w:val="18"/>
                <w:szCs w:val="18"/>
              </w:rPr>
            </w:pPr>
            <w:r w:rsidRPr="00551EAD">
              <w:rPr>
                <w:rFonts w:cs="Arial"/>
                <w:color w:val="000000"/>
                <w:sz w:val="18"/>
                <w:szCs w:val="18"/>
              </w:rPr>
              <w:t>863.316.422</w:t>
            </w:r>
          </w:p>
        </w:tc>
        <w:tc>
          <w:tcPr>
            <w:tcW w:w="1475" w:type="dxa"/>
            <w:tcBorders>
              <w:top w:val="nil"/>
              <w:left w:val="nil"/>
              <w:bottom w:val="single" w:sz="8" w:space="0" w:color="auto"/>
              <w:right w:val="single" w:sz="8" w:space="0" w:color="auto"/>
            </w:tcBorders>
            <w:shd w:val="clear" w:color="auto" w:fill="auto"/>
            <w:noWrap/>
            <w:vAlign w:val="center"/>
            <w:hideMark/>
          </w:tcPr>
          <w:p w:rsidR="002A65A5" w:rsidRPr="00551EAD" w:rsidRDefault="002A65A5" w:rsidP="00C832B7">
            <w:pPr>
              <w:jc w:val="right"/>
              <w:rPr>
                <w:rFonts w:cs="Arial"/>
                <w:color w:val="000000"/>
                <w:sz w:val="18"/>
                <w:szCs w:val="18"/>
              </w:rPr>
            </w:pPr>
            <w:r w:rsidRPr="00551EAD">
              <w:rPr>
                <w:rFonts w:cs="Arial"/>
                <w:color w:val="000000"/>
                <w:sz w:val="18"/>
                <w:szCs w:val="18"/>
              </w:rPr>
              <w:t>907.498.270</w:t>
            </w:r>
          </w:p>
        </w:tc>
        <w:tc>
          <w:tcPr>
            <w:tcW w:w="1292" w:type="dxa"/>
            <w:tcBorders>
              <w:top w:val="nil"/>
              <w:left w:val="nil"/>
              <w:bottom w:val="single" w:sz="8" w:space="0" w:color="auto"/>
              <w:right w:val="single" w:sz="8" w:space="0" w:color="auto"/>
            </w:tcBorders>
            <w:shd w:val="clear" w:color="auto" w:fill="auto"/>
            <w:vAlign w:val="center"/>
            <w:hideMark/>
          </w:tcPr>
          <w:p w:rsidR="002A65A5" w:rsidRPr="00551EAD" w:rsidRDefault="002A65A5" w:rsidP="00C832B7">
            <w:pPr>
              <w:jc w:val="right"/>
              <w:rPr>
                <w:rFonts w:cs="Arial"/>
                <w:color w:val="000000"/>
                <w:sz w:val="18"/>
                <w:szCs w:val="18"/>
              </w:rPr>
            </w:pPr>
            <w:r w:rsidRPr="00551EAD">
              <w:rPr>
                <w:rFonts w:cs="Arial"/>
                <w:color w:val="000000"/>
                <w:sz w:val="18"/>
                <w:szCs w:val="18"/>
              </w:rPr>
              <w:t>947.613.830</w:t>
            </w:r>
          </w:p>
        </w:tc>
        <w:tc>
          <w:tcPr>
            <w:tcW w:w="1292" w:type="dxa"/>
            <w:tcBorders>
              <w:top w:val="nil"/>
              <w:left w:val="nil"/>
              <w:bottom w:val="single" w:sz="8" w:space="0" w:color="auto"/>
              <w:right w:val="single" w:sz="8" w:space="0" w:color="auto"/>
            </w:tcBorders>
            <w:shd w:val="clear" w:color="auto" w:fill="auto"/>
            <w:vAlign w:val="center"/>
            <w:hideMark/>
          </w:tcPr>
          <w:p w:rsidR="002A65A5" w:rsidRPr="00551EAD" w:rsidRDefault="002A65A5" w:rsidP="00C832B7">
            <w:pPr>
              <w:jc w:val="right"/>
              <w:rPr>
                <w:rFonts w:cs="Arial"/>
                <w:color w:val="000000"/>
                <w:sz w:val="18"/>
                <w:szCs w:val="18"/>
              </w:rPr>
            </w:pPr>
            <w:r w:rsidRPr="00551EAD">
              <w:rPr>
                <w:rFonts w:cs="Arial"/>
                <w:color w:val="000000"/>
                <w:sz w:val="18"/>
                <w:szCs w:val="18"/>
              </w:rPr>
              <w:t>999.271.935</w:t>
            </w:r>
          </w:p>
        </w:tc>
      </w:tr>
      <w:tr w:rsidR="002A65A5" w:rsidRPr="00551EAD" w:rsidTr="00551EAD">
        <w:trPr>
          <w:trHeight w:val="315"/>
          <w:jc w:val="center"/>
        </w:trPr>
        <w:tc>
          <w:tcPr>
            <w:tcW w:w="1452" w:type="dxa"/>
            <w:tcBorders>
              <w:top w:val="nil"/>
              <w:left w:val="single" w:sz="8" w:space="0" w:color="auto"/>
              <w:bottom w:val="single" w:sz="8" w:space="0" w:color="auto"/>
              <w:right w:val="single" w:sz="8" w:space="0" w:color="auto"/>
            </w:tcBorders>
            <w:shd w:val="clear" w:color="auto" w:fill="auto"/>
            <w:noWrap/>
            <w:vAlign w:val="center"/>
            <w:hideMark/>
          </w:tcPr>
          <w:p w:rsidR="002A65A5" w:rsidRPr="00551EAD" w:rsidRDefault="002A65A5" w:rsidP="00C832B7">
            <w:pPr>
              <w:jc w:val="center"/>
              <w:rPr>
                <w:rFonts w:cs="Arial"/>
                <w:b/>
                <w:bCs/>
                <w:color w:val="000000"/>
                <w:sz w:val="18"/>
                <w:szCs w:val="18"/>
              </w:rPr>
            </w:pPr>
            <w:r w:rsidRPr="00551EAD">
              <w:rPr>
                <w:rFonts w:cs="Arial"/>
                <w:b/>
                <w:bCs/>
                <w:color w:val="000000"/>
                <w:sz w:val="18"/>
                <w:szCs w:val="18"/>
              </w:rPr>
              <w:t>Totales</w:t>
            </w:r>
          </w:p>
        </w:tc>
        <w:tc>
          <w:tcPr>
            <w:tcW w:w="1141" w:type="dxa"/>
            <w:tcBorders>
              <w:top w:val="nil"/>
              <w:left w:val="nil"/>
              <w:bottom w:val="single" w:sz="8" w:space="0" w:color="auto"/>
              <w:right w:val="single" w:sz="8" w:space="0" w:color="auto"/>
            </w:tcBorders>
            <w:shd w:val="clear" w:color="auto" w:fill="auto"/>
            <w:vAlign w:val="center"/>
            <w:hideMark/>
          </w:tcPr>
          <w:p w:rsidR="002A65A5" w:rsidRPr="00551EAD" w:rsidRDefault="002A65A5" w:rsidP="00C832B7">
            <w:pPr>
              <w:jc w:val="center"/>
              <w:rPr>
                <w:rFonts w:cs="Arial"/>
                <w:b/>
                <w:bCs/>
                <w:color w:val="000000"/>
                <w:sz w:val="18"/>
                <w:szCs w:val="18"/>
              </w:rPr>
            </w:pPr>
            <w:r w:rsidRPr="00551EAD">
              <w:rPr>
                <w:rFonts w:cs="Arial"/>
                <w:b/>
                <w:bCs/>
                <w:color w:val="000000"/>
                <w:sz w:val="18"/>
                <w:szCs w:val="18"/>
              </w:rPr>
              <w:t>991.511.063</w:t>
            </w:r>
          </w:p>
        </w:tc>
        <w:tc>
          <w:tcPr>
            <w:tcW w:w="1292" w:type="dxa"/>
            <w:tcBorders>
              <w:top w:val="nil"/>
              <w:left w:val="nil"/>
              <w:bottom w:val="single" w:sz="8" w:space="0" w:color="auto"/>
              <w:right w:val="single" w:sz="8" w:space="0" w:color="auto"/>
            </w:tcBorders>
            <w:shd w:val="clear" w:color="auto" w:fill="auto"/>
            <w:vAlign w:val="center"/>
            <w:hideMark/>
          </w:tcPr>
          <w:p w:rsidR="002A65A5" w:rsidRPr="00551EAD" w:rsidRDefault="002A65A5" w:rsidP="00C832B7">
            <w:pPr>
              <w:jc w:val="center"/>
              <w:rPr>
                <w:rFonts w:cs="Arial"/>
                <w:b/>
                <w:bCs/>
                <w:color w:val="000000"/>
                <w:sz w:val="18"/>
                <w:szCs w:val="18"/>
              </w:rPr>
            </w:pPr>
            <w:r w:rsidRPr="00551EAD">
              <w:rPr>
                <w:rFonts w:cs="Arial"/>
                <w:b/>
                <w:bCs/>
                <w:color w:val="000000"/>
                <w:sz w:val="18"/>
                <w:szCs w:val="18"/>
              </w:rPr>
              <w:t>1.701.040.619</w:t>
            </w:r>
          </w:p>
        </w:tc>
        <w:tc>
          <w:tcPr>
            <w:tcW w:w="1392" w:type="dxa"/>
            <w:tcBorders>
              <w:top w:val="nil"/>
              <w:left w:val="nil"/>
              <w:bottom w:val="single" w:sz="8" w:space="0" w:color="auto"/>
              <w:right w:val="single" w:sz="8" w:space="0" w:color="auto"/>
            </w:tcBorders>
            <w:shd w:val="clear" w:color="auto" w:fill="auto"/>
            <w:vAlign w:val="center"/>
            <w:hideMark/>
          </w:tcPr>
          <w:p w:rsidR="002A65A5" w:rsidRPr="00551EAD" w:rsidRDefault="002A65A5" w:rsidP="00C832B7">
            <w:pPr>
              <w:jc w:val="center"/>
              <w:rPr>
                <w:rFonts w:cs="Arial"/>
                <w:b/>
                <w:bCs/>
                <w:color w:val="000000"/>
                <w:sz w:val="18"/>
                <w:szCs w:val="18"/>
              </w:rPr>
            </w:pPr>
            <w:r w:rsidRPr="00551EAD">
              <w:rPr>
                <w:rFonts w:cs="Arial"/>
                <w:b/>
                <w:bCs/>
                <w:color w:val="000000"/>
                <w:sz w:val="18"/>
                <w:szCs w:val="18"/>
              </w:rPr>
              <w:t>1.819.673.392</w:t>
            </w:r>
          </w:p>
        </w:tc>
        <w:tc>
          <w:tcPr>
            <w:tcW w:w="1475" w:type="dxa"/>
            <w:tcBorders>
              <w:top w:val="nil"/>
              <w:left w:val="nil"/>
              <w:bottom w:val="single" w:sz="8" w:space="0" w:color="auto"/>
              <w:right w:val="single" w:sz="8" w:space="0" w:color="auto"/>
            </w:tcBorders>
            <w:shd w:val="clear" w:color="auto" w:fill="auto"/>
            <w:vAlign w:val="center"/>
            <w:hideMark/>
          </w:tcPr>
          <w:p w:rsidR="002A65A5" w:rsidRPr="00551EAD" w:rsidRDefault="002A65A5" w:rsidP="00C832B7">
            <w:pPr>
              <w:jc w:val="center"/>
              <w:rPr>
                <w:rFonts w:cs="Arial"/>
                <w:b/>
                <w:bCs/>
                <w:color w:val="000000"/>
                <w:sz w:val="18"/>
                <w:szCs w:val="18"/>
              </w:rPr>
            </w:pPr>
            <w:r w:rsidRPr="00551EAD">
              <w:rPr>
                <w:rFonts w:cs="Arial"/>
                <w:b/>
                <w:bCs/>
                <w:color w:val="000000"/>
                <w:sz w:val="18"/>
                <w:szCs w:val="18"/>
              </w:rPr>
              <w:t>1.905.743.805.</w:t>
            </w:r>
          </w:p>
        </w:tc>
        <w:tc>
          <w:tcPr>
            <w:tcW w:w="1292" w:type="dxa"/>
            <w:tcBorders>
              <w:top w:val="nil"/>
              <w:left w:val="nil"/>
              <w:bottom w:val="single" w:sz="8" w:space="0" w:color="auto"/>
              <w:right w:val="single" w:sz="8" w:space="0" w:color="auto"/>
            </w:tcBorders>
            <w:shd w:val="clear" w:color="auto" w:fill="auto"/>
            <w:vAlign w:val="center"/>
            <w:hideMark/>
          </w:tcPr>
          <w:p w:rsidR="002A65A5" w:rsidRPr="00551EAD" w:rsidRDefault="002A65A5" w:rsidP="00C832B7">
            <w:pPr>
              <w:jc w:val="center"/>
              <w:rPr>
                <w:rFonts w:cs="Arial"/>
                <w:b/>
                <w:bCs/>
                <w:color w:val="000000"/>
                <w:sz w:val="18"/>
                <w:szCs w:val="18"/>
              </w:rPr>
            </w:pPr>
            <w:r w:rsidRPr="00551EAD">
              <w:rPr>
                <w:rFonts w:cs="Arial"/>
                <w:b/>
                <w:bCs/>
                <w:color w:val="000000"/>
                <w:sz w:val="18"/>
                <w:szCs w:val="18"/>
              </w:rPr>
              <w:t>2.005.754.098</w:t>
            </w:r>
          </w:p>
        </w:tc>
        <w:tc>
          <w:tcPr>
            <w:tcW w:w="1292" w:type="dxa"/>
            <w:tcBorders>
              <w:top w:val="nil"/>
              <w:left w:val="nil"/>
              <w:bottom w:val="single" w:sz="8" w:space="0" w:color="auto"/>
              <w:right w:val="single" w:sz="8" w:space="0" w:color="auto"/>
            </w:tcBorders>
            <w:shd w:val="clear" w:color="auto" w:fill="auto"/>
            <w:vAlign w:val="center"/>
            <w:hideMark/>
          </w:tcPr>
          <w:p w:rsidR="002A65A5" w:rsidRPr="00551EAD" w:rsidRDefault="002A65A5" w:rsidP="00C832B7">
            <w:pPr>
              <w:jc w:val="center"/>
              <w:rPr>
                <w:rFonts w:cs="Arial"/>
                <w:b/>
                <w:bCs/>
                <w:color w:val="000000"/>
                <w:sz w:val="18"/>
                <w:szCs w:val="18"/>
              </w:rPr>
            </w:pPr>
            <w:r w:rsidRPr="00551EAD">
              <w:rPr>
                <w:rFonts w:cs="Arial"/>
                <w:b/>
                <w:bCs/>
                <w:color w:val="000000"/>
                <w:sz w:val="18"/>
                <w:szCs w:val="18"/>
              </w:rPr>
              <w:t>2.114.022.707</w:t>
            </w:r>
          </w:p>
        </w:tc>
      </w:tr>
    </w:tbl>
    <w:p w:rsidR="002A65A5" w:rsidRDefault="002A65A5">
      <w:pPr>
        <w:spacing w:line="360" w:lineRule="auto"/>
        <w:jc w:val="both"/>
        <w:rPr>
          <w:b/>
        </w:rPr>
      </w:pPr>
    </w:p>
    <w:p w:rsidR="002A65A5" w:rsidRDefault="002A65A5">
      <w:pPr>
        <w:spacing w:line="360" w:lineRule="auto"/>
        <w:jc w:val="both"/>
        <w:rPr>
          <w:b/>
        </w:rPr>
      </w:pPr>
      <w:r>
        <w:rPr>
          <w:b/>
        </w:rPr>
        <w:t>3) Análisis de las asignaciones presupuestales proyectadas</w:t>
      </w:r>
    </w:p>
    <w:p w:rsidR="002A65A5" w:rsidRDefault="002A65A5">
      <w:pPr>
        <w:pStyle w:val="Textoindependiente"/>
        <w:rPr>
          <w:b/>
        </w:rPr>
      </w:pPr>
      <w:r w:rsidRPr="00D72F6C">
        <w:rPr>
          <w:b/>
        </w:rPr>
        <w:t>3.1)</w:t>
      </w:r>
      <w:r>
        <w:t xml:space="preserve"> Las asignaciones proyectadas se exponen  a nivel de objeto. Su resumen, expresado en pesos uruguayos, se ajusta al siguiente detalle:</w:t>
      </w:r>
    </w:p>
    <w:tbl>
      <w:tblPr>
        <w:tblW w:w="9814" w:type="dxa"/>
        <w:jc w:val="center"/>
        <w:tblInd w:w="-728" w:type="dxa"/>
        <w:tblCellMar>
          <w:left w:w="70" w:type="dxa"/>
          <w:right w:w="70" w:type="dxa"/>
        </w:tblCellMar>
        <w:tblLook w:val="04A0" w:firstRow="1" w:lastRow="0" w:firstColumn="1" w:lastColumn="0" w:noHBand="0" w:noVBand="1"/>
      </w:tblPr>
      <w:tblGrid>
        <w:gridCol w:w="2849"/>
        <w:gridCol w:w="1145"/>
        <w:gridCol w:w="1164"/>
        <w:gridCol w:w="1164"/>
        <w:gridCol w:w="1164"/>
        <w:gridCol w:w="1164"/>
        <w:gridCol w:w="1164"/>
      </w:tblGrid>
      <w:tr w:rsidR="002A65A5" w:rsidRPr="0015534D" w:rsidTr="009A7DB1">
        <w:trPr>
          <w:trHeight w:val="475"/>
          <w:jc w:val="center"/>
        </w:trPr>
        <w:tc>
          <w:tcPr>
            <w:tcW w:w="28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65A5" w:rsidRPr="004C11D6" w:rsidRDefault="002A65A5" w:rsidP="004C11D6">
            <w:pPr>
              <w:jc w:val="center"/>
              <w:rPr>
                <w:rFonts w:cs="Arial"/>
                <w:b/>
                <w:sz w:val="18"/>
                <w:szCs w:val="18"/>
                <w:lang w:val="es-UY" w:eastAsia="es-UY"/>
              </w:rPr>
            </w:pPr>
            <w:r w:rsidRPr="004C11D6">
              <w:rPr>
                <w:rFonts w:cs="Arial"/>
                <w:b/>
                <w:sz w:val="18"/>
                <w:szCs w:val="18"/>
                <w:lang w:val="es-UY" w:eastAsia="es-UY"/>
              </w:rPr>
              <w:t>GRUPOS</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2A65A5" w:rsidRPr="0015534D" w:rsidRDefault="002A65A5" w:rsidP="00515AB2">
            <w:pPr>
              <w:jc w:val="center"/>
              <w:rPr>
                <w:rFonts w:cs="Arial"/>
                <w:b/>
                <w:bCs/>
                <w:sz w:val="18"/>
                <w:szCs w:val="18"/>
                <w:lang w:val="es-UY" w:eastAsia="es-UY"/>
              </w:rPr>
            </w:pPr>
            <w:r>
              <w:rPr>
                <w:rFonts w:cs="Arial"/>
                <w:b/>
                <w:bCs/>
                <w:sz w:val="18"/>
                <w:szCs w:val="18"/>
                <w:lang w:val="es-UY" w:eastAsia="es-UY"/>
              </w:rPr>
              <w:t>Vigente   2015</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2A65A5" w:rsidRPr="0015534D" w:rsidRDefault="002A65A5" w:rsidP="00515AB2">
            <w:pPr>
              <w:jc w:val="center"/>
              <w:rPr>
                <w:rFonts w:cs="Arial"/>
                <w:b/>
                <w:bCs/>
                <w:sz w:val="18"/>
                <w:szCs w:val="18"/>
                <w:lang w:val="es-UY" w:eastAsia="es-UY"/>
              </w:rPr>
            </w:pPr>
            <w:r w:rsidRPr="0015534D">
              <w:rPr>
                <w:rFonts w:cs="Arial"/>
                <w:b/>
                <w:bCs/>
                <w:sz w:val="18"/>
                <w:szCs w:val="18"/>
                <w:lang w:val="es-UY" w:eastAsia="es-UY"/>
              </w:rPr>
              <w:t>Proyectado 2016</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2A65A5" w:rsidRPr="0015534D" w:rsidRDefault="002A65A5" w:rsidP="00515AB2">
            <w:pPr>
              <w:jc w:val="center"/>
              <w:rPr>
                <w:rFonts w:cs="Arial"/>
                <w:b/>
                <w:bCs/>
                <w:sz w:val="18"/>
                <w:szCs w:val="18"/>
                <w:lang w:val="es-UY" w:eastAsia="es-UY"/>
              </w:rPr>
            </w:pPr>
            <w:r w:rsidRPr="0015534D">
              <w:rPr>
                <w:rFonts w:cs="Arial"/>
                <w:b/>
                <w:bCs/>
                <w:sz w:val="18"/>
                <w:szCs w:val="18"/>
                <w:lang w:val="es-UY" w:eastAsia="es-UY"/>
              </w:rPr>
              <w:t>Proyectado 2017</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2A65A5" w:rsidRPr="0015534D" w:rsidRDefault="002A65A5" w:rsidP="00515AB2">
            <w:pPr>
              <w:jc w:val="center"/>
              <w:rPr>
                <w:rFonts w:cs="Arial"/>
                <w:b/>
                <w:bCs/>
                <w:sz w:val="18"/>
                <w:szCs w:val="18"/>
                <w:lang w:val="es-UY" w:eastAsia="es-UY"/>
              </w:rPr>
            </w:pPr>
            <w:r w:rsidRPr="0015534D">
              <w:rPr>
                <w:rFonts w:cs="Arial"/>
                <w:b/>
                <w:bCs/>
                <w:sz w:val="18"/>
                <w:szCs w:val="18"/>
                <w:lang w:val="es-UY" w:eastAsia="es-UY"/>
              </w:rPr>
              <w:t>Proyectado 2018</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2A65A5" w:rsidRPr="0015534D" w:rsidRDefault="002A65A5" w:rsidP="00515AB2">
            <w:pPr>
              <w:jc w:val="center"/>
              <w:rPr>
                <w:rFonts w:cs="Arial"/>
                <w:b/>
                <w:bCs/>
                <w:sz w:val="18"/>
                <w:szCs w:val="18"/>
                <w:lang w:val="es-UY" w:eastAsia="es-UY"/>
              </w:rPr>
            </w:pPr>
            <w:r w:rsidRPr="0015534D">
              <w:rPr>
                <w:rFonts w:cs="Arial"/>
                <w:b/>
                <w:bCs/>
                <w:sz w:val="18"/>
                <w:szCs w:val="18"/>
                <w:lang w:val="es-UY" w:eastAsia="es-UY"/>
              </w:rPr>
              <w:t>Proyectado 2019</w:t>
            </w:r>
          </w:p>
        </w:tc>
        <w:tc>
          <w:tcPr>
            <w:tcW w:w="1164" w:type="dxa"/>
            <w:tcBorders>
              <w:top w:val="single" w:sz="4" w:space="0" w:color="auto"/>
              <w:left w:val="nil"/>
              <w:bottom w:val="single" w:sz="4" w:space="0" w:color="auto"/>
              <w:right w:val="single" w:sz="4" w:space="0" w:color="auto"/>
            </w:tcBorders>
            <w:shd w:val="clear" w:color="auto" w:fill="auto"/>
            <w:vAlign w:val="center"/>
            <w:hideMark/>
          </w:tcPr>
          <w:p w:rsidR="002A65A5" w:rsidRPr="0015534D" w:rsidRDefault="002A65A5" w:rsidP="00515AB2">
            <w:pPr>
              <w:jc w:val="center"/>
              <w:rPr>
                <w:rFonts w:cs="Arial"/>
                <w:b/>
                <w:bCs/>
                <w:sz w:val="18"/>
                <w:szCs w:val="18"/>
                <w:lang w:val="es-UY" w:eastAsia="es-UY"/>
              </w:rPr>
            </w:pPr>
            <w:r w:rsidRPr="0015534D">
              <w:rPr>
                <w:rFonts w:cs="Arial"/>
                <w:b/>
                <w:bCs/>
                <w:sz w:val="18"/>
                <w:szCs w:val="18"/>
                <w:lang w:val="es-UY" w:eastAsia="es-UY"/>
              </w:rPr>
              <w:t>Proyectado 2020</w:t>
            </w:r>
          </w:p>
        </w:tc>
      </w:tr>
      <w:tr w:rsidR="002A65A5" w:rsidRPr="0015534D" w:rsidTr="009A7DB1">
        <w:trPr>
          <w:trHeight w:val="266"/>
          <w:jc w:val="center"/>
        </w:trPr>
        <w:tc>
          <w:tcPr>
            <w:tcW w:w="2849" w:type="dxa"/>
            <w:tcBorders>
              <w:top w:val="nil"/>
              <w:left w:val="single" w:sz="8" w:space="0" w:color="auto"/>
              <w:bottom w:val="single" w:sz="8" w:space="0" w:color="auto"/>
              <w:right w:val="single" w:sz="8" w:space="0" w:color="auto"/>
            </w:tcBorders>
            <w:shd w:val="clear" w:color="auto" w:fill="auto"/>
            <w:noWrap/>
            <w:vAlign w:val="center"/>
            <w:hideMark/>
          </w:tcPr>
          <w:p w:rsidR="002A65A5" w:rsidRPr="0015534D" w:rsidRDefault="002A65A5" w:rsidP="00515AB2">
            <w:pPr>
              <w:rPr>
                <w:rFonts w:cs="Arial"/>
                <w:sz w:val="16"/>
                <w:szCs w:val="16"/>
                <w:lang w:val="es-UY" w:eastAsia="es-UY"/>
              </w:rPr>
            </w:pPr>
            <w:r>
              <w:rPr>
                <w:rFonts w:cs="Arial"/>
                <w:sz w:val="16"/>
                <w:szCs w:val="16"/>
                <w:lang w:val="es-UY" w:eastAsia="es-UY"/>
              </w:rPr>
              <w:t xml:space="preserve">Junta Departamental </w:t>
            </w:r>
          </w:p>
        </w:tc>
        <w:tc>
          <w:tcPr>
            <w:tcW w:w="1145" w:type="dxa"/>
            <w:tcBorders>
              <w:top w:val="nil"/>
              <w:left w:val="single" w:sz="4" w:space="0" w:color="auto"/>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52.917.583</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52.917.583</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52.917.583</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52.917.583</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52.917.583</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52.917.583</w:t>
            </w:r>
          </w:p>
        </w:tc>
      </w:tr>
      <w:tr w:rsidR="002A65A5" w:rsidRPr="0015534D" w:rsidTr="009A7DB1">
        <w:trPr>
          <w:trHeight w:val="266"/>
          <w:jc w:val="center"/>
        </w:trPr>
        <w:tc>
          <w:tcPr>
            <w:tcW w:w="2849" w:type="dxa"/>
            <w:tcBorders>
              <w:top w:val="nil"/>
              <w:left w:val="single" w:sz="8" w:space="0" w:color="auto"/>
              <w:bottom w:val="single" w:sz="8" w:space="0" w:color="auto"/>
              <w:right w:val="single" w:sz="8" w:space="0" w:color="auto"/>
            </w:tcBorders>
            <w:shd w:val="clear" w:color="auto" w:fill="auto"/>
            <w:noWrap/>
            <w:vAlign w:val="center"/>
            <w:hideMark/>
          </w:tcPr>
          <w:p w:rsidR="002A65A5" w:rsidRPr="0015534D" w:rsidRDefault="002A65A5" w:rsidP="00515AB2">
            <w:pPr>
              <w:rPr>
                <w:rFonts w:cs="Arial"/>
                <w:sz w:val="16"/>
                <w:szCs w:val="16"/>
                <w:lang w:val="es-UY" w:eastAsia="es-UY"/>
              </w:rPr>
            </w:pPr>
            <w:r w:rsidRPr="0015534D">
              <w:rPr>
                <w:rFonts w:cs="Arial"/>
                <w:sz w:val="16"/>
                <w:szCs w:val="16"/>
                <w:lang w:val="es-UY" w:eastAsia="es-UY"/>
              </w:rPr>
              <w:t>0 - "Servicios Personales"</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465.932.811</w:t>
            </w:r>
          </w:p>
        </w:tc>
        <w:tc>
          <w:tcPr>
            <w:tcW w:w="1164" w:type="dxa"/>
            <w:tcBorders>
              <w:top w:val="nil"/>
              <w:left w:val="nil"/>
              <w:bottom w:val="single" w:sz="4" w:space="0" w:color="auto"/>
              <w:right w:val="single" w:sz="4" w:space="0" w:color="auto"/>
            </w:tcBorders>
            <w:shd w:val="clear" w:color="auto" w:fill="auto"/>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615.196.028</w:t>
            </w:r>
          </w:p>
        </w:tc>
        <w:tc>
          <w:tcPr>
            <w:tcW w:w="1164" w:type="dxa"/>
            <w:tcBorders>
              <w:top w:val="nil"/>
              <w:left w:val="nil"/>
              <w:bottom w:val="single" w:sz="4" w:space="0" w:color="auto"/>
              <w:right w:val="single" w:sz="4" w:space="0" w:color="auto"/>
            </w:tcBorders>
            <w:shd w:val="clear" w:color="auto" w:fill="auto"/>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665.198.750</w:t>
            </w:r>
          </w:p>
        </w:tc>
        <w:tc>
          <w:tcPr>
            <w:tcW w:w="1164" w:type="dxa"/>
            <w:tcBorders>
              <w:top w:val="nil"/>
              <w:left w:val="nil"/>
              <w:bottom w:val="single" w:sz="4" w:space="0" w:color="auto"/>
              <w:right w:val="single" w:sz="4" w:space="0" w:color="auto"/>
            </w:tcBorders>
            <w:shd w:val="clear" w:color="auto" w:fill="auto"/>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696.603.511</w:t>
            </w:r>
          </w:p>
        </w:tc>
        <w:tc>
          <w:tcPr>
            <w:tcW w:w="1164" w:type="dxa"/>
            <w:tcBorders>
              <w:top w:val="nil"/>
              <w:left w:val="nil"/>
              <w:bottom w:val="single" w:sz="4" w:space="0" w:color="auto"/>
              <w:right w:val="single" w:sz="4" w:space="0" w:color="auto"/>
            </w:tcBorders>
            <w:shd w:val="clear" w:color="auto" w:fill="auto"/>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739.816.308</w:t>
            </w:r>
          </w:p>
        </w:tc>
        <w:tc>
          <w:tcPr>
            <w:tcW w:w="1164" w:type="dxa"/>
            <w:tcBorders>
              <w:top w:val="nil"/>
              <w:left w:val="nil"/>
              <w:bottom w:val="single" w:sz="4" w:space="0" w:color="auto"/>
              <w:right w:val="single" w:sz="4" w:space="0" w:color="auto"/>
            </w:tcBorders>
            <w:shd w:val="clear" w:color="auto" w:fill="auto"/>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780.659.647</w:t>
            </w:r>
          </w:p>
        </w:tc>
      </w:tr>
      <w:tr w:rsidR="002A65A5" w:rsidRPr="0015534D" w:rsidTr="009A7DB1">
        <w:trPr>
          <w:trHeight w:val="266"/>
          <w:jc w:val="center"/>
        </w:trPr>
        <w:tc>
          <w:tcPr>
            <w:tcW w:w="2849" w:type="dxa"/>
            <w:tcBorders>
              <w:top w:val="nil"/>
              <w:left w:val="single" w:sz="8" w:space="0" w:color="auto"/>
              <w:bottom w:val="single" w:sz="8" w:space="0" w:color="auto"/>
              <w:right w:val="single" w:sz="8" w:space="0" w:color="auto"/>
            </w:tcBorders>
            <w:shd w:val="clear" w:color="auto" w:fill="auto"/>
            <w:noWrap/>
            <w:vAlign w:val="center"/>
            <w:hideMark/>
          </w:tcPr>
          <w:p w:rsidR="002A65A5" w:rsidRPr="0015534D" w:rsidRDefault="002A65A5" w:rsidP="00515AB2">
            <w:pPr>
              <w:rPr>
                <w:rFonts w:cs="Arial"/>
                <w:sz w:val="16"/>
                <w:szCs w:val="16"/>
                <w:lang w:val="es-UY" w:eastAsia="es-UY"/>
              </w:rPr>
            </w:pPr>
            <w:r w:rsidRPr="0015534D">
              <w:rPr>
                <w:rFonts w:cs="Arial"/>
                <w:sz w:val="16"/>
                <w:szCs w:val="16"/>
                <w:lang w:val="es-UY" w:eastAsia="es-UY"/>
              </w:rPr>
              <w:t>1 - "Bienes de Consumo"</w:t>
            </w:r>
          </w:p>
        </w:tc>
        <w:tc>
          <w:tcPr>
            <w:tcW w:w="1145" w:type="dxa"/>
            <w:tcBorders>
              <w:top w:val="nil"/>
              <w:left w:val="single" w:sz="4" w:space="0" w:color="auto"/>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51.145.300</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189.117.456</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190.073.945</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195.213.684</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206.664.719</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217.528.951</w:t>
            </w:r>
          </w:p>
        </w:tc>
      </w:tr>
      <w:tr w:rsidR="002A65A5" w:rsidRPr="0015534D" w:rsidTr="009A7DB1">
        <w:trPr>
          <w:trHeight w:val="266"/>
          <w:jc w:val="center"/>
        </w:trPr>
        <w:tc>
          <w:tcPr>
            <w:tcW w:w="2849" w:type="dxa"/>
            <w:tcBorders>
              <w:top w:val="nil"/>
              <w:left w:val="single" w:sz="8" w:space="0" w:color="auto"/>
              <w:bottom w:val="single" w:sz="8" w:space="0" w:color="auto"/>
              <w:right w:val="single" w:sz="8" w:space="0" w:color="auto"/>
            </w:tcBorders>
            <w:shd w:val="clear" w:color="auto" w:fill="auto"/>
            <w:noWrap/>
            <w:vAlign w:val="center"/>
            <w:hideMark/>
          </w:tcPr>
          <w:p w:rsidR="002A65A5" w:rsidRPr="0015534D" w:rsidRDefault="002A65A5" w:rsidP="00515AB2">
            <w:pPr>
              <w:rPr>
                <w:rFonts w:cs="Arial"/>
                <w:sz w:val="16"/>
                <w:szCs w:val="16"/>
                <w:lang w:val="es-UY" w:eastAsia="es-UY"/>
              </w:rPr>
            </w:pPr>
            <w:r w:rsidRPr="0015534D">
              <w:rPr>
                <w:rFonts w:cs="Arial"/>
                <w:sz w:val="16"/>
                <w:szCs w:val="16"/>
                <w:lang w:val="es-UY" w:eastAsia="es-UY"/>
              </w:rPr>
              <w:t>2 - "Servicios no Personales"</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2A65A5" w:rsidRPr="0015534D" w:rsidRDefault="002A65A5" w:rsidP="00D528E2">
            <w:pPr>
              <w:jc w:val="right"/>
              <w:rPr>
                <w:rFonts w:cs="Arial"/>
                <w:sz w:val="16"/>
                <w:szCs w:val="16"/>
                <w:lang w:val="es-UY" w:eastAsia="es-UY"/>
              </w:rPr>
            </w:pPr>
            <w:r>
              <w:rPr>
                <w:rFonts w:cs="Arial"/>
                <w:sz w:val="16"/>
                <w:szCs w:val="16"/>
                <w:lang w:val="es-UY" w:eastAsia="es-UY"/>
              </w:rPr>
              <w:t>100.428.200</w:t>
            </w:r>
          </w:p>
        </w:tc>
        <w:tc>
          <w:tcPr>
            <w:tcW w:w="1164" w:type="dxa"/>
            <w:tcBorders>
              <w:top w:val="nil"/>
              <w:left w:val="nil"/>
              <w:bottom w:val="single" w:sz="4" w:space="0" w:color="auto"/>
              <w:right w:val="single" w:sz="4" w:space="0" w:color="auto"/>
            </w:tcBorders>
            <w:shd w:val="clear" w:color="auto" w:fill="auto"/>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281.609.031</w:t>
            </w:r>
          </w:p>
        </w:tc>
        <w:tc>
          <w:tcPr>
            <w:tcW w:w="1164" w:type="dxa"/>
            <w:tcBorders>
              <w:top w:val="nil"/>
              <w:left w:val="nil"/>
              <w:bottom w:val="single" w:sz="4" w:space="0" w:color="auto"/>
              <w:right w:val="single" w:sz="4" w:space="0" w:color="auto"/>
            </w:tcBorders>
            <w:shd w:val="clear" w:color="auto" w:fill="auto"/>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298.184.925</w:t>
            </w:r>
          </w:p>
        </w:tc>
        <w:tc>
          <w:tcPr>
            <w:tcW w:w="1164" w:type="dxa"/>
            <w:tcBorders>
              <w:top w:val="nil"/>
              <w:left w:val="nil"/>
              <w:bottom w:val="single" w:sz="4" w:space="0" w:color="auto"/>
              <w:right w:val="single" w:sz="4" w:space="0" w:color="auto"/>
            </w:tcBorders>
            <w:shd w:val="clear" w:color="auto" w:fill="auto"/>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318.996.673</w:t>
            </w:r>
          </w:p>
        </w:tc>
        <w:tc>
          <w:tcPr>
            <w:tcW w:w="1164" w:type="dxa"/>
            <w:tcBorders>
              <w:top w:val="nil"/>
              <w:left w:val="nil"/>
              <w:bottom w:val="single" w:sz="4" w:space="0" w:color="auto"/>
              <w:right w:val="single" w:sz="4" w:space="0" w:color="auto"/>
            </w:tcBorders>
            <w:shd w:val="clear" w:color="auto" w:fill="auto"/>
            <w:noWrap/>
            <w:vAlign w:val="bottom"/>
            <w:hideMark/>
          </w:tcPr>
          <w:p w:rsidR="002A65A5" w:rsidRPr="0015534D" w:rsidRDefault="002A65A5" w:rsidP="00E0796F">
            <w:pPr>
              <w:jc w:val="right"/>
              <w:rPr>
                <w:rFonts w:cs="Arial"/>
                <w:sz w:val="16"/>
                <w:szCs w:val="16"/>
                <w:lang w:val="es-UY" w:eastAsia="es-UY"/>
              </w:rPr>
            </w:pPr>
            <w:r>
              <w:rPr>
                <w:rFonts w:cs="Arial"/>
                <w:sz w:val="16"/>
                <w:szCs w:val="16"/>
                <w:lang w:val="es-UY" w:eastAsia="es-UY"/>
              </w:rPr>
              <w:t>330.426.268</w:t>
            </w:r>
          </w:p>
        </w:tc>
        <w:tc>
          <w:tcPr>
            <w:tcW w:w="1164" w:type="dxa"/>
            <w:tcBorders>
              <w:top w:val="nil"/>
              <w:left w:val="nil"/>
              <w:bottom w:val="single" w:sz="4" w:space="0" w:color="auto"/>
              <w:right w:val="single" w:sz="4" w:space="0" w:color="auto"/>
            </w:tcBorders>
            <w:shd w:val="clear" w:color="auto" w:fill="auto"/>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348.139.012</w:t>
            </w:r>
          </w:p>
        </w:tc>
      </w:tr>
      <w:tr w:rsidR="002A65A5" w:rsidRPr="0015534D" w:rsidTr="009A7DB1">
        <w:trPr>
          <w:trHeight w:val="266"/>
          <w:jc w:val="center"/>
        </w:trPr>
        <w:tc>
          <w:tcPr>
            <w:tcW w:w="2849" w:type="dxa"/>
            <w:tcBorders>
              <w:top w:val="nil"/>
              <w:left w:val="single" w:sz="8" w:space="0" w:color="auto"/>
              <w:bottom w:val="single" w:sz="8" w:space="0" w:color="auto"/>
              <w:right w:val="single" w:sz="8" w:space="0" w:color="auto"/>
            </w:tcBorders>
            <w:shd w:val="clear" w:color="auto" w:fill="auto"/>
            <w:noWrap/>
            <w:vAlign w:val="center"/>
            <w:hideMark/>
          </w:tcPr>
          <w:p w:rsidR="002A65A5" w:rsidRPr="0015534D" w:rsidRDefault="002A65A5" w:rsidP="00515AB2">
            <w:pPr>
              <w:rPr>
                <w:rFonts w:cs="Arial"/>
                <w:sz w:val="16"/>
                <w:szCs w:val="16"/>
                <w:lang w:val="es-UY" w:eastAsia="es-UY"/>
              </w:rPr>
            </w:pPr>
            <w:r w:rsidRPr="0015534D">
              <w:rPr>
                <w:rFonts w:cs="Arial"/>
                <w:sz w:val="16"/>
                <w:szCs w:val="16"/>
                <w:lang w:val="es-UY" w:eastAsia="es-UY"/>
              </w:rPr>
              <w:t>3 - "Bienes de Uso"</w:t>
            </w:r>
          </w:p>
        </w:tc>
        <w:tc>
          <w:tcPr>
            <w:tcW w:w="1145" w:type="dxa"/>
            <w:tcBorders>
              <w:top w:val="nil"/>
              <w:left w:val="single" w:sz="4" w:space="0" w:color="auto"/>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136.308.927</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609.949.754</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617.777.709</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515.718.410</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472.249.542</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511.490.191</w:t>
            </w:r>
          </w:p>
        </w:tc>
      </w:tr>
      <w:tr w:rsidR="002A65A5" w:rsidRPr="0015534D" w:rsidTr="009A7DB1">
        <w:trPr>
          <w:trHeight w:val="266"/>
          <w:jc w:val="center"/>
        </w:trPr>
        <w:tc>
          <w:tcPr>
            <w:tcW w:w="2849" w:type="dxa"/>
            <w:tcBorders>
              <w:top w:val="nil"/>
              <w:left w:val="single" w:sz="8" w:space="0" w:color="auto"/>
              <w:bottom w:val="single" w:sz="8" w:space="0" w:color="auto"/>
              <w:right w:val="single" w:sz="8" w:space="0" w:color="auto"/>
            </w:tcBorders>
            <w:shd w:val="clear" w:color="auto" w:fill="auto"/>
            <w:noWrap/>
            <w:vAlign w:val="center"/>
          </w:tcPr>
          <w:p w:rsidR="002A65A5" w:rsidRPr="0015534D" w:rsidRDefault="002A65A5" w:rsidP="00515AB2">
            <w:pPr>
              <w:rPr>
                <w:rFonts w:cs="Arial"/>
                <w:sz w:val="16"/>
                <w:szCs w:val="16"/>
                <w:lang w:val="es-UY" w:eastAsia="es-UY"/>
              </w:rPr>
            </w:pPr>
            <w:r>
              <w:rPr>
                <w:rFonts w:cs="Arial"/>
                <w:sz w:val="16"/>
                <w:szCs w:val="16"/>
                <w:lang w:val="es-UY" w:eastAsia="es-UY"/>
              </w:rPr>
              <w:t>4 – Activos Financieros</w:t>
            </w:r>
          </w:p>
        </w:tc>
        <w:tc>
          <w:tcPr>
            <w:tcW w:w="1145" w:type="dxa"/>
            <w:tcBorders>
              <w:top w:val="nil"/>
              <w:left w:val="single" w:sz="4" w:space="0" w:color="auto"/>
              <w:bottom w:val="single" w:sz="4" w:space="0" w:color="auto"/>
              <w:right w:val="single" w:sz="4" w:space="0" w:color="auto"/>
            </w:tcBorders>
            <w:shd w:val="clear" w:color="000000" w:fill="FFFFFF"/>
            <w:noWrap/>
            <w:vAlign w:val="bottom"/>
          </w:tcPr>
          <w:p w:rsidR="002A65A5" w:rsidRDefault="002A65A5" w:rsidP="00515AB2">
            <w:pPr>
              <w:jc w:val="right"/>
              <w:rPr>
                <w:rFonts w:cs="Arial"/>
                <w:sz w:val="16"/>
                <w:szCs w:val="16"/>
                <w:lang w:val="es-UY" w:eastAsia="es-UY"/>
              </w:rPr>
            </w:pPr>
            <w:r>
              <w:rPr>
                <w:rFonts w:cs="Arial"/>
                <w:sz w:val="16"/>
                <w:szCs w:val="16"/>
                <w:lang w:val="es-UY" w:eastAsia="es-UY"/>
              </w:rPr>
              <w:t>0</w:t>
            </w:r>
          </w:p>
        </w:tc>
        <w:tc>
          <w:tcPr>
            <w:tcW w:w="1164" w:type="dxa"/>
            <w:tcBorders>
              <w:top w:val="nil"/>
              <w:left w:val="nil"/>
              <w:bottom w:val="single" w:sz="4" w:space="0" w:color="auto"/>
              <w:right w:val="single" w:sz="4" w:space="0" w:color="auto"/>
            </w:tcBorders>
            <w:shd w:val="clear" w:color="000000" w:fill="FFFFFF"/>
            <w:noWrap/>
            <w:vAlign w:val="bottom"/>
          </w:tcPr>
          <w:p w:rsidR="002A65A5" w:rsidRDefault="002A65A5" w:rsidP="00515AB2">
            <w:pPr>
              <w:jc w:val="right"/>
              <w:rPr>
                <w:rFonts w:cs="Arial"/>
                <w:sz w:val="16"/>
                <w:szCs w:val="16"/>
                <w:lang w:val="es-UY" w:eastAsia="es-UY"/>
              </w:rPr>
            </w:pPr>
            <w:r>
              <w:rPr>
                <w:rFonts w:cs="Arial"/>
                <w:sz w:val="16"/>
                <w:szCs w:val="16"/>
                <w:lang w:val="es-UY" w:eastAsia="es-UY"/>
              </w:rPr>
              <w:t>0</w:t>
            </w:r>
          </w:p>
        </w:tc>
        <w:tc>
          <w:tcPr>
            <w:tcW w:w="1164" w:type="dxa"/>
            <w:tcBorders>
              <w:top w:val="nil"/>
              <w:left w:val="nil"/>
              <w:bottom w:val="single" w:sz="4" w:space="0" w:color="auto"/>
              <w:right w:val="single" w:sz="4" w:space="0" w:color="auto"/>
            </w:tcBorders>
            <w:shd w:val="clear" w:color="000000" w:fill="FFFFFF"/>
            <w:noWrap/>
            <w:vAlign w:val="bottom"/>
          </w:tcPr>
          <w:p w:rsidR="002A65A5" w:rsidRDefault="002A65A5" w:rsidP="00515AB2">
            <w:pPr>
              <w:jc w:val="right"/>
              <w:rPr>
                <w:rFonts w:cs="Arial"/>
                <w:sz w:val="16"/>
                <w:szCs w:val="16"/>
                <w:lang w:val="es-UY" w:eastAsia="es-UY"/>
              </w:rPr>
            </w:pPr>
            <w:r>
              <w:rPr>
                <w:rFonts w:cs="Arial"/>
                <w:sz w:val="16"/>
                <w:szCs w:val="16"/>
                <w:lang w:val="es-UY" w:eastAsia="es-UY"/>
              </w:rPr>
              <w:t>0</w:t>
            </w:r>
          </w:p>
        </w:tc>
        <w:tc>
          <w:tcPr>
            <w:tcW w:w="1164" w:type="dxa"/>
            <w:tcBorders>
              <w:top w:val="nil"/>
              <w:left w:val="nil"/>
              <w:bottom w:val="single" w:sz="4" w:space="0" w:color="auto"/>
              <w:right w:val="single" w:sz="4" w:space="0" w:color="auto"/>
            </w:tcBorders>
            <w:shd w:val="clear" w:color="000000" w:fill="FFFFFF"/>
            <w:noWrap/>
            <w:vAlign w:val="bottom"/>
          </w:tcPr>
          <w:p w:rsidR="002A65A5" w:rsidRDefault="002A65A5" w:rsidP="00515AB2">
            <w:pPr>
              <w:jc w:val="right"/>
              <w:rPr>
                <w:rFonts w:cs="Arial"/>
                <w:sz w:val="16"/>
                <w:szCs w:val="16"/>
                <w:lang w:val="es-UY" w:eastAsia="es-UY"/>
              </w:rPr>
            </w:pPr>
            <w:r>
              <w:rPr>
                <w:rFonts w:cs="Arial"/>
                <w:sz w:val="16"/>
                <w:szCs w:val="16"/>
                <w:lang w:val="es-UY" w:eastAsia="es-UY"/>
              </w:rPr>
              <w:t>0</w:t>
            </w:r>
          </w:p>
        </w:tc>
        <w:tc>
          <w:tcPr>
            <w:tcW w:w="1164" w:type="dxa"/>
            <w:tcBorders>
              <w:top w:val="nil"/>
              <w:left w:val="nil"/>
              <w:bottom w:val="single" w:sz="4" w:space="0" w:color="auto"/>
              <w:right w:val="single" w:sz="4" w:space="0" w:color="auto"/>
            </w:tcBorders>
            <w:shd w:val="clear" w:color="auto" w:fill="auto"/>
            <w:noWrap/>
            <w:vAlign w:val="bottom"/>
          </w:tcPr>
          <w:p w:rsidR="002A65A5" w:rsidRDefault="002A65A5" w:rsidP="00515AB2">
            <w:pPr>
              <w:jc w:val="right"/>
              <w:rPr>
                <w:rFonts w:cs="Arial"/>
                <w:sz w:val="16"/>
                <w:szCs w:val="16"/>
                <w:lang w:val="es-UY" w:eastAsia="es-UY"/>
              </w:rPr>
            </w:pPr>
            <w:r>
              <w:rPr>
                <w:rFonts w:cs="Arial"/>
                <w:sz w:val="16"/>
                <w:szCs w:val="16"/>
                <w:lang w:val="es-UY" w:eastAsia="es-UY"/>
              </w:rPr>
              <w:t>0</w:t>
            </w:r>
          </w:p>
        </w:tc>
        <w:tc>
          <w:tcPr>
            <w:tcW w:w="1164" w:type="dxa"/>
            <w:tcBorders>
              <w:top w:val="nil"/>
              <w:left w:val="nil"/>
              <w:bottom w:val="single" w:sz="4" w:space="0" w:color="auto"/>
              <w:right w:val="single" w:sz="4" w:space="0" w:color="auto"/>
            </w:tcBorders>
            <w:shd w:val="clear" w:color="auto" w:fill="auto"/>
            <w:noWrap/>
            <w:vAlign w:val="bottom"/>
          </w:tcPr>
          <w:p w:rsidR="002A65A5" w:rsidRDefault="002A65A5" w:rsidP="00515AB2">
            <w:pPr>
              <w:jc w:val="right"/>
              <w:rPr>
                <w:rFonts w:cs="Arial"/>
                <w:sz w:val="16"/>
                <w:szCs w:val="16"/>
                <w:lang w:val="es-UY" w:eastAsia="es-UY"/>
              </w:rPr>
            </w:pPr>
            <w:r>
              <w:rPr>
                <w:rFonts w:cs="Arial"/>
                <w:sz w:val="16"/>
                <w:szCs w:val="16"/>
                <w:lang w:val="es-UY" w:eastAsia="es-UY"/>
              </w:rPr>
              <w:t>0</w:t>
            </w:r>
          </w:p>
        </w:tc>
      </w:tr>
      <w:tr w:rsidR="002A65A5" w:rsidRPr="0015534D" w:rsidTr="009A7DB1">
        <w:trPr>
          <w:trHeight w:val="266"/>
          <w:jc w:val="center"/>
        </w:trPr>
        <w:tc>
          <w:tcPr>
            <w:tcW w:w="2849" w:type="dxa"/>
            <w:tcBorders>
              <w:top w:val="nil"/>
              <w:left w:val="single" w:sz="8" w:space="0" w:color="auto"/>
              <w:bottom w:val="single" w:sz="8" w:space="0" w:color="auto"/>
              <w:right w:val="single" w:sz="8" w:space="0" w:color="auto"/>
            </w:tcBorders>
            <w:shd w:val="clear" w:color="auto" w:fill="auto"/>
            <w:noWrap/>
            <w:vAlign w:val="center"/>
            <w:hideMark/>
          </w:tcPr>
          <w:p w:rsidR="002A65A5" w:rsidRPr="0015534D" w:rsidRDefault="002A65A5" w:rsidP="00515AB2">
            <w:pPr>
              <w:rPr>
                <w:rFonts w:cs="Arial"/>
                <w:sz w:val="16"/>
                <w:szCs w:val="16"/>
                <w:lang w:val="es-UY" w:eastAsia="es-UY"/>
              </w:rPr>
            </w:pPr>
            <w:r w:rsidRPr="0015534D">
              <w:rPr>
                <w:rFonts w:cs="Arial"/>
                <w:sz w:val="16"/>
                <w:szCs w:val="16"/>
                <w:lang w:val="es-UY" w:eastAsia="es-UY"/>
              </w:rPr>
              <w:t>5 - "Transferencias"</w:t>
            </w:r>
          </w:p>
        </w:tc>
        <w:tc>
          <w:tcPr>
            <w:tcW w:w="1145" w:type="dxa"/>
            <w:tcBorders>
              <w:top w:val="nil"/>
              <w:left w:val="single" w:sz="4" w:space="0" w:color="auto"/>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2.769.000</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77.186.769</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83.719.442</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89.489.869</w:t>
            </w:r>
          </w:p>
        </w:tc>
        <w:tc>
          <w:tcPr>
            <w:tcW w:w="1164" w:type="dxa"/>
            <w:tcBorders>
              <w:top w:val="nil"/>
              <w:left w:val="nil"/>
              <w:bottom w:val="single" w:sz="4" w:space="0" w:color="auto"/>
              <w:right w:val="single" w:sz="4" w:space="0" w:color="auto"/>
            </w:tcBorders>
            <w:shd w:val="clear" w:color="auto" w:fill="auto"/>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94.817.758</w:t>
            </w:r>
          </w:p>
        </w:tc>
        <w:tc>
          <w:tcPr>
            <w:tcW w:w="1164" w:type="dxa"/>
            <w:tcBorders>
              <w:top w:val="nil"/>
              <w:left w:val="nil"/>
              <w:bottom w:val="single" w:sz="4" w:space="0" w:color="auto"/>
              <w:right w:val="single" w:sz="4" w:space="0" w:color="auto"/>
            </w:tcBorders>
            <w:shd w:val="clear" w:color="auto" w:fill="auto"/>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99.853.500</w:t>
            </w:r>
          </w:p>
        </w:tc>
      </w:tr>
      <w:tr w:rsidR="002A65A5" w:rsidRPr="0015534D" w:rsidTr="009A7DB1">
        <w:trPr>
          <w:trHeight w:val="266"/>
          <w:jc w:val="center"/>
        </w:trPr>
        <w:tc>
          <w:tcPr>
            <w:tcW w:w="2849" w:type="dxa"/>
            <w:tcBorders>
              <w:top w:val="nil"/>
              <w:left w:val="single" w:sz="8" w:space="0" w:color="auto"/>
              <w:bottom w:val="single" w:sz="8" w:space="0" w:color="auto"/>
              <w:right w:val="single" w:sz="8" w:space="0" w:color="auto"/>
            </w:tcBorders>
            <w:shd w:val="clear" w:color="auto" w:fill="auto"/>
            <w:noWrap/>
            <w:vAlign w:val="center"/>
            <w:hideMark/>
          </w:tcPr>
          <w:p w:rsidR="002A65A5" w:rsidRPr="0015534D" w:rsidRDefault="002A65A5" w:rsidP="00515AB2">
            <w:pPr>
              <w:rPr>
                <w:rFonts w:cs="Arial"/>
                <w:sz w:val="16"/>
                <w:szCs w:val="16"/>
                <w:lang w:val="es-UY" w:eastAsia="es-UY"/>
              </w:rPr>
            </w:pPr>
            <w:r w:rsidRPr="0015534D">
              <w:rPr>
                <w:rFonts w:cs="Arial"/>
                <w:sz w:val="16"/>
                <w:szCs w:val="16"/>
                <w:lang w:val="es-UY" w:eastAsia="es-UY"/>
              </w:rPr>
              <w:t>6 - "Intereses y otros gastos de la deuda"</w:t>
            </w:r>
          </w:p>
        </w:tc>
        <w:tc>
          <w:tcPr>
            <w:tcW w:w="1145" w:type="dxa"/>
            <w:tcBorders>
              <w:top w:val="nil"/>
              <w:left w:val="single" w:sz="4" w:space="0" w:color="auto"/>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25.310.000</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545.692</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592.235</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633.348</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671.307</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707.186</w:t>
            </w:r>
          </w:p>
        </w:tc>
      </w:tr>
      <w:tr w:rsidR="002A65A5" w:rsidRPr="0015534D" w:rsidTr="009A7DB1">
        <w:trPr>
          <w:trHeight w:val="266"/>
          <w:jc w:val="center"/>
        </w:trPr>
        <w:tc>
          <w:tcPr>
            <w:tcW w:w="2849" w:type="dxa"/>
            <w:tcBorders>
              <w:top w:val="nil"/>
              <w:left w:val="single" w:sz="8" w:space="0" w:color="auto"/>
              <w:bottom w:val="single" w:sz="8" w:space="0" w:color="auto"/>
              <w:right w:val="single" w:sz="8" w:space="0" w:color="auto"/>
            </w:tcBorders>
            <w:shd w:val="clear" w:color="auto" w:fill="auto"/>
            <w:noWrap/>
            <w:vAlign w:val="center"/>
            <w:hideMark/>
          </w:tcPr>
          <w:p w:rsidR="002A65A5" w:rsidRPr="0015534D" w:rsidRDefault="002A65A5" w:rsidP="00515AB2">
            <w:pPr>
              <w:rPr>
                <w:rFonts w:cs="Arial"/>
                <w:sz w:val="16"/>
                <w:szCs w:val="16"/>
                <w:lang w:val="es-UY" w:eastAsia="es-UY"/>
              </w:rPr>
            </w:pPr>
            <w:r w:rsidRPr="0015534D">
              <w:rPr>
                <w:rFonts w:cs="Arial"/>
                <w:sz w:val="16"/>
                <w:szCs w:val="16"/>
                <w:lang w:val="es-UY" w:eastAsia="es-UY"/>
              </w:rPr>
              <w:t>7 - "Gastos no Clasificados"</w:t>
            </w:r>
          </w:p>
        </w:tc>
        <w:tc>
          <w:tcPr>
            <w:tcW w:w="1145" w:type="dxa"/>
            <w:tcBorders>
              <w:top w:val="nil"/>
              <w:left w:val="single" w:sz="4" w:space="0" w:color="auto"/>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0</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2.872.905</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3.094.945</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3.291.077</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3.472.167</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3.643.327</w:t>
            </w:r>
          </w:p>
        </w:tc>
      </w:tr>
      <w:tr w:rsidR="002A65A5" w:rsidRPr="0015534D" w:rsidTr="009A7DB1">
        <w:trPr>
          <w:trHeight w:val="266"/>
          <w:jc w:val="center"/>
        </w:trPr>
        <w:tc>
          <w:tcPr>
            <w:tcW w:w="2849" w:type="dxa"/>
            <w:tcBorders>
              <w:top w:val="nil"/>
              <w:left w:val="single" w:sz="8" w:space="0" w:color="auto"/>
              <w:bottom w:val="single" w:sz="8" w:space="0" w:color="auto"/>
              <w:right w:val="single" w:sz="8" w:space="0" w:color="auto"/>
            </w:tcBorders>
            <w:shd w:val="clear" w:color="auto" w:fill="auto"/>
            <w:noWrap/>
            <w:vAlign w:val="center"/>
            <w:hideMark/>
          </w:tcPr>
          <w:p w:rsidR="002A65A5" w:rsidRPr="0015534D" w:rsidRDefault="002A65A5" w:rsidP="00515AB2">
            <w:pPr>
              <w:rPr>
                <w:rFonts w:cs="Arial"/>
                <w:sz w:val="16"/>
                <w:szCs w:val="16"/>
                <w:lang w:val="es-UY" w:eastAsia="es-UY"/>
              </w:rPr>
            </w:pPr>
            <w:r w:rsidRPr="0015534D">
              <w:rPr>
                <w:rFonts w:cs="Arial"/>
                <w:sz w:val="16"/>
                <w:szCs w:val="16"/>
                <w:lang w:val="es-UY" w:eastAsia="es-UY"/>
              </w:rPr>
              <w:t>8 - "Aplicaciones Financieras"</w:t>
            </w:r>
          </w:p>
        </w:tc>
        <w:tc>
          <w:tcPr>
            <w:tcW w:w="1145" w:type="dxa"/>
            <w:tcBorders>
              <w:top w:val="nil"/>
              <w:left w:val="single" w:sz="4" w:space="0" w:color="auto"/>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1.200.000</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0</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0</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0</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0</w:t>
            </w:r>
          </w:p>
        </w:tc>
        <w:tc>
          <w:tcPr>
            <w:tcW w:w="1164" w:type="dxa"/>
            <w:tcBorders>
              <w:top w:val="nil"/>
              <w:left w:val="nil"/>
              <w:bottom w:val="single" w:sz="4" w:space="0" w:color="auto"/>
              <w:right w:val="single" w:sz="4" w:space="0" w:color="auto"/>
            </w:tcBorders>
            <w:shd w:val="clear" w:color="000000" w:fill="FFFFFF"/>
            <w:noWrap/>
            <w:vAlign w:val="bottom"/>
            <w:hideMark/>
          </w:tcPr>
          <w:p w:rsidR="002A65A5" w:rsidRPr="0015534D" w:rsidRDefault="002A65A5" w:rsidP="00515AB2">
            <w:pPr>
              <w:jc w:val="right"/>
              <w:rPr>
                <w:rFonts w:cs="Arial"/>
                <w:sz w:val="16"/>
                <w:szCs w:val="16"/>
                <w:lang w:val="es-UY" w:eastAsia="es-UY"/>
              </w:rPr>
            </w:pPr>
            <w:r>
              <w:rPr>
                <w:rFonts w:cs="Arial"/>
                <w:sz w:val="16"/>
                <w:szCs w:val="16"/>
                <w:lang w:val="es-UY" w:eastAsia="es-UY"/>
              </w:rPr>
              <w:t>0</w:t>
            </w:r>
          </w:p>
        </w:tc>
      </w:tr>
      <w:tr w:rsidR="002A65A5" w:rsidRPr="0015534D" w:rsidTr="009A7DB1">
        <w:trPr>
          <w:trHeight w:val="252"/>
          <w:jc w:val="center"/>
        </w:trPr>
        <w:tc>
          <w:tcPr>
            <w:tcW w:w="2849" w:type="dxa"/>
            <w:tcBorders>
              <w:top w:val="single" w:sz="4" w:space="0" w:color="auto"/>
              <w:left w:val="single" w:sz="4" w:space="0" w:color="auto"/>
              <w:bottom w:val="single" w:sz="4" w:space="0" w:color="auto"/>
              <w:right w:val="single" w:sz="4" w:space="0" w:color="auto"/>
            </w:tcBorders>
            <w:shd w:val="clear" w:color="FFFF00" w:fill="FFFFFF"/>
            <w:noWrap/>
            <w:vAlign w:val="bottom"/>
            <w:hideMark/>
          </w:tcPr>
          <w:p w:rsidR="002A65A5" w:rsidRPr="0015534D" w:rsidRDefault="002A65A5" w:rsidP="00515AB2">
            <w:pPr>
              <w:rPr>
                <w:rFonts w:cs="Arial"/>
                <w:b/>
                <w:bCs/>
                <w:sz w:val="16"/>
                <w:szCs w:val="16"/>
                <w:lang w:val="es-UY" w:eastAsia="es-UY"/>
              </w:rPr>
            </w:pPr>
            <w:r w:rsidRPr="0015534D">
              <w:rPr>
                <w:rFonts w:cs="Arial"/>
                <w:b/>
                <w:bCs/>
                <w:sz w:val="16"/>
                <w:szCs w:val="16"/>
                <w:lang w:val="es-UY" w:eastAsia="es-UY"/>
              </w:rPr>
              <w:t>Total</w:t>
            </w:r>
          </w:p>
        </w:tc>
        <w:tc>
          <w:tcPr>
            <w:tcW w:w="1145" w:type="dxa"/>
            <w:tcBorders>
              <w:top w:val="nil"/>
              <w:left w:val="nil"/>
              <w:bottom w:val="single" w:sz="4" w:space="0" w:color="auto"/>
              <w:right w:val="single" w:sz="4" w:space="0" w:color="auto"/>
            </w:tcBorders>
            <w:shd w:val="clear" w:color="auto" w:fill="auto"/>
            <w:noWrap/>
            <w:vAlign w:val="bottom"/>
            <w:hideMark/>
          </w:tcPr>
          <w:p w:rsidR="002A65A5" w:rsidRPr="0015534D" w:rsidRDefault="002A65A5" w:rsidP="00515AB2">
            <w:pPr>
              <w:jc w:val="right"/>
              <w:rPr>
                <w:rFonts w:cs="Arial"/>
                <w:b/>
                <w:bCs/>
                <w:sz w:val="16"/>
                <w:szCs w:val="16"/>
                <w:lang w:val="es-UY" w:eastAsia="es-UY"/>
              </w:rPr>
            </w:pPr>
            <w:r>
              <w:rPr>
                <w:rFonts w:cs="Arial"/>
                <w:b/>
                <w:bCs/>
                <w:sz w:val="16"/>
                <w:szCs w:val="16"/>
                <w:lang w:val="es-UY" w:eastAsia="es-UY"/>
              </w:rPr>
              <w:t>836.011.821</w:t>
            </w:r>
          </w:p>
        </w:tc>
        <w:tc>
          <w:tcPr>
            <w:tcW w:w="1164" w:type="dxa"/>
            <w:tcBorders>
              <w:top w:val="nil"/>
              <w:left w:val="nil"/>
              <w:bottom w:val="single" w:sz="4" w:space="0" w:color="auto"/>
              <w:right w:val="single" w:sz="4" w:space="0" w:color="auto"/>
            </w:tcBorders>
            <w:shd w:val="clear" w:color="auto" w:fill="auto"/>
            <w:noWrap/>
            <w:vAlign w:val="bottom"/>
            <w:hideMark/>
          </w:tcPr>
          <w:p w:rsidR="002A65A5" w:rsidRPr="0015534D" w:rsidRDefault="002A65A5" w:rsidP="00515AB2">
            <w:pPr>
              <w:jc w:val="right"/>
              <w:rPr>
                <w:rFonts w:cs="Arial"/>
                <w:b/>
                <w:bCs/>
                <w:sz w:val="16"/>
                <w:szCs w:val="16"/>
                <w:lang w:val="es-UY" w:eastAsia="es-UY"/>
              </w:rPr>
            </w:pPr>
            <w:r>
              <w:rPr>
                <w:rFonts w:cs="Arial"/>
                <w:b/>
                <w:bCs/>
                <w:sz w:val="16"/>
                <w:szCs w:val="16"/>
                <w:lang w:val="es-UY" w:eastAsia="es-UY"/>
              </w:rPr>
              <w:t>1.829.395.218</w:t>
            </w:r>
          </w:p>
        </w:tc>
        <w:tc>
          <w:tcPr>
            <w:tcW w:w="1164" w:type="dxa"/>
            <w:tcBorders>
              <w:top w:val="nil"/>
              <w:left w:val="nil"/>
              <w:bottom w:val="single" w:sz="4" w:space="0" w:color="auto"/>
              <w:right w:val="single" w:sz="4" w:space="0" w:color="auto"/>
            </w:tcBorders>
            <w:shd w:val="clear" w:color="auto" w:fill="auto"/>
            <w:noWrap/>
            <w:vAlign w:val="bottom"/>
            <w:hideMark/>
          </w:tcPr>
          <w:p w:rsidR="002A65A5" w:rsidRPr="0015534D" w:rsidRDefault="002A65A5" w:rsidP="00515AB2">
            <w:pPr>
              <w:jc w:val="right"/>
              <w:rPr>
                <w:rFonts w:cs="Arial"/>
                <w:b/>
                <w:bCs/>
                <w:sz w:val="16"/>
                <w:szCs w:val="16"/>
                <w:lang w:val="es-UY" w:eastAsia="es-UY"/>
              </w:rPr>
            </w:pPr>
            <w:r>
              <w:rPr>
                <w:rFonts w:cs="Arial"/>
                <w:b/>
                <w:bCs/>
                <w:sz w:val="16"/>
                <w:szCs w:val="16"/>
                <w:lang w:val="es-UY" w:eastAsia="es-UY"/>
              </w:rPr>
              <w:t>1.911.559.534</w:t>
            </w:r>
          </w:p>
        </w:tc>
        <w:tc>
          <w:tcPr>
            <w:tcW w:w="1164" w:type="dxa"/>
            <w:tcBorders>
              <w:top w:val="nil"/>
              <w:left w:val="nil"/>
              <w:bottom w:val="single" w:sz="4" w:space="0" w:color="auto"/>
              <w:right w:val="single" w:sz="4" w:space="0" w:color="auto"/>
            </w:tcBorders>
            <w:shd w:val="clear" w:color="auto" w:fill="auto"/>
            <w:noWrap/>
            <w:vAlign w:val="bottom"/>
            <w:hideMark/>
          </w:tcPr>
          <w:p w:rsidR="002A65A5" w:rsidRPr="0015534D" w:rsidRDefault="002A65A5" w:rsidP="00515AB2">
            <w:pPr>
              <w:jc w:val="right"/>
              <w:rPr>
                <w:rFonts w:cs="Arial"/>
                <w:b/>
                <w:bCs/>
                <w:sz w:val="16"/>
                <w:szCs w:val="16"/>
                <w:lang w:val="es-UY" w:eastAsia="es-UY"/>
              </w:rPr>
            </w:pPr>
            <w:r>
              <w:rPr>
                <w:rFonts w:cs="Arial"/>
                <w:b/>
                <w:bCs/>
                <w:sz w:val="16"/>
                <w:szCs w:val="16"/>
                <w:lang w:val="es-UY" w:eastAsia="es-UY"/>
              </w:rPr>
              <w:t>1.872.864.155</w:t>
            </w:r>
          </w:p>
        </w:tc>
        <w:tc>
          <w:tcPr>
            <w:tcW w:w="1164" w:type="dxa"/>
            <w:tcBorders>
              <w:top w:val="nil"/>
              <w:left w:val="nil"/>
              <w:bottom w:val="single" w:sz="4" w:space="0" w:color="auto"/>
              <w:right w:val="single" w:sz="4" w:space="0" w:color="auto"/>
            </w:tcBorders>
            <w:shd w:val="clear" w:color="auto" w:fill="auto"/>
            <w:noWrap/>
            <w:vAlign w:val="bottom"/>
            <w:hideMark/>
          </w:tcPr>
          <w:p w:rsidR="002A65A5" w:rsidRPr="0015534D" w:rsidRDefault="002A65A5" w:rsidP="00515AB2">
            <w:pPr>
              <w:jc w:val="right"/>
              <w:rPr>
                <w:rFonts w:cs="Arial"/>
                <w:b/>
                <w:bCs/>
                <w:sz w:val="16"/>
                <w:szCs w:val="16"/>
                <w:lang w:val="es-UY" w:eastAsia="es-UY"/>
              </w:rPr>
            </w:pPr>
            <w:r>
              <w:rPr>
                <w:rFonts w:cs="Arial"/>
                <w:b/>
                <w:bCs/>
                <w:sz w:val="16"/>
                <w:szCs w:val="16"/>
                <w:lang w:val="es-UY" w:eastAsia="es-UY"/>
              </w:rPr>
              <w:t>1.901.035.652</w:t>
            </w:r>
          </w:p>
        </w:tc>
        <w:tc>
          <w:tcPr>
            <w:tcW w:w="1164" w:type="dxa"/>
            <w:tcBorders>
              <w:top w:val="nil"/>
              <w:left w:val="nil"/>
              <w:bottom w:val="single" w:sz="4" w:space="0" w:color="auto"/>
              <w:right w:val="single" w:sz="4" w:space="0" w:color="auto"/>
            </w:tcBorders>
            <w:shd w:val="clear" w:color="auto" w:fill="auto"/>
            <w:noWrap/>
            <w:vAlign w:val="bottom"/>
            <w:hideMark/>
          </w:tcPr>
          <w:p w:rsidR="002A65A5" w:rsidRPr="0015534D" w:rsidRDefault="002A65A5" w:rsidP="00515AB2">
            <w:pPr>
              <w:jc w:val="right"/>
              <w:rPr>
                <w:rFonts w:cs="Arial"/>
                <w:b/>
                <w:bCs/>
                <w:sz w:val="16"/>
                <w:szCs w:val="16"/>
                <w:lang w:val="es-UY" w:eastAsia="es-UY"/>
              </w:rPr>
            </w:pPr>
            <w:r>
              <w:rPr>
                <w:rFonts w:cs="Arial"/>
                <w:b/>
                <w:bCs/>
                <w:sz w:val="16"/>
                <w:szCs w:val="16"/>
                <w:lang w:val="es-UY" w:eastAsia="es-UY"/>
              </w:rPr>
              <w:t>2.014.939.397</w:t>
            </w:r>
          </w:p>
        </w:tc>
      </w:tr>
    </w:tbl>
    <w:p w:rsidR="002A65A5" w:rsidRDefault="002A65A5">
      <w:pPr>
        <w:pStyle w:val="Textoindependiente"/>
        <w:rPr>
          <w:b/>
        </w:rPr>
      </w:pPr>
    </w:p>
    <w:p w:rsidR="002A65A5" w:rsidRDefault="002A65A5">
      <w:pPr>
        <w:pStyle w:val="Piedepgina"/>
        <w:widowControl w:val="0"/>
        <w:tabs>
          <w:tab w:val="clear" w:pos="4252"/>
          <w:tab w:val="clear" w:pos="8504"/>
        </w:tabs>
        <w:spacing w:line="360" w:lineRule="auto"/>
        <w:jc w:val="both"/>
      </w:pPr>
      <w:r>
        <w:t>Los créditos presupuestales están cuantificados a valores del 31 de diciembre de  2015.</w:t>
      </w:r>
    </w:p>
    <w:p w:rsidR="002A65A5" w:rsidRDefault="002A65A5" w:rsidP="003946A2">
      <w:pPr>
        <w:pStyle w:val="Piedepgina"/>
        <w:widowControl w:val="0"/>
        <w:tabs>
          <w:tab w:val="clear" w:pos="4252"/>
          <w:tab w:val="clear" w:pos="8504"/>
        </w:tabs>
        <w:spacing w:line="360" w:lineRule="auto"/>
        <w:jc w:val="both"/>
      </w:pPr>
      <w:r w:rsidRPr="00D72F6C">
        <w:rPr>
          <w:b/>
        </w:rPr>
        <w:t>3.2)</w:t>
      </w:r>
      <w:r w:rsidRPr="00431E41">
        <w:t xml:space="preserve"> </w:t>
      </w:r>
      <w:r w:rsidRPr="004C7D50">
        <w:t xml:space="preserve">No se </w:t>
      </w:r>
      <w:r>
        <w:t xml:space="preserve">anexa el texto de las normas vigentes que se modifican en esta instancia, </w:t>
      </w:r>
      <w:r w:rsidRPr="004C7D50">
        <w:t xml:space="preserve">lo cual contraviene lo establecido en el Artículo 3 Literal </w:t>
      </w:r>
      <w:r>
        <w:t>b</w:t>
      </w:r>
      <w:r w:rsidRPr="004C7D50">
        <w:t>) de la Ordenanza N° 70 de fecha 20/07/94 de este Tribunal.</w:t>
      </w:r>
    </w:p>
    <w:p w:rsidR="002A65A5" w:rsidRDefault="002A65A5" w:rsidP="003946A2">
      <w:pPr>
        <w:pStyle w:val="Piedepgina"/>
        <w:widowControl w:val="0"/>
        <w:tabs>
          <w:tab w:val="clear" w:pos="4252"/>
          <w:tab w:val="clear" w:pos="8504"/>
        </w:tabs>
        <w:spacing w:line="360" w:lineRule="auto"/>
        <w:jc w:val="both"/>
      </w:pPr>
      <w:r w:rsidRPr="00D72F6C">
        <w:rPr>
          <w:b/>
        </w:rPr>
        <w:t>3.</w:t>
      </w:r>
      <w:r>
        <w:rPr>
          <w:b/>
        </w:rPr>
        <w:t>3</w:t>
      </w:r>
      <w:r w:rsidRPr="00D72F6C">
        <w:rPr>
          <w:b/>
        </w:rPr>
        <w:t>)</w:t>
      </w:r>
      <w:r w:rsidRPr="00431E41">
        <w:t xml:space="preserve"> </w:t>
      </w:r>
      <w:r w:rsidRPr="004C7D50">
        <w:t xml:space="preserve">No se </w:t>
      </w:r>
      <w:r>
        <w:t xml:space="preserve">presenta la relación de las modificaciones introducidas por la Junta, no cumpliendo con lo </w:t>
      </w:r>
      <w:r w:rsidRPr="004C7D50">
        <w:t>estable</w:t>
      </w:r>
      <w:r>
        <w:t xml:space="preserve">cido </w:t>
      </w:r>
      <w:r w:rsidRPr="004C7D50">
        <w:t xml:space="preserve">en el Artículo 3 Literal </w:t>
      </w:r>
      <w:r>
        <w:t>d</w:t>
      </w:r>
      <w:r w:rsidRPr="004C7D50">
        <w:t>) de la Ordenanza N°70 de fecha 20/07/94 de este Tribunal.</w:t>
      </w:r>
    </w:p>
    <w:p w:rsidR="002A65A5" w:rsidRPr="002E6887" w:rsidRDefault="002A65A5" w:rsidP="002E6887">
      <w:pPr>
        <w:pStyle w:val="Piedepgina"/>
        <w:widowControl w:val="0"/>
        <w:tabs>
          <w:tab w:val="clear" w:pos="4252"/>
          <w:tab w:val="clear" w:pos="8504"/>
        </w:tabs>
        <w:spacing w:line="360" w:lineRule="auto"/>
        <w:jc w:val="both"/>
      </w:pPr>
      <w:r w:rsidRPr="00D72F6C">
        <w:rPr>
          <w:b/>
        </w:rPr>
        <w:t>3.</w:t>
      </w:r>
      <w:r>
        <w:rPr>
          <w:b/>
        </w:rPr>
        <w:t>4</w:t>
      </w:r>
      <w:r w:rsidRPr="00D72F6C">
        <w:rPr>
          <w:b/>
        </w:rPr>
        <w:t>)</w:t>
      </w:r>
      <w:r w:rsidRPr="004C7D50">
        <w:t xml:space="preserve"> El Programa “Junta Departamental” prevé las partidas anuales destinadas a financiar el Presupuesto Quinquenal de la Corporación. </w:t>
      </w:r>
      <w:r>
        <w:t xml:space="preserve">Las asignaciones presupuestales de la Junta entrarán en </w:t>
      </w:r>
      <w:r w:rsidRPr="004C7D50">
        <w:t>vigencia una vez que la Corporación sancione definitivamente su presupuesto, previo Dictamen de este Tribunal.</w:t>
      </w:r>
    </w:p>
    <w:p w:rsidR="002A65A5" w:rsidRDefault="002A65A5">
      <w:pPr>
        <w:tabs>
          <w:tab w:val="left" w:pos="360"/>
        </w:tabs>
        <w:spacing w:line="360" w:lineRule="auto"/>
        <w:jc w:val="both"/>
        <w:rPr>
          <w:rFonts w:cs="Arial"/>
          <w:b/>
          <w:bCs/>
        </w:rPr>
      </w:pPr>
      <w:r>
        <w:rPr>
          <w:b/>
          <w:bCs/>
        </w:rPr>
        <w:t>4) Cumplimiento de normas constitucionales, legales y reglamentarias</w:t>
      </w:r>
    </w:p>
    <w:p w:rsidR="002A65A5" w:rsidRDefault="002A65A5" w:rsidP="004F1CD3">
      <w:pPr>
        <w:spacing w:line="360" w:lineRule="auto"/>
        <w:jc w:val="both"/>
        <w:rPr>
          <w:rFonts w:cs="Arial"/>
        </w:rPr>
      </w:pPr>
      <w:r w:rsidRPr="00D72F6C">
        <w:rPr>
          <w:rFonts w:cs="Arial"/>
          <w:b/>
        </w:rPr>
        <w:t>4.1)</w:t>
      </w:r>
      <w:r>
        <w:rPr>
          <w:rFonts w:cs="Arial"/>
          <w:b/>
        </w:rPr>
        <w:t xml:space="preserve"> </w:t>
      </w:r>
      <w:r>
        <w:rPr>
          <w:rFonts w:cs="Arial"/>
        </w:rPr>
        <w:t>Se ha dado cumplimiento al plazo constitucional de que dispone este Tribunal para emitir su dictamen (Artículos 225 Inciso 2º y 275 Numeral 3º de la Constitución de la República).</w:t>
      </w:r>
    </w:p>
    <w:p w:rsidR="002A65A5" w:rsidRPr="009A313E" w:rsidRDefault="002A65A5" w:rsidP="004F1CD3">
      <w:pPr>
        <w:spacing w:line="360" w:lineRule="auto"/>
        <w:jc w:val="both"/>
        <w:rPr>
          <w:rFonts w:cs="Arial"/>
        </w:rPr>
      </w:pPr>
      <w:r>
        <w:rPr>
          <w:rFonts w:cs="Arial"/>
          <w:b/>
        </w:rPr>
        <w:t xml:space="preserve">4.2) </w:t>
      </w:r>
      <w:r>
        <w:rPr>
          <w:rFonts w:cs="Arial"/>
        </w:rPr>
        <w:t xml:space="preserve">La modificación introducida por la Junta Departamental en el Artículo 46 del proyecto, al aumentar el sueldo del Secretario General del Municipio de </w:t>
      </w:r>
      <w:proofErr w:type="spellStart"/>
      <w:r>
        <w:rPr>
          <w:rFonts w:cs="Arial"/>
        </w:rPr>
        <w:t>Ansina</w:t>
      </w:r>
      <w:proofErr w:type="spellEnd"/>
      <w:r>
        <w:rPr>
          <w:rFonts w:cs="Arial"/>
        </w:rPr>
        <w:t xml:space="preserve">, contraviene lo dispuesto por el Artículo 86 de la Constitución de la </w:t>
      </w:r>
      <w:r w:rsidR="009A7DB1">
        <w:rPr>
          <w:rFonts w:cs="Arial"/>
        </w:rPr>
        <w:t>República.</w:t>
      </w:r>
    </w:p>
    <w:p w:rsidR="002A65A5" w:rsidRDefault="002A65A5" w:rsidP="004F1CD3">
      <w:pPr>
        <w:spacing w:line="360" w:lineRule="auto"/>
        <w:jc w:val="both"/>
        <w:rPr>
          <w:rFonts w:cs="Arial"/>
        </w:rPr>
      </w:pPr>
      <w:r>
        <w:rPr>
          <w:rFonts w:cs="Arial"/>
          <w:b/>
        </w:rPr>
        <w:t xml:space="preserve">4.3) </w:t>
      </w:r>
      <w:r>
        <w:rPr>
          <w:rFonts w:cs="Arial"/>
        </w:rPr>
        <w:t>En relación a la limitación de gastos e inversiones  de los Municipios prevista por el Artículo 57 del Proyecto, cabe destacar que, por imperio del Artículo 12 Numeral 3º de la Ley Nº 19.272, los Municipios son ordenadores  de gastos de conformidad  con lo establecido en el presupuesto.  La mencionada  norma se debe aplicar en forma coordinada con el Artículo 19 en la redacción dada por el Artículo 683 de la Ley Nº 19.355, la cual se interpreta refiere a límites establecidos  en la asignación presupuestal. Ello no autoriza a fijar un límite distinto a lo asignado en el programa correspondiente. Asimismo la prohibición de realizar  reiteración de gastos contraviene lo dispuesto en el Artículo 211 Literal B) de la Constitución de la República.</w:t>
      </w:r>
    </w:p>
    <w:p w:rsidR="002A65A5" w:rsidRDefault="002A65A5" w:rsidP="004F1CD3">
      <w:pPr>
        <w:spacing w:line="360" w:lineRule="auto"/>
        <w:jc w:val="both"/>
        <w:rPr>
          <w:rFonts w:cs="Arial"/>
        </w:rPr>
      </w:pPr>
      <w:r>
        <w:rPr>
          <w:rFonts w:cs="Arial"/>
          <w:b/>
        </w:rPr>
        <w:t xml:space="preserve">4.4) </w:t>
      </w:r>
      <w:r>
        <w:rPr>
          <w:rFonts w:cs="Arial"/>
        </w:rPr>
        <w:t>La partida de $41:500.000 prevista para “viviendas de madera T15” (grupo 381) no se ajusta a derecho, en tanto los gobiernos departamentales no son competentes para destinar fondos a la construcción de viviendas  por carecer de norma habilitante al respecto.</w:t>
      </w:r>
    </w:p>
    <w:p w:rsidR="002A65A5" w:rsidRPr="002E6887" w:rsidRDefault="002A65A5" w:rsidP="004F1CD3">
      <w:pPr>
        <w:spacing w:line="360" w:lineRule="auto"/>
        <w:jc w:val="both"/>
        <w:rPr>
          <w:rFonts w:cs="Arial"/>
        </w:rPr>
      </w:pPr>
    </w:p>
    <w:p w:rsidR="002A65A5" w:rsidRPr="009A313E" w:rsidRDefault="002A65A5" w:rsidP="002F67AB">
      <w:pPr>
        <w:spacing w:line="360" w:lineRule="auto"/>
        <w:jc w:val="both"/>
        <w:rPr>
          <w:rFonts w:cs="Arial"/>
        </w:rPr>
      </w:pPr>
      <w:r>
        <w:rPr>
          <w:rFonts w:cs="Arial"/>
          <w:b/>
        </w:rPr>
        <w:t xml:space="preserve">5) Opinión. </w:t>
      </w:r>
      <w:r>
        <w:rPr>
          <w:rFonts w:cs="Arial"/>
        </w:rPr>
        <w:t>En opinión del Tribunal de Cuentas, el proyecto de Presupuesto Quinquenal de la Intendencia de Tacuarembó para el período 2016-2020 ha sido preparado en forma razonable, de acuerdo con los supuestos efectuados por el Organismo y se presenta de conformidad con las disposiciones constitucionales, legales y reglamentarias vigentes, excepto por lo expresado en los Numerales 4.3), 4.2) y 4.4</w:t>
      </w:r>
      <w:r w:rsidRPr="009A313E">
        <w:rPr>
          <w:rFonts w:cs="Arial"/>
        </w:rPr>
        <w:t>).</w:t>
      </w:r>
    </w:p>
    <w:p w:rsidR="002A65A5" w:rsidRPr="009A7DB1" w:rsidRDefault="002A65A5" w:rsidP="009A7DB1">
      <w:pPr>
        <w:jc w:val="right"/>
      </w:pPr>
      <w:r>
        <w:t>Montevideo</w:t>
      </w:r>
      <w:r w:rsidRPr="00267A44">
        <w:t>, 2</w:t>
      </w:r>
      <w:r w:rsidR="009A7DB1">
        <w:t>8 de abril de 2016</w:t>
      </w:r>
    </w:p>
    <w:sectPr w:rsidR="002A65A5" w:rsidRPr="009A7DB1" w:rsidSect="007056F6">
      <w:pgSz w:w="11906" w:h="16838"/>
      <w:pgMar w:top="3402"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062F"/>
    <w:multiLevelType w:val="multilevel"/>
    <w:tmpl w:val="36EC6BD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7E166E9"/>
    <w:multiLevelType w:val="hybridMultilevel"/>
    <w:tmpl w:val="C472BE8A"/>
    <w:lvl w:ilvl="0" w:tplc="FCE0E0D6">
      <w:start w:val="1"/>
      <w:numFmt w:val="decimal"/>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46A"/>
    <w:rsid w:val="00137C43"/>
    <w:rsid w:val="002A65A5"/>
    <w:rsid w:val="002C3DA2"/>
    <w:rsid w:val="003276AC"/>
    <w:rsid w:val="007056F6"/>
    <w:rsid w:val="0076246A"/>
    <w:rsid w:val="009A7DB1"/>
    <w:rsid w:val="00AF7D40"/>
    <w:rsid w:val="00BC4CA5"/>
    <w:rsid w:val="00C556D7"/>
    <w:rsid w:val="00DE640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46A"/>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2A65A5"/>
    <w:pPr>
      <w:keepNext/>
      <w:jc w:val="center"/>
      <w:outlineLvl w:val="0"/>
    </w:pPr>
    <w:rPr>
      <w:b/>
    </w:rPr>
  </w:style>
  <w:style w:type="paragraph" w:styleId="Ttulo2">
    <w:name w:val="heading 2"/>
    <w:basedOn w:val="Normal"/>
    <w:next w:val="Normal"/>
    <w:link w:val="Ttulo2Car"/>
    <w:qFormat/>
    <w:rsid w:val="002A65A5"/>
    <w:pPr>
      <w:keepNext/>
      <w:jc w:val="right"/>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6246A"/>
    <w:pPr>
      <w:spacing w:line="360" w:lineRule="auto"/>
      <w:jc w:val="both"/>
    </w:pPr>
  </w:style>
  <w:style w:type="character" w:customStyle="1" w:styleId="TextoindependienteCar">
    <w:name w:val="Texto independiente Car"/>
    <w:basedOn w:val="Fuentedeprrafopredeter"/>
    <w:link w:val="Textoindependiente"/>
    <w:rsid w:val="0076246A"/>
    <w:rPr>
      <w:rFonts w:ascii="Arial" w:eastAsia="Times New Roman" w:hAnsi="Arial" w:cs="Times New Roman"/>
      <w:sz w:val="24"/>
      <w:szCs w:val="24"/>
      <w:lang w:val="es-ES" w:eastAsia="es-ES"/>
    </w:rPr>
  </w:style>
  <w:style w:type="character" w:customStyle="1" w:styleId="Ttulo1Car">
    <w:name w:val="Título 1 Car"/>
    <w:basedOn w:val="Fuentedeprrafopredeter"/>
    <w:link w:val="Ttulo1"/>
    <w:rsid w:val="002A65A5"/>
    <w:rPr>
      <w:rFonts w:ascii="Arial" w:eastAsia="Times New Roman" w:hAnsi="Arial" w:cs="Times New Roman"/>
      <w:b/>
      <w:sz w:val="24"/>
      <w:szCs w:val="24"/>
      <w:lang w:val="es-ES" w:eastAsia="es-ES"/>
    </w:rPr>
  </w:style>
  <w:style w:type="character" w:customStyle="1" w:styleId="Ttulo2Car">
    <w:name w:val="Título 2 Car"/>
    <w:basedOn w:val="Fuentedeprrafopredeter"/>
    <w:link w:val="Ttulo2"/>
    <w:rsid w:val="002A65A5"/>
    <w:rPr>
      <w:rFonts w:ascii="Arial" w:eastAsia="Times New Roman" w:hAnsi="Arial" w:cs="Times New Roman"/>
      <w:b/>
      <w:sz w:val="24"/>
      <w:szCs w:val="24"/>
      <w:lang w:val="es-ES" w:eastAsia="es-ES"/>
    </w:rPr>
  </w:style>
  <w:style w:type="paragraph" w:styleId="Piedepgina">
    <w:name w:val="footer"/>
    <w:basedOn w:val="Normal"/>
    <w:link w:val="PiedepginaCar"/>
    <w:semiHidden/>
    <w:rsid w:val="002A65A5"/>
    <w:pPr>
      <w:tabs>
        <w:tab w:val="center" w:pos="4252"/>
        <w:tab w:val="right" w:pos="8504"/>
      </w:tabs>
    </w:pPr>
  </w:style>
  <w:style w:type="character" w:customStyle="1" w:styleId="PiedepginaCar">
    <w:name w:val="Pie de página Car"/>
    <w:basedOn w:val="Fuentedeprrafopredeter"/>
    <w:link w:val="Piedepgina"/>
    <w:semiHidden/>
    <w:rsid w:val="002A65A5"/>
    <w:rPr>
      <w:rFonts w:ascii="Arial" w:eastAsia="Times New Roman" w:hAnsi="Arial" w:cs="Times New Roman"/>
      <w:sz w:val="24"/>
      <w:szCs w:val="24"/>
      <w:lang w:val="es-ES" w:eastAsia="es-ES"/>
    </w:rPr>
  </w:style>
  <w:style w:type="paragraph" w:styleId="Textoindependiente2">
    <w:name w:val="Body Text 2"/>
    <w:basedOn w:val="Normal"/>
    <w:link w:val="Textoindependiente2Car"/>
    <w:semiHidden/>
    <w:rsid w:val="002A65A5"/>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character" w:customStyle="1" w:styleId="Textoindependiente2Car">
    <w:name w:val="Texto independiente 2 Car"/>
    <w:basedOn w:val="Fuentedeprrafopredeter"/>
    <w:link w:val="Textoindependiente2"/>
    <w:semiHidden/>
    <w:rsid w:val="002A65A5"/>
    <w:rPr>
      <w:rFonts w:ascii="Bookman Old Style" w:eastAsia="Times New Roman" w:hAnsi="Bookman Old Style" w:cs="Times New Roman"/>
      <w:snapToGrid w:val="0"/>
      <w:spacing w:val="-3"/>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46A"/>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2A65A5"/>
    <w:pPr>
      <w:keepNext/>
      <w:jc w:val="center"/>
      <w:outlineLvl w:val="0"/>
    </w:pPr>
    <w:rPr>
      <w:b/>
    </w:rPr>
  </w:style>
  <w:style w:type="paragraph" w:styleId="Ttulo2">
    <w:name w:val="heading 2"/>
    <w:basedOn w:val="Normal"/>
    <w:next w:val="Normal"/>
    <w:link w:val="Ttulo2Car"/>
    <w:qFormat/>
    <w:rsid w:val="002A65A5"/>
    <w:pPr>
      <w:keepNext/>
      <w:jc w:val="right"/>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6246A"/>
    <w:pPr>
      <w:spacing w:line="360" w:lineRule="auto"/>
      <w:jc w:val="both"/>
    </w:pPr>
  </w:style>
  <w:style w:type="character" w:customStyle="1" w:styleId="TextoindependienteCar">
    <w:name w:val="Texto independiente Car"/>
    <w:basedOn w:val="Fuentedeprrafopredeter"/>
    <w:link w:val="Textoindependiente"/>
    <w:rsid w:val="0076246A"/>
    <w:rPr>
      <w:rFonts w:ascii="Arial" w:eastAsia="Times New Roman" w:hAnsi="Arial" w:cs="Times New Roman"/>
      <w:sz w:val="24"/>
      <w:szCs w:val="24"/>
      <w:lang w:val="es-ES" w:eastAsia="es-ES"/>
    </w:rPr>
  </w:style>
  <w:style w:type="character" w:customStyle="1" w:styleId="Ttulo1Car">
    <w:name w:val="Título 1 Car"/>
    <w:basedOn w:val="Fuentedeprrafopredeter"/>
    <w:link w:val="Ttulo1"/>
    <w:rsid w:val="002A65A5"/>
    <w:rPr>
      <w:rFonts w:ascii="Arial" w:eastAsia="Times New Roman" w:hAnsi="Arial" w:cs="Times New Roman"/>
      <w:b/>
      <w:sz w:val="24"/>
      <w:szCs w:val="24"/>
      <w:lang w:val="es-ES" w:eastAsia="es-ES"/>
    </w:rPr>
  </w:style>
  <w:style w:type="character" w:customStyle="1" w:styleId="Ttulo2Car">
    <w:name w:val="Título 2 Car"/>
    <w:basedOn w:val="Fuentedeprrafopredeter"/>
    <w:link w:val="Ttulo2"/>
    <w:rsid w:val="002A65A5"/>
    <w:rPr>
      <w:rFonts w:ascii="Arial" w:eastAsia="Times New Roman" w:hAnsi="Arial" w:cs="Times New Roman"/>
      <w:b/>
      <w:sz w:val="24"/>
      <w:szCs w:val="24"/>
      <w:lang w:val="es-ES" w:eastAsia="es-ES"/>
    </w:rPr>
  </w:style>
  <w:style w:type="paragraph" w:styleId="Piedepgina">
    <w:name w:val="footer"/>
    <w:basedOn w:val="Normal"/>
    <w:link w:val="PiedepginaCar"/>
    <w:semiHidden/>
    <w:rsid w:val="002A65A5"/>
    <w:pPr>
      <w:tabs>
        <w:tab w:val="center" w:pos="4252"/>
        <w:tab w:val="right" w:pos="8504"/>
      </w:tabs>
    </w:pPr>
  </w:style>
  <w:style w:type="character" w:customStyle="1" w:styleId="PiedepginaCar">
    <w:name w:val="Pie de página Car"/>
    <w:basedOn w:val="Fuentedeprrafopredeter"/>
    <w:link w:val="Piedepgina"/>
    <w:semiHidden/>
    <w:rsid w:val="002A65A5"/>
    <w:rPr>
      <w:rFonts w:ascii="Arial" w:eastAsia="Times New Roman" w:hAnsi="Arial" w:cs="Times New Roman"/>
      <w:sz w:val="24"/>
      <w:szCs w:val="24"/>
      <w:lang w:val="es-ES" w:eastAsia="es-ES"/>
    </w:rPr>
  </w:style>
  <w:style w:type="paragraph" w:styleId="Textoindependiente2">
    <w:name w:val="Body Text 2"/>
    <w:basedOn w:val="Normal"/>
    <w:link w:val="Textoindependiente2Car"/>
    <w:semiHidden/>
    <w:rsid w:val="002A65A5"/>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character" w:customStyle="1" w:styleId="Textoindependiente2Car">
    <w:name w:val="Texto independiente 2 Car"/>
    <w:basedOn w:val="Fuentedeprrafopredeter"/>
    <w:link w:val="Textoindependiente2"/>
    <w:semiHidden/>
    <w:rsid w:val="002A65A5"/>
    <w:rPr>
      <w:rFonts w:ascii="Bookman Old Style" w:eastAsia="Times New Roman" w:hAnsi="Bookman Old Style" w:cs="Times New Roman"/>
      <w:snapToGrid w:val="0"/>
      <w:spacing w:val="-3"/>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1079</Words>
  <Characters>5938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Caredio</dc:creator>
  <cp:lastModifiedBy> </cp:lastModifiedBy>
  <cp:revision>4</cp:revision>
  <cp:lastPrinted>2016-05-04T14:41:00Z</cp:lastPrinted>
  <dcterms:created xsi:type="dcterms:W3CDTF">2016-05-04T14:43:00Z</dcterms:created>
  <dcterms:modified xsi:type="dcterms:W3CDTF">2016-07-11T21:02:00Z</dcterms:modified>
</cp:coreProperties>
</file>