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5A" w:rsidRPr="00786EEB" w:rsidRDefault="0089225A" w:rsidP="00555DA1">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1419</w:t>
      </w:r>
      <w:r w:rsidRPr="00786EEB">
        <w:rPr>
          <w:rFonts w:cs="Arial"/>
          <w:b/>
          <w:sz w:val="28"/>
          <w:szCs w:val="28"/>
          <w:lang w:val="es-ES_tradnl"/>
        </w:rPr>
        <w:t>/16</w:t>
      </w:r>
    </w:p>
    <w:p w:rsidR="0089225A" w:rsidRDefault="0089225A" w:rsidP="00555DA1">
      <w:pPr>
        <w:tabs>
          <w:tab w:val="center" w:pos="4253"/>
        </w:tabs>
        <w:suppressAutoHyphens/>
        <w:jc w:val="right"/>
        <w:rPr>
          <w:rFonts w:cs="Arial"/>
          <w:b/>
          <w:lang w:val="es-ES_tradnl"/>
        </w:rPr>
      </w:pPr>
    </w:p>
    <w:p w:rsidR="0089225A" w:rsidRPr="00762B34" w:rsidRDefault="0089225A">
      <w:pPr>
        <w:tabs>
          <w:tab w:val="center" w:pos="4253"/>
        </w:tabs>
        <w:suppressAutoHyphens/>
        <w:jc w:val="center"/>
        <w:rPr>
          <w:rFonts w:cs="Arial"/>
          <w:b/>
          <w:lang w:val="es-ES_tradnl"/>
        </w:rPr>
      </w:pPr>
      <w:r w:rsidRPr="00762B34">
        <w:rPr>
          <w:rFonts w:cs="Arial"/>
          <w:b/>
          <w:lang w:val="es-ES_tradnl"/>
        </w:rPr>
        <w:t>RESOLUCION ADOPTADA POR EL</w:t>
      </w:r>
    </w:p>
    <w:p w:rsidR="0089225A" w:rsidRPr="00762B34" w:rsidRDefault="0089225A">
      <w:pPr>
        <w:tabs>
          <w:tab w:val="left" w:pos="-720"/>
        </w:tabs>
        <w:suppressAutoHyphens/>
        <w:jc w:val="center"/>
        <w:rPr>
          <w:rFonts w:cs="Arial"/>
          <w:b/>
          <w:lang w:val="es-ES_tradnl"/>
        </w:rPr>
      </w:pPr>
    </w:p>
    <w:p w:rsidR="0089225A" w:rsidRPr="00762B34" w:rsidRDefault="0089225A">
      <w:pPr>
        <w:tabs>
          <w:tab w:val="center" w:pos="4253"/>
        </w:tabs>
        <w:suppressAutoHyphens/>
        <w:jc w:val="center"/>
        <w:rPr>
          <w:rFonts w:cs="Arial"/>
          <w:b/>
          <w:lang w:val="es-ES_tradnl"/>
        </w:rPr>
      </w:pPr>
      <w:r w:rsidRPr="00762B34">
        <w:rPr>
          <w:rFonts w:cs="Arial"/>
          <w:b/>
          <w:lang w:val="es-ES_tradnl"/>
        </w:rPr>
        <w:t>TRIBUNAL DE CUENTAS</w:t>
      </w:r>
    </w:p>
    <w:p w:rsidR="0089225A" w:rsidRPr="00762B34" w:rsidRDefault="0089225A">
      <w:pPr>
        <w:tabs>
          <w:tab w:val="left" w:pos="-720"/>
        </w:tabs>
        <w:suppressAutoHyphens/>
        <w:jc w:val="center"/>
        <w:rPr>
          <w:rFonts w:cs="Arial"/>
          <w:b/>
          <w:lang w:val="es-ES_tradnl"/>
        </w:rPr>
      </w:pPr>
    </w:p>
    <w:p w:rsidR="0089225A" w:rsidRPr="00762B34" w:rsidRDefault="0089225A">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3 DE MAYO DE 2016</w:t>
      </w:r>
    </w:p>
    <w:p w:rsidR="0089225A" w:rsidRPr="00762B34" w:rsidRDefault="0089225A">
      <w:pPr>
        <w:tabs>
          <w:tab w:val="center" w:pos="4253"/>
        </w:tabs>
        <w:suppressAutoHyphens/>
        <w:jc w:val="center"/>
        <w:rPr>
          <w:rFonts w:cs="Arial"/>
          <w:b/>
          <w:lang w:val="es-ES_tradnl"/>
        </w:rPr>
      </w:pPr>
    </w:p>
    <w:p w:rsidR="0089225A" w:rsidRPr="00555DA1" w:rsidRDefault="0089225A">
      <w:pPr>
        <w:tabs>
          <w:tab w:val="center" w:pos="4253"/>
        </w:tabs>
        <w:suppressAutoHyphens/>
        <w:jc w:val="center"/>
        <w:rPr>
          <w:rFonts w:cs="Arial"/>
          <w:b/>
          <w:lang w:val="es-UY"/>
        </w:rPr>
      </w:pPr>
      <w:r w:rsidRPr="00555DA1">
        <w:rPr>
          <w:rFonts w:cs="Arial"/>
          <w:b/>
          <w:lang w:val="es-UY"/>
        </w:rPr>
        <w:t xml:space="preserve">(E. E. Nº 2016-17-1-0002131, </w:t>
      </w:r>
      <w:proofErr w:type="spellStart"/>
      <w:r w:rsidRPr="00555DA1">
        <w:rPr>
          <w:rFonts w:cs="Arial"/>
          <w:b/>
          <w:lang w:val="es-UY"/>
        </w:rPr>
        <w:t>Ent</w:t>
      </w:r>
      <w:proofErr w:type="spellEnd"/>
      <w:r w:rsidRPr="00555DA1">
        <w:rPr>
          <w:rFonts w:cs="Arial"/>
          <w:b/>
          <w:lang w:val="es-UY"/>
        </w:rPr>
        <w:t>. N°</w:t>
      </w:r>
      <w:r w:rsidR="00555DA1">
        <w:rPr>
          <w:rFonts w:cs="Arial"/>
          <w:b/>
          <w:lang w:val="es-UY"/>
        </w:rPr>
        <w:t xml:space="preserve"> </w:t>
      </w:r>
      <w:r w:rsidRPr="00555DA1">
        <w:rPr>
          <w:rFonts w:cs="Arial"/>
          <w:b/>
          <w:lang w:val="es-UY"/>
        </w:rPr>
        <w:t>1658/16)</w:t>
      </w:r>
    </w:p>
    <w:p w:rsidR="0089225A" w:rsidRPr="00555DA1" w:rsidRDefault="0089225A">
      <w:pPr>
        <w:rPr>
          <w:lang w:val="es-UY"/>
        </w:rPr>
      </w:pPr>
    </w:p>
    <w:p w:rsidR="0089225A" w:rsidRPr="00555DA1" w:rsidRDefault="0089225A">
      <w:pPr>
        <w:rPr>
          <w:lang w:val="es-UY"/>
        </w:rPr>
      </w:pPr>
    </w:p>
    <w:p w:rsidR="0076246A" w:rsidRDefault="0076246A" w:rsidP="0089225A">
      <w:pPr>
        <w:pStyle w:val="Textoindependiente"/>
        <w:ind w:firstLine="851"/>
      </w:pPr>
      <w:r>
        <w:rPr>
          <w:b/>
        </w:rPr>
        <w:t>VISTO:</w:t>
      </w:r>
      <w:r>
        <w:t xml:space="preserve"> el Proyecto de Presupuesto Quinquenal de la Intendencia de </w:t>
      </w:r>
      <w:r w:rsidR="00DE04B0">
        <w:t>Colonia</w:t>
      </w:r>
      <w:r>
        <w:t xml:space="preserve"> para los ejercicios 2016 -2020;</w:t>
      </w:r>
    </w:p>
    <w:p w:rsidR="0076246A" w:rsidRDefault="0076246A" w:rsidP="0089225A">
      <w:pPr>
        <w:pStyle w:val="Textoindependiente"/>
        <w:ind w:firstLine="851"/>
      </w:pPr>
      <w:r>
        <w:rPr>
          <w:b/>
        </w:rPr>
        <w:t>CONSIDERANDO:</w:t>
      </w:r>
      <w:r>
        <w:t xml:space="preserve"> </w:t>
      </w:r>
      <w:r>
        <w:rPr>
          <w:b/>
        </w:rPr>
        <w:t xml:space="preserve">1) </w:t>
      </w:r>
      <w:r>
        <w:rPr>
          <w:bCs/>
        </w:rPr>
        <w:t>que se ha dado cumplimiento a lo dispuesto por los Artículos</w:t>
      </w:r>
      <w:r>
        <w:t xml:space="preserve"> 223 al 225 de la Constitución de la República;</w:t>
      </w:r>
    </w:p>
    <w:p w:rsidR="0076246A" w:rsidRPr="0003151C" w:rsidRDefault="0076246A" w:rsidP="0003151C">
      <w:pPr>
        <w:pStyle w:val="Textoindependiente"/>
        <w:ind w:firstLine="2977"/>
      </w:pPr>
      <w:r>
        <w:rPr>
          <w:b/>
          <w:bCs/>
        </w:rPr>
        <w:t>2)</w:t>
      </w:r>
      <w:r>
        <w:t xml:space="preserve"> que las conclusiones y evidencias obtenidas son las que se expresan en el Dictamen que se adjunta;</w:t>
      </w:r>
    </w:p>
    <w:p w:rsidR="0089225A" w:rsidRPr="0089225A" w:rsidRDefault="0076246A" w:rsidP="0083601E">
      <w:pPr>
        <w:pStyle w:val="Textoindependiente"/>
        <w:ind w:firstLine="851"/>
      </w:pPr>
      <w:r>
        <w:rPr>
          <w:b/>
        </w:rPr>
        <w:t>ATENTO:</w:t>
      </w:r>
      <w:r>
        <w:t xml:space="preserve"> a lo dispuesto por los Artículos 211 literal A) y 225 de la Constitución de la República;</w:t>
      </w:r>
    </w:p>
    <w:p w:rsidR="0076246A" w:rsidRDefault="0076246A" w:rsidP="0089225A">
      <w:pPr>
        <w:pStyle w:val="Textoindependiente"/>
        <w:jc w:val="center"/>
        <w:rPr>
          <w:b/>
          <w:highlight w:val="yellow"/>
        </w:rPr>
      </w:pPr>
      <w:r>
        <w:rPr>
          <w:b/>
        </w:rPr>
        <w:t>EL TRIBUNAL ACUERDA</w:t>
      </w:r>
    </w:p>
    <w:p w:rsidR="0076246A" w:rsidRDefault="0076246A" w:rsidP="0076246A">
      <w:pPr>
        <w:pStyle w:val="Textoindependiente"/>
        <w:numPr>
          <w:ilvl w:val="0"/>
          <w:numId w:val="1"/>
        </w:numPr>
        <w:tabs>
          <w:tab w:val="clear" w:pos="720"/>
          <w:tab w:val="num" w:pos="360"/>
        </w:tabs>
        <w:ind w:left="360"/>
      </w:pPr>
      <w:r>
        <w:t xml:space="preserve">Emitir su pronunciamiento respecto al Proyecto de Presupuesto Quinquenal de la Intendencia de </w:t>
      </w:r>
      <w:r w:rsidR="00DE04B0">
        <w:t>Colonia</w:t>
      </w:r>
      <w:r>
        <w:t xml:space="preserve"> correspondiente al período 2016-2020 en los términos del </w:t>
      </w:r>
      <w:r w:rsidR="0089225A">
        <w:t>Dictamen que se adjunta;</w:t>
      </w:r>
    </w:p>
    <w:p w:rsidR="0076246A" w:rsidRDefault="0076246A" w:rsidP="0076246A">
      <w:pPr>
        <w:pStyle w:val="Textoindependiente"/>
        <w:numPr>
          <w:ilvl w:val="0"/>
          <w:numId w:val="1"/>
        </w:numPr>
        <w:tabs>
          <w:tab w:val="clear" w:pos="720"/>
          <w:tab w:val="num" w:pos="360"/>
        </w:tabs>
        <w:ind w:left="360"/>
      </w:pPr>
      <w:r>
        <w:t xml:space="preserve">Observar el referido documento por lo expresado en los párrafos </w:t>
      </w:r>
      <w:r w:rsidR="00DE04B0">
        <w:rPr>
          <w:rFonts w:cs="Arial"/>
        </w:rPr>
        <w:t>2.2), 2.3), 3.2), 3.3), 3.4), 3.5), 3.7), 3.9), 3.10), 3.11), 4.3), 4.4), 4.5), 4.6), 4.7), 4.9), 4.10), 4.11), 4.12), y 4.13)</w:t>
      </w:r>
      <w:r w:rsidR="0089225A">
        <w:t xml:space="preserve"> del Dictamen;</w:t>
      </w:r>
    </w:p>
    <w:p w:rsidR="0076246A" w:rsidRDefault="0076246A" w:rsidP="0076246A">
      <w:pPr>
        <w:pStyle w:val="Textoindependiente"/>
        <w:numPr>
          <w:ilvl w:val="0"/>
          <w:numId w:val="1"/>
        </w:numPr>
        <w:tabs>
          <w:tab w:val="clear" w:pos="720"/>
          <w:tab w:val="num" w:pos="360"/>
        </w:tabs>
        <w:ind w:left="360"/>
      </w:pPr>
      <w:r>
        <w:t xml:space="preserve">Téngase presente lo establecido en los párrafos </w:t>
      </w:r>
      <w:r w:rsidR="00DE04B0">
        <w:rPr>
          <w:rFonts w:cs="Arial"/>
        </w:rPr>
        <w:t>3.6), 3.8), 3.12), 3.13), 4.2), y 4.8</w:t>
      </w:r>
      <w:r w:rsidR="009007FF">
        <w:rPr>
          <w:rFonts w:cs="Arial"/>
        </w:rPr>
        <w:t>)</w:t>
      </w:r>
      <w:r w:rsidR="0089225A">
        <w:t xml:space="preserve"> del Dictamen;</w:t>
      </w:r>
    </w:p>
    <w:p w:rsidR="0076246A" w:rsidRDefault="0076246A" w:rsidP="0076246A">
      <w:pPr>
        <w:pStyle w:val="Textoindependiente"/>
        <w:numPr>
          <w:ilvl w:val="0"/>
          <w:numId w:val="1"/>
        </w:numPr>
        <w:tabs>
          <w:tab w:val="clear" w:pos="720"/>
          <w:tab w:val="num" w:pos="360"/>
        </w:tabs>
        <w:ind w:left="360"/>
      </w:pPr>
      <w:r>
        <w:t xml:space="preserve"> Comunicar la presente Resolución a la Intendencia de </w:t>
      </w:r>
      <w:r w:rsidR="00DE04B0">
        <w:t>Colonia</w:t>
      </w:r>
      <w:r w:rsidR="0089225A">
        <w:t>;</w:t>
      </w:r>
    </w:p>
    <w:p w:rsidR="0076246A" w:rsidRDefault="0076246A" w:rsidP="0076246A">
      <w:pPr>
        <w:pStyle w:val="Textoindependiente"/>
        <w:numPr>
          <w:ilvl w:val="0"/>
          <w:numId w:val="1"/>
        </w:numPr>
        <w:tabs>
          <w:tab w:val="clear" w:pos="720"/>
          <w:tab w:val="num" w:pos="360"/>
        </w:tabs>
        <w:ind w:left="360"/>
      </w:pPr>
      <w:r>
        <w:t xml:space="preserve">Devolver los antecedentes a la Junta Departamental de </w:t>
      </w:r>
      <w:r w:rsidR="00DE04B0">
        <w:t>Colonia</w:t>
      </w:r>
      <w:r>
        <w:t>.</w:t>
      </w:r>
    </w:p>
    <w:p w:rsidR="0003151C" w:rsidRDefault="0003151C" w:rsidP="0089225A">
      <w:pPr>
        <w:pStyle w:val="Textoindependiente"/>
        <w:ind w:left="360"/>
        <w:rPr>
          <w:sz w:val="20"/>
          <w:szCs w:val="20"/>
        </w:rPr>
      </w:pPr>
    </w:p>
    <w:p w:rsidR="008A212A" w:rsidRDefault="008A212A" w:rsidP="0089225A">
      <w:pPr>
        <w:pStyle w:val="Textoindependiente"/>
        <w:ind w:left="360"/>
        <w:rPr>
          <w:sz w:val="20"/>
          <w:szCs w:val="20"/>
        </w:rPr>
      </w:pPr>
    </w:p>
    <w:p w:rsidR="008A212A" w:rsidRDefault="008A212A" w:rsidP="0089225A">
      <w:pPr>
        <w:pStyle w:val="Textoindependiente"/>
        <w:ind w:left="360"/>
        <w:rPr>
          <w:sz w:val="20"/>
          <w:szCs w:val="20"/>
        </w:rPr>
      </w:pPr>
    </w:p>
    <w:p w:rsidR="008A212A" w:rsidRDefault="008A212A" w:rsidP="0089225A">
      <w:pPr>
        <w:pStyle w:val="Textoindependiente"/>
        <w:ind w:left="360"/>
        <w:rPr>
          <w:sz w:val="20"/>
          <w:szCs w:val="20"/>
        </w:rPr>
      </w:pPr>
    </w:p>
    <w:p w:rsidR="008A212A" w:rsidRDefault="008A212A" w:rsidP="00555DA1">
      <w:pPr>
        <w:pStyle w:val="Ttulo1"/>
        <w:spacing w:line="360" w:lineRule="auto"/>
      </w:pPr>
      <w:r>
        <w:lastRenderedPageBreak/>
        <w:t>DICTAMEN</w:t>
      </w:r>
    </w:p>
    <w:p w:rsidR="008A212A" w:rsidRDefault="008A212A">
      <w:pPr>
        <w:rPr>
          <w:b/>
        </w:rPr>
      </w:pPr>
    </w:p>
    <w:p w:rsidR="008A212A" w:rsidRDefault="008A212A" w:rsidP="00555DA1">
      <w:pPr>
        <w:spacing w:line="360" w:lineRule="auto"/>
        <w:ind w:firstLine="851"/>
        <w:jc w:val="both"/>
        <w:rPr>
          <w:highlight w:val="yellow"/>
        </w:rPr>
      </w:pPr>
      <w:r>
        <w:t>El Tribunal de Cuentas ha examinado el Proyecto de Presupuesto Quinquenal para el período 2016-2020 de la Intendencia de Colonia.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establecer, en caso que corresponda, los hallazgos realizados en relación con el cumplimiento de las normas constitucionales, legales y reglamen</w:t>
      </w:r>
      <w:r w:rsidR="00555DA1">
        <w:t>tarias que resulten aplicables.</w:t>
      </w:r>
    </w:p>
    <w:p w:rsidR="008A212A" w:rsidRDefault="008A212A">
      <w:pPr>
        <w:spacing w:line="360" w:lineRule="auto"/>
        <w:jc w:val="both"/>
        <w:rPr>
          <w:b/>
        </w:rPr>
      </w:pPr>
    </w:p>
    <w:p w:rsidR="008A212A" w:rsidRDefault="00555DA1">
      <w:pPr>
        <w:spacing w:line="360" w:lineRule="auto"/>
        <w:jc w:val="both"/>
        <w:rPr>
          <w:rFonts w:cs="Arial"/>
          <w:b/>
        </w:rPr>
      </w:pPr>
      <w:r>
        <w:rPr>
          <w:rFonts w:cs="Arial"/>
          <w:b/>
        </w:rPr>
        <w:t>1) Antecedentes</w:t>
      </w:r>
    </w:p>
    <w:p w:rsidR="008A212A" w:rsidRDefault="008A212A">
      <w:pPr>
        <w:pStyle w:val="Textoindependiente2"/>
        <w:rPr>
          <w:rFonts w:ascii="Arial" w:hAnsi="Arial" w:cs="Arial"/>
        </w:rPr>
      </w:pPr>
      <w:r w:rsidRPr="00555DA1">
        <w:rPr>
          <w:rFonts w:ascii="Arial" w:hAnsi="Arial" w:cs="Arial"/>
          <w:b/>
        </w:rPr>
        <w:t>1.1)</w:t>
      </w:r>
      <w:r>
        <w:rPr>
          <w:rFonts w:ascii="Arial" w:hAnsi="Arial" w:cs="Arial"/>
        </w:rPr>
        <w:t xml:space="preserve"> El Proyecto de Presupuesto Quinquenal ingresó a la Junta Departamental de Colonia el 07/01/2016 de conformidad con el Artículo 223 de la Constitución de la República.</w:t>
      </w:r>
    </w:p>
    <w:p w:rsidR="008A212A" w:rsidRDefault="008A212A">
      <w:pPr>
        <w:pStyle w:val="Textoindependiente2"/>
        <w:rPr>
          <w:rFonts w:ascii="Arial" w:hAnsi="Arial" w:cs="Arial"/>
        </w:rPr>
      </w:pPr>
      <w:r w:rsidRPr="00555DA1">
        <w:rPr>
          <w:rFonts w:ascii="Arial" w:hAnsi="Arial" w:cs="Arial"/>
          <w:b/>
        </w:rPr>
        <w:t>1.2)</w:t>
      </w:r>
      <w:r>
        <w:rPr>
          <w:rFonts w:ascii="Arial" w:hAnsi="Arial" w:cs="Arial"/>
        </w:rPr>
        <w:t xml:space="preserve"> El Legislativo Departamental, en sesión de fecha 04/04/2016, aprobó en general por mayoría de 18 votos en 31 Ediles presentes y, en particular, por las mayorías requeridas, el Proyecto de Presupuesto Quinquenal de la Intendencia.</w:t>
      </w:r>
    </w:p>
    <w:p w:rsidR="008A212A" w:rsidRDefault="008A212A">
      <w:pPr>
        <w:pStyle w:val="Textoindependiente2"/>
        <w:rPr>
          <w:rFonts w:ascii="Arial" w:hAnsi="Arial" w:cs="Arial"/>
        </w:rPr>
      </w:pPr>
      <w:r w:rsidRPr="00555DA1">
        <w:rPr>
          <w:rFonts w:ascii="Arial" w:hAnsi="Arial" w:cs="Arial"/>
          <w:b/>
        </w:rPr>
        <w:t>1.3)</w:t>
      </w:r>
      <w:r>
        <w:rPr>
          <w:rFonts w:ascii="Arial" w:hAnsi="Arial" w:cs="Arial"/>
        </w:rPr>
        <w:t xml:space="preserve"> Por Oficio N° 96/16 de fecha 04/04/16 la Junta Departamental de Colonia remitió las actuaciones a efectos de recabar el dictamen de este Tribunal, ingresando las mismas oficialmente en sesión de 06/04/16 (Ordenanzas Nro. 51 de fecha 22/11/72 y 70 de 20/07/94).</w:t>
      </w:r>
    </w:p>
    <w:p w:rsidR="008A212A" w:rsidRDefault="008A212A">
      <w:pPr>
        <w:pStyle w:val="Textoindependiente2"/>
        <w:rPr>
          <w:rFonts w:ascii="Arial" w:hAnsi="Arial" w:cs="Arial"/>
        </w:rPr>
      </w:pPr>
      <w:r w:rsidRPr="00BC73BF">
        <w:rPr>
          <w:rFonts w:ascii="Arial" w:hAnsi="Arial" w:cs="Arial"/>
          <w:b/>
        </w:rPr>
        <w:t>1.4)</w:t>
      </w:r>
      <w:r>
        <w:rPr>
          <w:rFonts w:ascii="Arial" w:hAnsi="Arial" w:cs="Arial"/>
        </w:rPr>
        <w:t xml:space="preserve"> Mediante Oficio Nº 2435/16 de fecha 13/04/2016 se solicitó información complementaria, interrumpiéndose el plazo de que dispone este Tribunal para emitir su dictamen.</w:t>
      </w:r>
    </w:p>
    <w:p w:rsidR="008A212A" w:rsidRPr="000A596C" w:rsidRDefault="008A212A">
      <w:pPr>
        <w:pStyle w:val="Textoindependiente2"/>
        <w:rPr>
          <w:rFonts w:ascii="Arial" w:hAnsi="Arial" w:cs="Arial"/>
        </w:rPr>
      </w:pPr>
      <w:r w:rsidRPr="00BC73BF">
        <w:rPr>
          <w:rFonts w:ascii="Arial" w:hAnsi="Arial" w:cs="Arial"/>
          <w:b/>
        </w:rPr>
        <w:t>1.5)</w:t>
      </w:r>
      <w:r w:rsidRPr="000A596C">
        <w:rPr>
          <w:rFonts w:ascii="Arial" w:hAnsi="Arial" w:cs="Arial"/>
        </w:rPr>
        <w:t xml:space="preserve"> Por Oficio Nº 128/2016 de fecha 20 de abril de 2016, la Junta Departamental remitió </w:t>
      </w:r>
      <w:r>
        <w:rPr>
          <w:rFonts w:ascii="Arial" w:hAnsi="Arial" w:cs="Arial"/>
        </w:rPr>
        <w:t>nueva</w:t>
      </w:r>
      <w:r w:rsidRPr="000A596C">
        <w:rPr>
          <w:rFonts w:ascii="Arial" w:hAnsi="Arial" w:cs="Arial"/>
        </w:rPr>
        <w:t xml:space="preserve"> información, reanudándose el plazo el 27 de abril de 2016.</w:t>
      </w:r>
    </w:p>
    <w:p w:rsidR="008A212A" w:rsidRDefault="008A212A">
      <w:pPr>
        <w:spacing w:line="360" w:lineRule="auto"/>
        <w:jc w:val="both"/>
        <w:rPr>
          <w:b/>
          <w:lang w:val="es-ES_tradnl"/>
        </w:rPr>
      </w:pPr>
    </w:p>
    <w:p w:rsidR="008A212A" w:rsidRDefault="008A212A" w:rsidP="00555DA1">
      <w:pPr>
        <w:spacing w:line="360" w:lineRule="auto"/>
        <w:jc w:val="both"/>
        <w:rPr>
          <w:b/>
          <w:lang w:val="es-ES_tradnl"/>
        </w:rPr>
      </w:pPr>
    </w:p>
    <w:p w:rsidR="008A212A" w:rsidRPr="009524B4" w:rsidRDefault="008A212A" w:rsidP="00555DA1">
      <w:pPr>
        <w:spacing w:line="360" w:lineRule="auto"/>
        <w:jc w:val="both"/>
        <w:rPr>
          <w:b/>
        </w:rPr>
      </w:pPr>
      <w:r>
        <w:rPr>
          <w:b/>
          <w:lang w:val="es-ES_tradnl"/>
        </w:rPr>
        <w:t>2)</w:t>
      </w:r>
      <w:r>
        <w:rPr>
          <w:b/>
        </w:rPr>
        <w:t xml:space="preserve"> Análisis de las estimaciones de recursos</w:t>
      </w:r>
    </w:p>
    <w:p w:rsidR="008A212A" w:rsidRDefault="008A212A">
      <w:pPr>
        <w:pStyle w:val="Textoindependiente"/>
      </w:pPr>
      <w:r w:rsidRPr="00257992">
        <w:rPr>
          <w:b/>
        </w:rPr>
        <w:t>2.1)</w:t>
      </w:r>
      <w:r>
        <w:t xml:space="preserve"> Las estimaciones de recursos para los ejercicios 2016 - 2020 se resumen, en pesos uruguayos expresados a valores de diciembre de 2015, de acuerdo al siguiente detalle:</w:t>
      </w:r>
    </w:p>
    <w:tbl>
      <w:tblPr>
        <w:tblW w:w="9192" w:type="dxa"/>
        <w:tblInd w:w="55" w:type="dxa"/>
        <w:tblCellMar>
          <w:left w:w="70" w:type="dxa"/>
          <w:right w:w="70" w:type="dxa"/>
        </w:tblCellMar>
        <w:tblLook w:val="04A0" w:firstRow="1" w:lastRow="0" w:firstColumn="1" w:lastColumn="0" w:noHBand="0" w:noVBand="1"/>
      </w:tblPr>
      <w:tblGrid>
        <w:gridCol w:w="1937"/>
        <w:gridCol w:w="1451"/>
        <w:gridCol w:w="1451"/>
        <w:gridCol w:w="1451"/>
        <w:gridCol w:w="1451"/>
        <w:gridCol w:w="1451"/>
      </w:tblGrid>
      <w:tr w:rsidR="008A212A" w:rsidRPr="000A596C" w:rsidTr="00555DA1">
        <w:trPr>
          <w:trHeight w:val="346"/>
        </w:trPr>
        <w:tc>
          <w:tcPr>
            <w:tcW w:w="1937" w:type="dxa"/>
            <w:tcBorders>
              <w:top w:val="nil"/>
              <w:left w:val="nil"/>
              <w:bottom w:val="nil"/>
              <w:right w:val="nil"/>
            </w:tcBorders>
            <w:shd w:val="clear" w:color="CCCCFF" w:fill="FFFFFF"/>
            <w:noWrap/>
            <w:vAlign w:val="bottom"/>
            <w:hideMark/>
          </w:tcPr>
          <w:p w:rsidR="008A212A" w:rsidRPr="00BE3911" w:rsidRDefault="008A212A" w:rsidP="00555DA1">
            <w:pPr>
              <w:rPr>
                <w:rFonts w:cs="Arial"/>
                <w:b/>
                <w:sz w:val="20"/>
                <w:szCs w:val="20"/>
                <w:u w:val="single"/>
                <w:lang w:val="es-UY" w:eastAsia="es-UY"/>
              </w:rPr>
            </w:pPr>
            <w:r w:rsidRPr="00BE3911">
              <w:rPr>
                <w:rFonts w:cs="Arial"/>
                <w:b/>
                <w:sz w:val="20"/>
                <w:szCs w:val="20"/>
                <w:u w:val="single"/>
                <w:lang w:val="es-UY" w:eastAsia="es-UY"/>
              </w:rPr>
              <w:t>Origen</w:t>
            </w:r>
          </w:p>
        </w:tc>
        <w:tc>
          <w:tcPr>
            <w:tcW w:w="1451" w:type="dxa"/>
            <w:tcBorders>
              <w:top w:val="nil"/>
              <w:left w:val="nil"/>
              <w:bottom w:val="nil"/>
              <w:right w:val="nil"/>
            </w:tcBorders>
            <w:shd w:val="clear" w:color="CCCCFF" w:fill="FFFFFF"/>
            <w:hideMark/>
          </w:tcPr>
          <w:p w:rsidR="008A212A" w:rsidRPr="000A596C" w:rsidRDefault="008A212A" w:rsidP="00555DA1">
            <w:pPr>
              <w:ind w:left="-1992" w:firstLine="1992"/>
              <w:jc w:val="center"/>
              <w:rPr>
                <w:rFonts w:cs="Arial"/>
                <w:b/>
                <w:bCs/>
                <w:sz w:val="20"/>
                <w:szCs w:val="20"/>
                <w:u w:val="single"/>
                <w:lang w:val="es-UY" w:eastAsia="es-UY"/>
              </w:rPr>
            </w:pPr>
            <w:r w:rsidRPr="000A596C">
              <w:rPr>
                <w:rFonts w:cs="Arial"/>
                <w:b/>
                <w:bCs/>
                <w:sz w:val="20"/>
                <w:szCs w:val="20"/>
                <w:u w:val="single"/>
                <w:lang w:val="es-UY" w:eastAsia="es-UY"/>
              </w:rPr>
              <w:t>2.016</w:t>
            </w:r>
          </w:p>
        </w:tc>
        <w:tc>
          <w:tcPr>
            <w:tcW w:w="1451" w:type="dxa"/>
            <w:tcBorders>
              <w:top w:val="nil"/>
              <w:left w:val="nil"/>
              <w:bottom w:val="nil"/>
              <w:right w:val="nil"/>
            </w:tcBorders>
            <w:shd w:val="clear" w:color="CCCCFF" w:fill="FFFFFF"/>
            <w:hideMark/>
          </w:tcPr>
          <w:p w:rsidR="008A212A" w:rsidRPr="000A596C" w:rsidRDefault="008A212A" w:rsidP="00555DA1">
            <w:pPr>
              <w:jc w:val="center"/>
              <w:rPr>
                <w:rFonts w:cs="Arial"/>
                <w:b/>
                <w:bCs/>
                <w:sz w:val="20"/>
                <w:szCs w:val="20"/>
                <w:u w:val="single"/>
                <w:lang w:val="es-UY" w:eastAsia="es-UY"/>
              </w:rPr>
            </w:pPr>
            <w:r w:rsidRPr="000A596C">
              <w:rPr>
                <w:rFonts w:cs="Arial"/>
                <w:b/>
                <w:bCs/>
                <w:sz w:val="20"/>
                <w:szCs w:val="20"/>
                <w:u w:val="single"/>
                <w:lang w:val="es-UY" w:eastAsia="es-UY"/>
              </w:rPr>
              <w:t>2.017</w:t>
            </w:r>
          </w:p>
        </w:tc>
        <w:tc>
          <w:tcPr>
            <w:tcW w:w="1451" w:type="dxa"/>
            <w:tcBorders>
              <w:top w:val="nil"/>
              <w:left w:val="nil"/>
              <w:bottom w:val="nil"/>
              <w:right w:val="nil"/>
            </w:tcBorders>
            <w:shd w:val="clear" w:color="CCCCFF" w:fill="FFFFFF"/>
            <w:hideMark/>
          </w:tcPr>
          <w:p w:rsidR="008A212A" w:rsidRPr="000A596C" w:rsidRDefault="008A212A" w:rsidP="00555DA1">
            <w:pPr>
              <w:jc w:val="center"/>
              <w:rPr>
                <w:rFonts w:cs="Arial"/>
                <w:b/>
                <w:bCs/>
                <w:sz w:val="20"/>
                <w:szCs w:val="20"/>
                <w:u w:val="single"/>
                <w:lang w:val="es-UY" w:eastAsia="es-UY"/>
              </w:rPr>
            </w:pPr>
            <w:r w:rsidRPr="000A596C">
              <w:rPr>
                <w:rFonts w:cs="Arial"/>
                <w:b/>
                <w:bCs/>
                <w:sz w:val="20"/>
                <w:szCs w:val="20"/>
                <w:u w:val="single"/>
                <w:lang w:val="es-UY" w:eastAsia="es-UY"/>
              </w:rPr>
              <w:t>2.018</w:t>
            </w:r>
          </w:p>
        </w:tc>
        <w:tc>
          <w:tcPr>
            <w:tcW w:w="1451" w:type="dxa"/>
            <w:tcBorders>
              <w:top w:val="nil"/>
              <w:left w:val="nil"/>
              <w:bottom w:val="nil"/>
              <w:right w:val="nil"/>
            </w:tcBorders>
            <w:shd w:val="clear" w:color="CCCCFF" w:fill="FFFFFF"/>
            <w:hideMark/>
          </w:tcPr>
          <w:p w:rsidR="008A212A" w:rsidRPr="000A596C" w:rsidRDefault="008A212A" w:rsidP="00555DA1">
            <w:pPr>
              <w:jc w:val="center"/>
              <w:rPr>
                <w:rFonts w:cs="Arial"/>
                <w:b/>
                <w:bCs/>
                <w:sz w:val="20"/>
                <w:szCs w:val="20"/>
                <w:u w:val="single"/>
                <w:lang w:val="es-UY" w:eastAsia="es-UY"/>
              </w:rPr>
            </w:pPr>
            <w:r w:rsidRPr="000A596C">
              <w:rPr>
                <w:rFonts w:cs="Arial"/>
                <w:b/>
                <w:bCs/>
                <w:sz w:val="20"/>
                <w:szCs w:val="20"/>
                <w:u w:val="single"/>
                <w:lang w:val="es-UY" w:eastAsia="es-UY"/>
              </w:rPr>
              <w:t>2.019</w:t>
            </w:r>
          </w:p>
        </w:tc>
        <w:tc>
          <w:tcPr>
            <w:tcW w:w="1451" w:type="dxa"/>
            <w:tcBorders>
              <w:top w:val="nil"/>
              <w:left w:val="nil"/>
              <w:bottom w:val="nil"/>
              <w:right w:val="nil"/>
            </w:tcBorders>
            <w:shd w:val="clear" w:color="CCCCFF" w:fill="FFFFFF"/>
            <w:hideMark/>
          </w:tcPr>
          <w:p w:rsidR="008A212A" w:rsidRPr="000A596C" w:rsidRDefault="008A212A" w:rsidP="00555DA1">
            <w:pPr>
              <w:jc w:val="center"/>
              <w:rPr>
                <w:rFonts w:cs="Arial"/>
                <w:b/>
                <w:bCs/>
                <w:sz w:val="20"/>
                <w:szCs w:val="20"/>
                <w:u w:val="single"/>
                <w:lang w:val="es-UY" w:eastAsia="es-UY"/>
              </w:rPr>
            </w:pPr>
            <w:r w:rsidRPr="000A596C">
              <w:rPr>
                <w:rFonts w:cs="Arial"/>
                <w:b/>
                <w:bCs/>
                <w:sz w:val="20"/>
                <w:szCs w:val="20"/>
                <w:u w:val="single"/>
                <w:lang w:val="es-UY" w:eastAsia="es-UY"/>
              </w:rPr>
              <w:t>2.020</w:t>
            </w:r>
          </w:p>
        </w:tc>
      </w:tr>
      <w:tr w:rsidR="008A212A" w:rsidRPr="00C047B3" w:rsidTr="00555DA1">
        <w:trPr>
          <w:trHeight w:val="346"/>
        </w:trPr>
        <w:tc>
          <w:tcPr>
            <w:tcW w:w="1937" w:type="dxa"/>
            <w:tcBorders>
              <w:top w:val="nil"/>
              <w:left w:val="nil"/>
              <w:bottom w:val="nil"/>
              <w:right w:val="nil"/>
            </w:tcBorders>
            <w:shd w:val="clear" w:color="auto" w:fill="auto"/>
            <w:noWrap/>
            <w:vAlign w:val="bottom"/>
            <w:hideMark/>
          </w:tcPr>
          <w:p w:rsidR="008A212A" w:rsidRPr="00C047B3" w:rsidRDefault="008A212A" w:rsidP="00555DA1">
            <w:pPr>
              <w:rPr>
                <w:rFonts w:cs="Arial"/>
                <w:sz w:val="20"/>
                <w:szCs w:val="20"/>
                <w:lang w:val="es-UY" w:eastAsia="es-UY"/>
              </w:rPr>
            </w:pPr>
            <w:r w:rsidRPr="00C047B3">
              <w:rPr>
                <w:rFonts w:cs="Arial"/>
                <w:sz w:val="20"/>
                <w:szCs w:val="20"/>
                <w:lang w:val="es-UY" w:eastAsia="es-UY"/>
              </w:rPr>
              <w:t>D</w:t>
            </w:r>
            <w:r>
              <w:rPr>
                <w:rFonts w:cs="Arial"/>
                <w:sz w:val="20"/>
                <w:szCs w:val="20"/>
                <w:lang w:val="es-UY" w:eastAsia="es-UY"/>
              </w:rPr>
              <w:t>epartamental</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sz w:val="20"/>
                <w:szCs w:val="20"/>
                <w:lang w:val="es-UY" w:eastAsia="es-UY"/>
              </w:rPr>
            </w:pPr>
            <w:r w:rsidRPr="00C047B3">
              <w:rPr>
                <w:rFonts w:cs="Arial"/>
                <w:sz w:val="20"/>
                <w:szCs w:val="20"/>
                <w:lang w:val="es-UY" w:eastAsia="es-UY"/>
              </w:rPr>
              <w:t>1.308.421.959</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sz w:val="20"/>
                <w:szCs w:val="20"/>
                <w:lang w:val="es-UY" w:eastAsia="es-UY"/>
              </w:rPr>
            </w:pPr>
            <w:r w:rsidRPr="00C047B3">
              <w:rPr>
                <w:rFonts w:cs="Arial"/>
                <w:sz w:val="20"/>
                <w:szCs w:val="20"/>
                <w:lang w:val="es-UY" w:eastAsia="es-UY"/>
              </w:rPr>
              <w:t>1.306.201.413</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sz w:val="20"/>
                <w:szCs w:val="20"/>
                <w:lang w:val="es-UY" w:eastAsia="es-UY"/>
              </w:rPr>
            </w:pPr>
            <w:r w:rsidRPr="00C047B3">
              <w:rPr>
                <w:rFonts w:cs="Arial"/>
                <w:sz w:val="20"/>
                <w:szCs w:val="20"/>
                <w:lang w:val="es-UY" w:eastAsia="es-UY"/>
              </w:rPr>
              <w:t>1.318.511.773</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sz w:val="20"/>
                <w:szCs w:val="20"/>
                <w:lang w:val="es-UY" w:eastAsia="es-UY"/>
              </w:rPr>
            </w:pPr>
            <w:r w:rsidRPr="00C047B3">
              <w:rPr>
                <w:rFonts w:cs="Arial"/>
                <w:sz w:val="20"/>
                <w:szCs w:val="20"/>
                <w:lang w:val="es-UY" w:eastAsia="es-UY"/>
              </w:rPr>
              <w:t>1.333.247.008</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sz w:val="20"/>
                <w:szCs w:val="20"/>
                <w:lang w:val="es-UY" w:eastAsia="es-UY"/>
              </w:rPr>
            </w:pPr>
            <w:r w:rsidRPr="00C047B3">
              <w:rPr>
                <w:rFonts w:cs="Arial"/>
                <w:sz w:val="20"/>
                <w:szCs w:val="20"/>
                <w:lang w:val="es-UY" w:eastAsia="es-UY"/>
              </w:rPr>
              <w:t>1.351.397.770</w:t>
            </w:r>
          </w:p>
        </w:tc>
      </w:tr>
      <w:tr w:rsidR="008A212A" w:rsidRPr="00C047B3" w:rsidTr="00555DA1">
        <w:trPr>
          <w:trHeight w:val="346"/>
        </w:trPr>
        <w:tc>
          <w:tcPr>
            <w:tcW w:w="1937" w:type="dxa"/>
            <w:tcBorders>
              <w:top w:val="nil"/>
              <w:left w:val="nil"/>
              <w:bottom w:val="nil"/>
              <w:right w:val="nil"/>
            </w:tcBorders>
            <w:shd w:val="clear" w:color="auto" w:fill="auto"/>
            <w:noWrap/>
            <w:vAlign w:val="bottom"/>
            <w:hideMark/>
          </w:tcPr>
          <w:p w:rsidR="008A212A" w:rsidRPr="00C047B3" w:rsidRDefault="008A212A" w:rsidP="00555DA1">
            <w:pPr>
              <w:rPr>
                <w:rFonts w:cs="Arial"/>
                <w:sz w:val="20"/>
                <w:szCs w:val="20"/>
                <w:lang w:val="es-UY" w:eastAsia="es-UY"/>
              </w:rPr>
            </w:pPr>
            <w:r>
              <w:rPr>
                <w:rFonts w:cs="Arial"/>
                <w:sz w:val="20"/>
                <w:szCs w:val="20"/>
                <w:lang w:val="es-UY" w:eastAsia="es-UY"/>
              </w:rPr>
              <w:t>Nacional</w:t>
            </w:r>
          </w:p>
        </w:tc>
        <w:tc>
          <w:tcPr>
            <w:tcW w:w="1451" w:type="dxa"/>
            <w:tcBorders>
              <w:top w:val="nil"/>
              <w:left w:val="nil"/>
              <w:bottom w:val="nil"/>
              <w:right w:val="nil"/>
            </w:tcBorders>
            <w:shd w:val="clear" w:color="auto" w:fill="auto"/>
            <w:noWrap/>
            <w:vAlign w:val="bottom"/>
            <w:hideMark/>
          </w:tcPr>
          <w:p w:rsidR="008A212A" w:rsidRPr="000A596C" w:rsidRDefault="008A212A" w:rsidP="00555DA1">
            <w:pPr>
              <w:jc w:val="right"/>
              <w:rPr>
                <w:rFonts w:cs="Arial"/>
                <w:sz w:val="20"/>
                <w:szCs w:val="20"/>
                <w:u w:val="single"/>
                <w:lang w:val="es-UY" w:eastAsia="es-UY"/>
              </w:rPr>
            </w:pPr>
            <w:r w:rsidRPr="000A596C">
              <w:rPr>
                <w:rFonts w:cs="Arial"/>
                <w:sz w:val="20"/>
                <w:szCs w:val="20"/>
                <w:u w:val="single"/>
                <w:lang w:val="es-UY" w:eastAsia="es-UY"/>
              </w:rPr>
              <w:t>556.701.670</w:t>
            </w:r>
          </w:p>
        </w:tc>
        <w:tc>
          <w:tcPr>
            <w:tcW w:w="1451" w:type="dxa"/>
            <w:tcBorders>
              <w:top w:val="nil"/>
              <w:left w:val="nil"/>
              <w:bottom w:val="nil"/>
              <w:right w:val="nil"/>
            </w:tcBorders>
            <w:shd w:val="clear" w:color="auto" w:fill="auto"/>
            <w:noWrap/>
            <w:vAlign w:val="bottom"/>
            <w:hideMark/>
          </w:tcPr>
          <w:p w:rsidR="008A212A" w:rsidRPr="000A596C" w:rsidRDefault="008A212A" w:rsidP="00555DA1">
            <w:pPr>
              <w:jc w:val="right"/>
              <w:rPr>
                <w:rFonts w:cs="Arial"/>
                <w:sz w:val="20"/>
                <w:szCs w:val="20"/>
                <w:u w:val="single"/>
                <w:lang w:val="es-UY" w:eastAsia="es-UY"/>
              </w:rPr>
            </w:pPr>
            <w:r w:rsidRPr="000A596C">
              <w:rPr>
                <w:rFonts w:cs="Arial"/>
                <w:sz w:val="20"/>
                <w:szCs w:val="20"/>
                <w:u w:val="single"/>
                <w:lang w:val="es-UY" w:eastAsia="es-UY"/>
              </w:rPr>
              <w:t>549.003.593</w:t>
            </w:r>
          </w:p>
        </w:tc>
        <w:tc>
          <w:tcPr>
            <w:tcW w:w="1451" w:type="dxa"/>
            <w:tcBorders>
              <w:top w:val="nil"/>
              <w:left w:val="nil"/>
              <w:bottom w:val="nil"/>
              <w:right w:val="nil"/>
            </w:tcBorders>
            <w:shd w:val="clear" w:color="auto" w:fill="auto"/>
            <w:noWrap/>
            <w:vAlign w:val="bottom"/>
            <w:hideMark/>
          </w:tcPr>
          <w:p w:rsidR="008A212A" w:rsidRPr="000A596C" w:rsidRDefault="008A212A" w:rsidP="00555DA1">
            <w:pPr>
              <w:jc w:val="right"/>
              <w:rPr>
                <w:rFonts w:cs="Arial"/>
                <w:sz w:val="20"/>
                <w:szCs w:val="20"/>
                <w:u w:val="single"/>
                <w:lang w:val="es-UY" w:eastAsia="es-UY"/>
              </w:rPr>
            </w:pPr>
            <w:r w:rsidRPr="000A596C">
              <w:rPr>
                <w:rFonts w:cs="Arial"/>
                <w:sz w:val="20"/>
                <w:szCs w:val="20"/>
                <w:u w:val="single"/>
                <w:lang w:val="es-UY" w:eastAsia="es-UY"/>
              </w:rPr>
              <w:t>551.718.802</w:t>
            </w:r>
          </w:p>
        </w:tc>
        <w:tc>
          <w:tcPr>
            <w:tcW w:w="1451" w:type="dxa"/>
            <w:tcBorders>
              <w:top w:val="nil"/>
              <w:left w:val="nil"/>
              <w:bottom w:val="nil"/>
              <w:right w:val="nil"/>
            </w:tcBorders>
            <w:shd w:val="clear" w:color="auto" w:fill="auto"/>
            <w:noWrap/>
            <w:vAlign w:val="bottom"/>
            <w:hideMark/>
          </w:tcPr>
          <w:p w:rsidR="008A212A" w:rsidRPr="000A596C" w:rsidRDefault="008A212A" w:rsidP="00555DA1">
            <w:pPr>
              <w:jc w:val="right"/>
              <w:rPr>
                <w:rFonts w:cs="Arial"/>
                <w:sz w:val="20"/>
                <w:szCs w:val="20"/>
                <w:u w:val="single"/>
                <w:lang w:val="es-UY" w:eastAsia="es-UY"/>
              </w:rPr>
            </w:pPr>
            <w:r w:rsidRPr="000A596C">
              <w:rPr>
                <w:rFonts w:cs="Arial"/>
                <w:sz w:val="20"/>
                <w:szCs w:val="20"/>
                <w:u w:val="single"/>
                <w:lang w:val="es-UY" w:eastAsia="es-UY"/>
              </w:rPr>
              <w:t>569.878.397</w:t>
            </w:r>
          </w:p>
        </w:tc>
        <w:tc>
          <w:tcPr>
            <w:tcW w:w="1451" w:type="dxa"/>
            <w:tcBorders>
              <w:top w:val="nil"/>
              <w:left w:val="nil"/>
              <w:bottom w:val="nil"/>
              <w:right w:val="nil"/>
            </w:tcBorders>
            <w:shd w:val="clear" w:color="auto" w:fill="auto"/>
            <w:noWrap/>
            <w:vAlign w:val="bottom"/>
            <w:hideMark/>
          </w:tcPr>
          <w:p w:rsidR="008A212A" w:rsidRPr="000A596C" w:rsidRDefault="008A212A" w:rsidP="00555DA1">
            <w:pPr>
              <w:jc w:val="right"/>
              <w:rPr>
                <w:rFonts w:cs="Arial"/>
                <w:sz w:val="20"/>
                <w:szCs w:val="20"/>
                <w:u w:val="single"/>
                <w:lang w:val="es-UY" w:eastAsia="es-UY"/>
              </w:rPr>
            </w:pPr>
            <w:r w:rsidRPr="000A596C">
              <w:rPr>
                <w:rFonts w:cs="Arial"/>
                <w:sz w:val="20"/>
                <w:szCs w:val="20"/>
                <w:u w:val="single"/>
                <w:lang w:val="es-UY" w:eastAsia="es-UY"/>
              </w:rPr>
              <w:t>581.417.529</w:t>
            </w:r>
          </w:p>
        </w:tc>
      </w:tr>
      <w:tr w:rsidR="008A212A" w:rsidRPr="00C047B3" w:rsidTr="00555DA1">
        <w:trPr>
          <w:trHeight w:val="346"/>
        </w:trPr>
        <w:tc>
          <w:tcPr>
            <w:tcW w:w="1937" w:type="dxa"/>
            <w:tcBorders>
              <w:top w:val="nil"/>
              <w:left w:val="nil"/>
              <w:bottom w:val="nil"/>
              <w:right w:val="nil"/>
            </w:tcBorders>
            <w:shd w:val="clear" w:color="auto" w:fill="auto"/>
            <w:noWrap/>
            <w:vAlign w:val="bottom"/>
            <w:hideMark/>
          </w:tcPr>
          <w:p w:rsidR="008A212A" w:rsidRPr="00C047B3" w:rsidRDefault="008A212A" w:rsidP="00555DA1">
            <w:pPr>
              <w:rPr>
                <w:rFonts w:cs="Arial"/>
                <w:b/>
                <w:bCs/>
                <w:sz w:val="20"/>
                <w:szCs w:val="20"/>
                <w:lang w:val="es-UY" w:eastAsia="es-UY"/>
              </w:rPr>
            </w:pPr>
            <w:r w:rsidRPr="00C047B3">
              <w:rPr>
                <w:rFonts w:cs="Arial"/>
                <w:b/>
                <w:bCs/>
                <w:sz w:val="20"/>
                <w:szCs w:val="20"/>
                <w:lang w:val="es-UY" w:eastAsia="es-UY"/>
              </w:rPr>
              <w:t>TOTALES</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b/>
                <w:bCs/>
                <w:sz w:val="20"/>
                <w:szCs w:val="20"/>
                <w:lang w:val="es-UY" w:eastAsia="es-UY"/>
              </w:rPr>
            </w:pPr>
            <w:r w:rsidRPr="00C047B3">
              <w:rPr>
                <w:rFonts w:cs="Arial"/>
                <w:b/>
                <w:bCs/>
                <w:sz w:val="20"/>
                <w:szCs w:val="20"/>
                <w:lang w:val="es-UY" w:eastAsia="es-UY"/>
              </w:rPr>
              <w:t>1.865.123.629</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b/>
                <w:bCs/>
                <w:sz w:val="20"/>
                <w:szCs w:val="20"/>
                <w:lang w:val="es-UY" w:eastAsia="es-UY"/>
              </w:rPr>
            </w:pPr>
            <w:r w:rsidRPr="00C047B3">
              <w:rPr>
                <w:rFonts w:cs="Arial"/>
                <w:b/>
                <w:bCs/>
                <w:sz w:val="20"/>
                <w:szCs w:val="20"/>
                <w:lang w:val="es-UY" w:eastAsia="es-UY"/>
              </w:rPr>
              <w:t>1.855.205.006</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b/>
                <w:bCs/>
                <w:sz w:val="20"/>
                <w:szCs w:val="20"/>
                <w:lang w:val="es-UY" w:eastAsia="es-UY"/>
              </w:rPr>
            </w:pPr>
            <w:r>
              <w:rPr>
                <w:rFonts w:cs="Arial"/>
                <w:b/>
                <w:bCs/>
                <w:sz w:val="20"/>
                <w:szCs w:val="20"/>
                <w:lang w:val="es-UY" w:eastAsia="es-UY"/>
              </w:rPr>
              <w:t xml:space="preserve"> 1</w:t>
            </w:r>
            <w:r w:rsidRPr="00C047B3">
              <w:rPr>
                <w:rFonts w:cs="Arial"/>
                <w:b/>
                <w:bCs/>
                <w:sz w:val="20"/>
                <w:szCs w:val="20"/>
                <w:lang w:val="es-UY" w:eastAsia="es-UY"/>
              </w:rPr>
              <w:t>.870.230.575</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b/>
                <w:bCs/>
                <w:sz w:val="20"/>
                <w:szCs w:val="20"/>
                <w:lang w:val="es-UY" w:eastAsia="es-UY"/>
              </w:rPr>
            </w:pPr>
            <w:r w:rsidRPr="00C047B3">
              <w:rPr>
                <w:rFonts w:cs="Arial"/>
                <w:b/>
                <w:bCs/>
                <w:sz w:val="20"/>
                <w:szCs w:val="20"/>
                <w:lang w:val="es-UY" w:eastAsia="es-UY"/>
              </w:rPr>
              <w:t>1.903.125.405</w:t>
            </w:r>
          </w:p>
        </w:tc>
        <w:tc>
          <w:tcPr>
            <w:tcW w:w="1451" w:type="dxa"/>
            <w:tcBorders>
              <w:top w:val="nil"/>
              <w:left w:val="nil"/>
              <w:bottom w:val="nil"/>
              <w:right w:val="nil"/>
            </w:tcBorders>
            <w:shd w:val="clear" w:color="auto" w:fill="auto"/>
            <w:noWrap/>
            <w:vAlign w:val="bottom"/>
            <w:hideMark/>
          </w:tcPr>
          <w:p w:rsidR="008A212A" w:rsidRPr="00C047B3" w:rsidRDefault="008A212A" w:rsidP="00555DA1">
            <w:pPr>
              <w:jc w:val="right"/>
              <w:rPr>
                <w:rFonts w:cs="Arial"/>
                <w:b/>
                <w:bCs/>
                <w:sz w:val="20"/>
                <w:szCs w:val="20"/>
                <w:lang w:val="es-UY" w:eastAsia="es-UY"/>
              </w:rPr>
            </w:pPr>
            <w:r w:rsidRPr="00C047B3">
              <w:rPr>
                <w:rFonts w:cs="Arial"/>
                <w:b/>
                <w:bCs/>
                <w:sz w:val="20"/>
                <w:szCs w:val="20"/>
                <w:lang w:val="es-UY" w:eastAsia="es-UY"/>
              </w:rPr>
              <w:t>1.932.815.299</w:t>
            </w:r>
          </w:p>
        </w:tc>
      </w:tr>
    </w:tbl>
    <w:p w:rsidR="008A212A" w:rsidRDefault="008A212A">
      <w:pPr>
        <w:pStyle w:val="Textoindependiente"/>
      </w:pPr>
    </w:p>
    <w:p w:rsidR="008A212A" w:rsidRDefault="008A212A" w:rsidP="00555DA1">
      <w:pPr>
        <w:pStyle w:val="Textoindependiente"/>
      </w:pPr>
      <w:r w:rsidRPr="00257992">
        <w:rPr>
          <w:b/>
        </w:rPr>
        <w:t>2.2)</w:t>
      </w:r>
      <w:r>
        <w:t xml:space="preserve"> </w:t>
      </w:r>
      <w:r w:rsidRPr="00AF5B8F">
        <w:t xml:space="preserve">En </w:t>
      </w:r>
      <w:r>
        <w:t xml:space="preserve">razón de </w:t>
      </w:r>
      <w:r w:rsidRPr="00AF5B8F">
        <w:t xml:space="preserve">que </w:t>
      </w:r>
      <w:r>
        <w:t>la información referente a las bases de cálculo de los recursos presentados resulta insuficiente</w:t>
      </w:r>
      <w:r w:rsidRPr="00AF5B8F">
        <w:t xml:space="preserve">, no se ha podido </w:t>
      </w:r>
      <w:r>
        <w:t xml:space="preserve">verificar </w:t>
      </w:r>
      <w:r w:rsidR="00BC73BF">
        <w:t>las estimaciones de los mismos.</w:t>
      </w:r>
    </w:p>
    <w:p w:rsidR="008A212A" w:rsidRPr="00AF5B8F" w:rsidRDefault="008A212A" w:rsidP="00555DA1">
      <w:pPr>
        <w:pStyle w:val="Textoindependiente"/>
      </w:pPr>
      <w:r w:rsidRPr="00257992">
        <w:rPr>
          <w:b/>
        </w:rPr>
        <w:t>2.3)</w:t>
      </w:r>
      <w:r>
        <w:t xml:space="preserve"> Los montos presentados como recursos vigentes, expuestos en la columna “Autorizado 2015”, no corresponde a</w:t>
      </w:r>
      <w:r>
        <w:rPr>
          <w:rFonts w:cs="Arial"/>
        </w:rPr>
        <w:t xml:space="preserve">l presupuesto vigente que es el Quinquenal 2011-2015; por lo tanto se incumple con el Artículo 216 de la Constitución </w:t>
      </w:r>
      <w:r>
        <w:t>de la República.</w:t>
      </w:r>
    </w:p>
    <w:p w:rsidR="008A212A" w:rsidRDefault="008A212A">
      <w:pPr>
        <w:spacing w:line="360" w:lineRule="auto"/>
        <w:jc w:val="both"/>
      </w:pPr>
    </w:p>
    <w:p w:rsidR="008A212A" w:rsidRDefault="008A212A">
      <w:pPr>
        <w:spacing w:line="360" w:lineRule="auto"/>
        <w:jc w:val="both"/>
        <w:rPr>
          <w:b/>
        </w:rPr>
      </w:pPr>
      <w:r>
        <w:rPr>
          <w:b/>
        </w:rPr>
        <w:t>3) Análisis de las asignaciones presupuestales proyectadas</w:t>
      </w:r>
    </w:p>
    <w:p w:rsidR="008A212A" w:rsidRDefault="008A212A">
      <w:pPr>
        <w:pStyle w:val="Textoindependiente"/>
        <w:rPr>
          <w:b/>
        </w:rPr>
      </w:pPr>
      <w:r w:rsidRPr="00D72F6C">
        <w:rPr>
          <w:b/>
        </w:rPr>
        <w:t>3.1)</w:t>
      </w:r>
      <w:r>
        <w:t xml:space="preserve"> Las asignaciones proyectadas se exponen  a nivel de objeto. Su resumen, expresado en pesos uruguayos, se ajusta al siguiente detalle:</w:t>
      </w:r>
    </w:p>
    <w:p w:rsidR="008A212A" w:rsidRDefault="008A212A">
      <w:pPr>
        <w:pStyle w:val="Textoindependiente"/>
        <w:rPr>
          <w:b/>
        </w:rPr>
      </w:pPr>
    </w:p>
    <w:tbl>
      <w:tblPr>
        <w:tblW w:w="10401" w:type="dxa"/>
        <w:tblInd w:w="-946" w:type="dxa"/>
        <w:tblCellMar>
          <w:left w:w="70" w:type="dxa"/>
          <w:right w:w="70" w:type="dxa"/>
        </w:tblCellMar>
        <w:tblLook w:val="04A0" w:firstRow="1" w:lastRow="0" w:firstColumn="1" w:lastColumn="0" w:noHBand="0" w:noVBand="1"/>
      </w:tblPr>
      <w:tblGrid>
        <w:gridCol w:w="280"/>
        <w:gridCol w:w="3855"/>
        <w:gridCol w:w="1292"/>
        <w:gridCol w:w="1300"/>
        <w:gridCol w:w="1300"/>
        <w:gridCol w:w="1300"/>
        <w:gridCol w:w="1300"/>
      </w:tblGrid>
      <w:tr w:rsidR="008A212A" w:rsidRPr="000A596C" w:rsidTr="00555DA1">
        <w:trPr>
          <w:trHeight w:val="255"/>
        </w:trPr>
        <w:tc>
          <w:tcPr>
            <w:tcW w:w="280" w:type="dxa"/>
            <w:tcBorders>
              <w:top w:val="nil"/>
              <w:left w:val="nil"/>
              <w:bottom w:val="nil"/>
              <w:right w:val="nil"/>
            </w:tcBorders>
            <w:shd w:val="clear" w:color="auto" w:fill="auto"/>
            <w:noWrap/>
            <w:vAlign w:val="bottom"/>
            <w:hideMark/>
          </w:tcPr>
          <w:p w:rsidR="008A212A" w:rsidRPr="000A596C" w:rsidRDefault="008A212A" w:rsidP="00555DA1">
            <w:pPr>
              <w:rPr>
                <w:rFonts w:cs="Arial"/>
                <w:color w:val="000000"/>
                <w:sz w:val="20"/>
                <w:szCs w:val="20"/>
                <w:u w:val="single"/>
                <w:lang w:val="es-UY" w:eastAsia="es-UY"/>
              </w:rPr>
            </w:pPr>
          </w:p>
        </w:tc>
        <w:tc>
          <w:tcPr>
            <w:tcW w:w="3855" w:type="dxa"/>
            <w:tcBorders>
              <w:top w:val="nil"/>
              <w:left w:val="nil"/>
              <w:bottom w:val="nil"/>
              <w:right w:val="nil"/>
            </w:tcBorders>
            <w:shd w:val="clear" w:color="auto" w:fill="auto"/>
            <w:noWrap/>
            <w:vAlign w:val="bottom"/>
            <w:hideMark/>
          </w:tcPr>
          <w:p w:rsidR="008A212A" w:rsidRPr="000A596C" w:rsidRDefault="008A212A" w:rsidP="00555DA1">
            <w:pPr>
              <w:rPr>
                <w:rFonts w:cs="Arial"/>
                <w:b/>
                <w:bCs/>
                <w:color w:val="000000"/>
                <w:sz w:val="20"/>
                <w:szCs w:val="20"/>
                <w:u w:val="single"/>
                <w:lang w:val="es-UY" w:eastAsia="es-UY"/>
              </w:rPr>
            </w:pPr>
            <w:r w:rsidRPr="000A596C">
              <w:rPr>
                <w:rFonts w:cs="Arial"/>
                <w:b/>
                <w:bCs/>
                <w:color w:val="000000"/>
                <w:sz w:val="20"/>
                <w:szCs w:val="20"/>
                <w:u w:val="single"/>
                <w:lang w:val="es-UY" w:eastAsia="es-UY"/>
              </w:rPr>
              <w:t>Grupo</w:t>
            </w:r>
          </w:p>
        </w:tc>
        <w:tc>
          <w:tcPr>
            <w:tcW w:w="1066" w:type="dxa"/>
            <w:tcBorders>
              <w:top w:val="nil"/>
              <w:left w:val="nil"/>
              <w:bottom w:val="nil"/>
              <w:right w:val="nil"/>
            </w:tcBorders>
            <w:shd w:val="clear" w:color="auto" w:fill="auto"/>
            <w:noWrap/>
            <w:vAlign w:val="bottom"/>
            <w:hideMark/>
          </w:tcPr>
          <w:p w:rsidR="008A212A" w:rsidRPr="000A596C" w:rsidRDefault="008A212A" w:rsidP="00555DA1">
            <w:pPr>
              <w:jc w:val="center"/>
              <w:rPr>
                <w:rFonts w:cs="Arial"/>
                <w:b/>
                <w:bCs/>
                <w:color w:val="000000"/>
                <w:sz w:val="18"/>
                <w:szCs w:val="18"/>
                <w:u w:val="single"/>
                <w:lang w:val="es-UY" w:eastAsia="es-UY"/>
              </w:rPr>
            </w:pPr>
            <w:r w:rsidRPr="000A596C">
              <w:rPr>
                <w:rFonts w:cs="Arial"/>
                <w:b/>
                <w:bCs/>
                <w:color w:val="000000"/>
                <w:sz w:val="18"/>
                <w:szCs w:val="18"/>
                <w:u w:val="single"/>
                <w:lang w:val="es-UY" w:eastAsia="es-UY"/>
              </w:rPr>
              <w:t>2016</w:t>
            </w:r>
          </w:p>
        </w:tc>
        <w:tc>
          <w:tcPr>
            <w:tcW w:w="1300" w:type="dxa"/>
            <w:tcBorders>
              <w:top w:val="nil"/>
              <w:left w:val="nil"/>
              <w:bottom w:val="nil"/>
              <w:right w:val="nil"/>
            </w:tcBorders>
            <w:shd w:val="clear" w:color="auto" w:fill="auto"/>
            <w:noWrap/>
            <w:vAlign w:val="bottom"/>
            <w:hideMark/>
          </w:tcPr>
          <w:p w:rsidR="008A212A" w:rsidRPr="000A596C" w:rsidRDefault="008A212A" w:rsidP="00555DA1">
            <w:pPr>
              <w:jc w:val="center"/>
              <w:rPr>
                <w:rFonts w:cs="Arial"/>
                <w:b/>
                <w:bCs/>
                <w:color w:val="000000"/>
                <w:sz w:val="18"/>
                <w:szCs w:val="18"/>
                <w:u w:val="single"/>
                <w:lang w:val="es-UY" w:eastAsia="es-UY"/>
              </w:rPr>
            </w:pPr>
            <w:r w:rsidRPr="000A596C">
              <w:rPr>
                <w:rFonts w:cs="Arial"/>
                <w:b/>
                <w:bCs/>
                <w:color w:val="000000"/>
                <w:sz w:val="18"/>
                <w:szCs w:val="18"/>
                <w:u w:val="single"/>
                <w:lang w:val="es-UY" w:eastAsia="es-UY"/>
              </w:rPr>
              <w:t>2017</w:t>
            </w:r>
          </w:p>
        </w:tc>
        <w:tc>
          <w:tcPr>
            <w:tcW w:w="1300" w:type="dxa"/>
            <w:tcBorders>
              <w:top w:val="nil"/>
              <w:left w:val="nil"/>
              <w:bottom w:val="nil"/>
              <w:right w:val="nil"/>
            </w:tcBorders>
            <w:shd w:val="clear" w:color="auto" w:fill="auto"/>
            <w:noWrap/>
            <w:vAlign w:val="bottom"/>
            <w:hideMark/>
          </w:tcPr>
          <w:p w:rsidR="008A212A" w:rsidRPr="000A596C" w:rsidRDefault="008A212A" w:rsidP="00555DA1">
            <w:pPr>
              <w:jc w:val="center"/>
              <w:rPr>
                <w:rFonts w:cs="Arial"/>
                <w:b/>
                <w:bCs/>
                <w:color w:val="000000"/>
                <w:sz w:val="18"/>
                <w:szCs w:val="18"/>
                <w:u w:val="single"/>
                <w:lang w:val="es-UY" w:eastAsia="es-UY"/>
              </w:rPr>
            </w:pPr>
            <w:r w:rsidRPr="000A596C">
              <w:rPr>
                <w:rFonts w:cs="Arial"/>
                <w:b/>
                <w:bCs/>
                <w:color w:val="000000"/>
                <w:sz w:val="18"/>
                <w:szCs w:val="18"/>
                <w:u w:val="single"/>
                <w:lang w:val="es-UY" w:eastAsia="es-UY"/>
              </w:rPr>
              <w:t>2018</w:t>
            </w:r>
          </w:p>
        </w:tc>
        <w:tc>
          <w:tcPr>
            <w:tcW w:w="1300" w:type="dxa"/>
            <w:tcBorders>
              <w:top w:val="nil"/>
              <w:left w:val="nil"/>
              <w:bottom w:val="nil"/>
              <w:right w:val="nil"/>
            </w:tcBorders>
            <w:shd w:val="clear" w:color="auto" w:fill="auto"/>
            <w:noWrap/>
            <w:vAlign w:val="bottom"/>
            <w:hideMark/>
          </w:tcPr>
          <w:p w:rsidR="008A212A" w:rsidRPr="000A596C" w:rsidRDefault="008A212A" w:rsidP="00555DA1">
            <w:pPr>
              <w:jc w:val="center"/>
              <w:rPr>
                <w:rFonts w:cs="Arial"/>
                <w:b/>
                <w:bCs/>
                <w:color w:val="000000"/>
                <w:sz w:val="18"/>
                <w:szCs w:val="18"/>
                <w:u w:val="single"/>
                <w:lang w:val="es-UY" w:eastAsia="es-UY"/>
              </w:rPr>
            </w:pPr>
            <w:r w:rsidRPr="000A596C">
              <w:rPr>
                <w:rFonts w:cs="Arial"/>
                <w:b/>
                <w:bCs/>
                <w:color w:val="000000"/>
                <w:sz w:val="18"/>
                <w:szCs w:val="18"/>
                <w:u w:val="single"/>
                <w:lang w:val="es-UY" w:eastAsia="es-UY"/>
              </w:rPr>
              <w:t>2019</w:t>
            </w:r>
          </w:p>
        </w:tc>
        <w:tc>
          <w:tcPr>
            <w:tcW w:w="1300" w:type="dxa"/>
            <w:tcBorders>
              <w:top w:val="nil"/>
              <w:left w:val="nil"/>
              <w:bottom w:val="nil"/>
              <w:right w:val="nil"/>
            </w:tcBorders>
            <w:shd w:val="clear" w:color="auto" w:fill="auto"/>
            <w:noWrap/>
            <w:vAlign w:val="bottom"/>
            <w:hideMark/>
          </w:tcPr>
          <w:p w:rsidR="008A212A" w:rsidRPr="000A596C" w:rsidRDefault="008A212A" w:rsidP="00555DA1">
            <w:pPr>
              <w:jc w:val="center"/>
              <w:rPr>
                <w:rFonts w:cs="Arial"/>
                <w:b/>
                <w:bCs/>
                <w:color w:val="000000"/>
                <w:sz w:val="18"/>
                <w:szCs w:val="18"/>
                <w:u w:val="single"/>
                <w:lang w:val="es-UY" w:eastAsia="es-UY"/>
              </w:rPr>
            </w:pPr>
            <w:r w:rsidRPr="000A596C">
              <w:rPr>
                <w:rFonts w:cs="Arial"/>
                <w:b/>
                <w:bCs/>
                <w:color w:val="000000"/>
                <w:sz w:val="18"/>
                <w:szCs w:val="18"/>
                <w:u w:val="single"/>
                <w:lang w:val="es-UY" w:eastAsia="es-UY"/>
              </w:rPr>
              <w:t>2020</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0</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Servicios Personales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1.052.546.220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1.048.163.457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1.048.163.457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1.048.163.457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1.052.546.220</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1</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Bienes de Consumo</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293.932.213</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305.858.328</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322.494.860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329.743.881</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308.226.293</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2</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Servicios No Personales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429.937.572</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395.244.163</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374.875.971</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376.546.093</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366.848.428</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3</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Bienes de Uso</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141.867.533</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109.368.528</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96.258.730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95.200.215</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83.435.048</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4</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Activos Financieros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5</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Transferencias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26.494.744</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26.527.711</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26.660.237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26.795.414</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26.933.294</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6</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Intereses y Otros Gastos de la Deuda</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5.000.000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5.000.000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5.000.000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5.000.000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5.000.000</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7</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Gastos No Clasificados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168.317.687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192.659.422</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139.636.292</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129.592.124</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111.821.464</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20"/>
                <w:szCs w:val="20"/>
                <w:lang w:val="es-UY" w:eastAsia="es-UY"/>
              </w:rPr>
            </w:pPr>
            <w:r w:rsidRPr="004E03A4">
              <w:rPr>
                <w:rFonts w:cs="Arial"/>
                <w:color w:val="000000"/>
                <w:sz w:val="20"/>
                <w:szCs w:val="20"/>
                <w:lang w:val="es-UY" w:eastAsia="es-UY"/>
              </w:rPr>
              <w:t>8</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Clasificador de Aplicaciones Financieras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lang w:val="es-UY" w:eastAsia="es-UY"/>
              </w:rPr>
            </w:pPr>
            <w:r w:rsidRPr="004E03A4">
              <w:rPr>
                <w:rFonts w:cs="Arial"/>
                <w:color w:val="000000"/>
                <w:sz w:val="18"/>
                <w:szCs w:val="18"/>
                <w:lang w:val="es-UY" w:eastAsia="es-UY"/>
              </w:rPr>
              <w:t>0</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Pr>
                <w:rFonts w:cs="Arial"/>
                <w:color w:val="000000"/>
                <w:sz w:val="20"/>
                <w:szCs w:val="20"/>
                <w:lang w:val="es-UY" w:eastAsia="es-UY"/>
              </w:rPr>
              <w:t>--</w:t>
            </w:r>
          </w:p>
        </w:tc>
        <w:tc>
          <w:tcPr>
            <w:tcW w:w="3855"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r w:rsidRPr="004E03A4">
              <w:rPr>
                <w:rFonts w:cs="Arial"/>
                <w:color w:val="000000"/>
                <w:sz w:val="20"/>
                <w:szCs w:val="20"/>
                <w:lang w:val="es-UY" w:eastAsia="es-UY"/>
              </w:rPr>
              <w:t>Junta Departamental</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u w:val="single"/>
                <w:lang w:val="es-UY" w:eastAsia="es-UY"/>
              </w:rPr>
            </w:pPr>
            <w:r w:rsidRPr="004E03A4">
              <w:rPr>
                <w:rFonts w:cs="Arial"/>
                <w:color w:val="000000"/>
                <w:sz w:val="18"/>
                <w:szCs w:val="18"/>
                <w:u w:val="single"/>
                <w:lang w:val="es-UY" w:eastAsia="es-UY"/>
              </w:rPr>
              <w:t>50.000.000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u w:val="single"/>
                <w:lang w:val="es-UY" w:eastAsia="es-UY"/>
              </w:rPr>
            </w:pPr>
            <w:r w:rsidRPr="004E03A4">
              <w:rPr>
                <w:rFonts w:cs="Arial"/>
                <w:color w:val="000000"/>
                <w:sz w:val="18"/>
                <w:szCs w:val="18"/>
                <w:u w:val="single"/>
                <w:lang w:val="es-UY" w:eastAsia="es-UY"/>
              </w:rPr>
              <w:t>50.000.000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u w:val="single"/>
                <w:lang w:val="es-UY" w:eastAsia="es-UY"/>
              </w:rPr>
            </w:pPr>
            <w:r w:rsidRPr="004E03A4">
              <w:rPr>
                <w:rFonts w:cs="Arial"/>
                <w:color w:val="000000"/>
                <w:sz w:val="18"/>
                <w:szCs w:val="18"/>
                <w:u w:val="single"/>
                <w:lang w:val="es-UY" w:eastAsia="es-UY"/>
              </w:rPr>
              <w:t>50.000.000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u w:val="single"/>
                <w:lang w:val="es-UY" w:eastAsia="es-UY"/>
              </w:rPr>
            </w:pPr>
            <w:r w:rsidRPr="004E03A4">
              <w:rPr>
                <w:rFonts w:cs="Arial"/>
                <w:color w:val="000000"/>
                <w:sz w:val="18"/>
                <w:szCs w:val="18"/>
                <w:u w:val="single"/>
                <w:lang w:val="es-UY" w:eastAsia="es-UY"/>
              </w:rPr>
              <w:t>50.000.000</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color w:val="000000"/>
                <w:sz w:val="18"/>
                <w:szCs w:val="18"/>
                <w:u w:val="single"/>
                <w:lang w:val="es-UY" w:eastAsia="es-UY"/>
              </w:rPr>
            </w:pPr>
            <w:r w:rsidRPr="004E03A4">
              <w:rPr>
                <w:rFonts w:cs="Arial"/>
                <w:color w:val="000000"/>
                <w:sz w:val="18"/>
                <w:szCs w:val="18"/>
                <w:u w:val="single"/>
                <w:lang w:val="es-UY" w:eastAsia="es-UY"/>
              </w:rPr>
              <w:t>50.000.000</w:t>
            </w:r>
          </w:p>
        </w:tc>
      </w:tr>
      <w:tr w:rsidR="008A212A" w:rsidRPr="004E03A4" w:rsidTr="00555DA1">
        <w:trPr>
          <w:trHeight w:val="255"/>
        </w:trPr>
        <w:tc>
          <w:tcPr>
            <w:tcW w:w="280" w:type="dxa"/>
            <w:tcBorders>
              <w:top w:val="nil"/>
              <w:left w:val="nil"/>
              <w:bottom w:val="nil"/>
              <w:right w:val="nil"/>
            </w:tcBorders>
            <w:shd w:val="clear" w:color="auto" w:fill="auto"/>
            <w:noWrap/>
            <w:vAlign w:val="bottom"/>
            <w:hideMark/>
          </w:tcPr>
          <w:p w:rsidR="008A212A" w:rsidRPr="004E03A4" w:rsidRDefault="008A212A" w:rsidP="00555DA1">
            <w:pPr>
              <w:rPr>
                <w:rFonts w:cs="Arial"/>
                <w:color w:val="000000"/>
                <w:sz w:val="20"/>
                <w:szCs w:val="20"/>
                <w:lang w:val="es-UY" w:eastAsia="es-UY"/>
              </w:rPr>
            </w:pPr>
          </w:p>
        </w:tc>
        <w:tc>
          <w:tcPr>
            <w:tcW w:w="3855"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b/>
                <w:bCs/>
                <w:color w:val="000000"/>
                <w:sz w:val="20"/>
                <w:szCs w:val="20"/>
                <w:lang w:val="es-UY" w:eastAsia="es-UY"/>
              </w:rPr>
            </w:pPr>
            <w:r w:rsidRPr="004E03A4">
              <w:rPr>
                <w:rFonts w:cs="Arial"/>
                <w:b/>
                <w:bCs/>
                <w:color w:val="000000"/>
                <w:sz w:val="20"/>
                <w:szCs w:val="20"/>
                <w:lang w:val="es-UY" w:eastAsia="es-UY"/>
              </w:rPr>
              <w:t>Totales</w:t>
            </w:r>
          </w:p>
        </w:tc>
        <w:tc>
          <w:tcPr>
            <w:tcW w:w="1066"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b/>
                <w:bCs/>
                <w:color w:val="000000"/>
                <w:sz w:val="18"/>
                <w:szCs w:val="18"/>
                <w:lang w:val="es-UY" w:eastAsia="es-UY"/>
              </w:rPr>
            </w:pPr>
            <w:r w:rsidRPr="004E03A4">
              <w:rPr>
                <w:rFonts w:cs="Arial"/>
                <w:b/>
                <w:bCs/>
                <w:color w:val="000000"/>
                <w:sz w:val="18"/>
                <w:szCs w:val="18"/>
                <w:lang w:val="es-UY" w:eastAsia="es-UY"/>
              </w:rPr>
              <w:t>2.168.095.969</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b/>
                <w:bCs/>
                <w:color w:val="000000"/>
                <w:sz w:val="18"/>
                <w:szCs w:val="18"/>
                <w:lang w:val="es-UY" w:eastAsia="es-UY"/>
              </w:rPr>
            </w:pPr>
            <w:r w:rsidRPr="004E03A4">
              <w:rPr>
                <w:rFonts w:cs="Arial"/>
                <w:b/>
                <w:bCs/>
                <w:color w:val="000000"/>
                <w:sz w:val="18"/>
                <w:szCs w:val="18"/>
                <w:lang w:val="es-UY" w:eastAsia="es-UY"/>
              </w:rPr>
              <w:t>2.132.821.607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b/>
                <w:bCs/>
                <w:color w:val="000000"/>
                <w:sz w:val="18"/>
                <w:szCs w:val="18"/>
                <w:lang w:val="es-UY" w:eastAsia="es-UY"/>
              </w:rPr>
            </w:pPr>
            <w:r w:rsidRPr="004E03A4">
              <w:rPr>
                <w:rFonts w:cs="Arial"/>
                <w:b/>
                <w:bCs/>
                <w:color w:val="000000"/>
                <w:sz w:val="18"/>
                <w:szCs w:val="18"/>
                <w:lang w:val="es-UY" w:eastAsia="es-UY"/>
              </w:rPr>
              <w:t>2.063.089.547</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b/>
                <w:bCs/>
                <w:color w:val="000000"/>
                <w:sz w:val="18"/>
                <w:szCs w:val="18"/>
                <w:lang w:val="es-UY" w:eastAsia="es-UY"/>
              </w:rPr>
            </w:pPr>
            <w:r w:rsidRPr="004E03A4">
              <w:rPr>
                <w:rFonts w:cs="Arial"/>
                <w:b/>
                <w:bCs/>
                <w:color w:val="000000"/>
                <w:sz w:val="18"/>
                <w:szCs w:val="18"/>
                <w:lang w:val="es-UY" w:eastAsia="es-UY"/>
              </w:rPr>
              <w:t>2.061.041.184</w:t>
            </w:r>
          </w:p>
        </w:tc>
        <w:tc>
          <w:tcPr>
            <w:tcW w:w="1300" w:type="dxa"/>
            <w:tcBorders>
              <w:top w:val="nil"/>
              <w:left w:val="nil"/>
              <w:bottom w:val="nil"/>
              <w:right w:val="nil"/>
            </w:tcBorders>
            <w:shd w:val="clear" w:color="auto" w:fill="auto"/>
            <w:noWrap/>
            <w:vAlign w:val="bottom"/>
            <w:hideMark/>
          </w:tcPr>
          <w:p w:rsidR="008A212A" w:rsidRPr="004E03A4" w:rsidRDefault="008A212A" w:rsidP="00555DA1">
            <w:pPr>
              <w:jc w:val="right"/>
              <w:rPr>
                <w:rFonts w:cs="Arial"/>
                <w:b/>
                <w:bCs/>
                <w:color w:val="000000"/>
                <w:sz w:val="18"/>
                <w:szCs w:val="18"/>
                <w:lang w:val="es-UY" w:eastAsia="es-UY"/>
              </w:rPr>
            </w:pPr>
            <w:r w:rsidRPr="004E03A4">
              <w:rPr>
                <w:rFonts w:cs="Arial"/>
                <w:b/>
                <w:bCs/>
                <w:color w:val="000000"/>
                <w:sz w:val="18"/>
                <w:szCs w:val="18"/>
                <w:lang w:val="es-UY" w:eastAsia="es-UY"/>
              </w:rPr>
              <w:t>2.004.810.747</w:t>
            </w:r>
          </w:p>
        </w:tc>
      </w:tr>
    </w:tbl>
    <w:p w:rsidR="008A212A" w:rsidRDefault="008A212A">
      <w:pPr>
        <w:pStyle w:val="Textoindependiente"/>
        <w:rPr>
          <w:b/>
        </w:rPr>
      </w:pPr>
    </w:p>
    <w:p w:rsidR="008A212A" w:rsidRDefault="008A212A">
      <w:pPr>
        <w:pStyle w:val="Textoindependiente"/>
        <w:rPr>
          <w:b/>
        </w:rPr>
      </w:pPr>
    </w:p>
    <w:p w:rsidR="008A212A" w:rsidRDefault="008A212A">
      <w:pPr>
        <w:pStyle w:val="Piedepgina"/>
        <w:widowControl w:val="0"/>
        <w:tabs>
          <w:tab w:val="clear" w:pos="4252"/>
          <w:tab w:val="clear" w:pos="8504"/>
        </w:tabs>
        <w:spacing w:line="360" w:lineRule="auto"/>
        <w:jc w:val="both"/>
      </w:pPr>
      <w:r>
        <w:t>Los créditos presupuestales están cuantificados a valores del 31 de diciembre de  2015.</w:t>
      </w:r>
    </w:p>
    <w:p w:rsidR="008A212A" w:rsidRDefault="008A212A">
      <w:pPr>
        <w:pStyle w:val="Piedepgina"/>
        <w:widowControl w:val="0"/>
        <w:tabs>
          <w:tab w:val="clear" w:pos="4252"/>
          <w:tab w:val="clear" w:pos="8504"/>
        </w:tabs>
        <w:spacing w:line="360" w:lineRule="auto"/>
        <w:jc w:val="both"/>
      </w:pPr>
      <w:r w:rsidRPr="00D72F6C">
        <w:rPr>
          <w:b/>
        </w:rPr>
        <w:t>3.2)</w:t>
      </w:r>
      <w:r w:rsidRPr="00431E41">
        <w:t xml:space="preserve"> El total de egresos proyectados para el quinquenio de acuerdo al </w:t>
      </w:r>
      <w:r>
        <w:t>A</w:t>
      </w:r>
      <w:r w:rsidRPr="00431E41">
        <w:t>rtículo 1º del Proyecto de Presupuesto asciende a $ 8</w:t>
      </w:r>
      <w:r>
        <w:t>.</w:t>
      </w:r>
      <w:r w:rsidRPr="00431E41">
        <w:t>914</w:t>
      </w:r>
      <w:r>
        <w:t>:</w:t>
      </w:r>
      <w:r w:rsidRPr="00431E41">
        <w:t xml:space="preserve">007.794, mientras que la previsión de egresos de acuerdo a los </w:t>
      </w:r>
      <w:proofErr w:type="spellStart"/>
      <w:r w:rsidRPr="00431E41">
        <w:t>planillados</w:t>
      </w:r>
      <w:proofErr w:type="spellEnd"/>
      <w:r w:rsidRPr="00431E41">
        <w:t xml:space="preserve"> adjuntos asciende a </w:t>
      </w:r>
      <w:r>
        <w:t xml:space="preserve">             </w:t>
      </w:r>
      <w:r w:rsidRPr="00431E41">
        <w:t>$ 10</w:t>
      </w:r>
      <w:r>
        <w:t>.</w:t>
      </w:r>
      <w:r w:rsidRPr="00431E41">
        <w:t>429</w:t>
      </w:r>
      <w:r>
        <w:t>:</w:t>
      </w:r>
      <w:r w:rsidRPr="00431E41">
        <w:t>859.054. La diferencia de $ 1.515</w:t>
      </w:r>
      <w:r>
        <w:t>:</w:t>
      </w:r>
      <w:r w:rsidRPr="00431E41">
        <w:t>851.260, corresponde a una partida por concepto de “No provisión de vacantes” deducida del importe correspondiente a Remuneraciones en el cuadro “Resumen Análisis Presupuestales”, agregado a fojas 353.</w:t>
      </w:r>
    </w:p>
    <w:p w:rsidR="008A212A" w:rsidRDefault="008A212A">
      <w:pPr>
        <w:pStyle w:val="Piedepgina"/>
        <w:widowControl w:val="0"/>
        <w:tabs>
          <w:tab w:val="clear" w:pos="4252"/>
          <w:tab w:val="clear" w:pos="8504"/>
        </w:tabs>
        <w:spacing w:line="360" w:lineRule="auto"/>
        <w:jc w:val="both"/>
      </w:pPr>
      <w:r>
        <w:t xml:space="preserve">Este ajuste a las remuneraciones no se contempla en las normas presupuestales ya que ningún </w:t>
      </w:r>
      <w:r w:rsidRPr="00431E41">
        <w:t xml:space="preserve">artículo </w:t>
      </w:r>
      <w:r>
        <w:t xml:space="preserve">aprobado por la Junta </w:t>
      </w:r>
      <w:r w:rsidRPr="00431E41">
        <w:t>se refier</w:t>
      </w:r>
      <w:r>
        <w:t>e</w:t>
      </w:r>
      <w:r w:rsidRPr="00431E41">
        <w:t xml:space="preserve"> a la supresión de vacantes.</w:t>
      </w:r>
      <w:r>
        <w:t xml:space="preserve"> Además, tampoco </w:t>
      </w:r>
      <w:r w:rsidRPr="00431E41">
        <w:t xml:space="preserve">es concordante con la información presentada en los </w:t>
      </w:r>
      <w:proofErr w:type="spellStart"/>
      <w:r w:rsidRPr="00431E41">
        <w:t>planillados</w:t>
      </w:r>
      <w:proofErr w:type="spellEnd"/>
      <w:r w:rsidRPr="00431E41">
        <w:t xml:space="preserve"> de la Estructura de cargos por escalafón, grado y denominación, donde se proyectan 799 cargos vacantes</w:t>
      </w:r>
      <w:r w:rsidR="00BC73BF">
        <w:t>.</w:t>
      </w:r>
    </w:p>
    <w:p w:rsidR="008A212A" w:rsidRPr="00431E41" w:rsidRDefault="008A212A">
      <w:pPr>
        <w:pStyle w:val="Piedepgina"/>
        <w:widowControl w:val="0"/>
        <w:tabs>
          <w:tab w:val="clear" w:pos="4252"/>
          <w:tab w:val="clear" w:pos="8504"/>
        </w:tabs>
        <w:spacing w:line="360" w:lineRule="auto"/>
        <w:jc w:val="both"/>
      </w:pPr>
      <w:r w:rsidRPr="00431E41">
        <w:t xml:space="preserve">En consecuencia, la cifra aprobada </w:t>
      </w:r>
      <w:r>
        <w:t xml:space="preserve">en el articulado </w:t>
      </w:r>
      <w:r w:rsidRPr="00431E41">
        <w:t>por la Junta como total de egresos de $ 8</w:t>
      </w:r>
      <w:r>
        <w:t>.</w:t>
      </w:r>
      <w:r w:rsidRPr="00431E41">
        <w:t>914</w:t>
      </w:r>
      <w:r>
        <w:t>:</w:t>
      </w:r>
      <w:r w:rsidRPr="00431E41">
        <w:t>007.794 no concuerda con la resultante de la información presentada en el Proyecto de Presupuesto</w:t>
      </w:r>
      <w:r>
        <w:t xml:space="preserve"> que es de $ 10.429:859.054</w:t>
      </w:r>
      <w:r w:rsidRPr="00431E41">
        <w:t>.</w:t>
      </w:r>
    </w:p>
    <w:p w:rsidR="008A212A" w:rsidRDefault="008A212A">
      <w:pPr>
        <w:pStyle w:val="Piedepgina"/>
        <w:widowControl w:val="0"/>
        <w:tabs>
          <w:tab w:val="clear" w:pos="4252"/>
          <w:tab w:val="clear" w:pos="8504"/>
        </w:tabs>
        <w:spacing w:line="360" w:lineRule="auto"/>
        <w:jc w:val="both"/>
        <w:rPr>
          <w:color w:val="FF0000"/>
        </w:rPr>
      </w:pPr>
      <w:r w:rsidRPr="00BE3911">
        <w:rPr>
          <w:b/>
        </w:rPr>
        <w:t>3.3)</w:t>
      </w:r>
      <w:r w:rsidRPr="00BE3911">
        <w:t xml:space="preserve"> De acuerdo a lo expresado precedentemente, en el Proyecto de Presupuesto la cifra total de gastos previstos en los </w:t>
      </w:r>
      <w:proofErr w:type="spellStart"/>
      <w:r w:rsidRPr="00BE3911">
        <w:t>planillados</w:t>
      </w:r>
      <w:proofErr w:type="spellEnd"/>
      <w:r w:rsidRPr="00BE3911">
        <w:t xml:space="preserve"> asciende a  </w:t>
      </w:r>
      <w:r>
        <w:t xml:space="preserve">      </w:t>
      </w:r>
      <w:r w:rsidRPr="00BE3911">
        <w:t>$ 10.429:859.054 y el total estimado de ingresos es de $ 9.426:499.914, por lo que el presupuesto resulta deficitario, no cumpliendo con</w:t>
      </w:r>
      <w:r>
        <w:t xml:space="preserve"> el art. 225 de la Constitución;</w:t>
      </w:r>
    </w:p>
    <w:p w:rsidR="008A212A" w:rsidRPr="00B70D15" w:rsidRDefault="008A212A" w:rsidP="00555DA1">
      <w:pPr>
        <w:pStyle w:val="Piedepgina"/>
        <w:widowControl w:val="0"/>
        <w:tabs>
          <w:tab w:val="clear" w:pos="4252"/>
          <w:tab w:val="clear" w:pos="8504"/>
        </w:tabs>
        <w:spacing w:line="360" w:lineRule="auto"/>
        <w:jc w:val="both"/>
      </w:pPr>
      <w:r w:rsidRPr="00D72F6C">
        <w:rPr>
          <w:b/>
        </w:rPr>
        <w:t>3.4)</w:t>
      </w:r>
      <w:r w:rsidRPr="00B70D15">
        <w:t xml:space="preserve"> El déficit  acumulado determinado en el Dictamen de este Cuerpo respecto a la Rendición de Cuentas al 31/12/14 es de $ 488:978.031. Asimismo, de acuerdo a lo informado por la Oficina de Contabilidad y Presupuesto de la Intendencia de Colonia, el importe total del pasivo con vencimiento posterior al ejercicio 2020 es de $ 138:676.166, por lo que el déficit acumulado a financiar </w:t>
      </w:r>
      <w:r>
        <w:t xml:space="preserve">en el período 2016-2020 </w:t>
      </w:r>
      <w:r w:rsidRPr="00B70D15">
        <w:t xml:space="preserve">asciende a $ 350:301.865. </w:t>
      </w:r>
      <w:r>
        <w:t>Como consecuencia de lo expresado en los puntos 3.2) y 3.3), este</w:t>
      </w:r>
      <w:r w:rsidRPr="00B70D15">
        <w:t xml:space="preserve"> déficit no </w:t>
      </w:r>
      <w:r w:rsidRPr="00796E0D">
        <w:t>se</w:t>
      </w:r>
      <w:r>
        <w:t xml:space="preserve"> </w:t>
      </w:r>
      <w:r w:rsidRPr="00B70D15">
        <w:t>encuentr</w:t>
      </w:r>
      <w:r>
        <w:t>a</w:t>
      </w:r>
      <w:r w:rsidRPr="00B70D15">
        <w:t xml:space="preserve"> financiado en el presente proyecto, contraviniéndose en consecuencia lo dispuesto por el Artículo 225 de la Constitución de la República.</w:t>
      </w:r>
    </w:p>
    <w:p w:rsidR="008A212A" w:rsidRPr="004C7D50" w:rsidRDefault="008A212A" w:rsidP="00555DA1">
      <w:pPr>
        <w:pStyle w:val="Piedepgina"/>
        <w:widowControl w:val="0"/>
        <w:tabs>
          <w:tab w:val="clear" w:pos="4252"/>
          <w:tab w:val="clear" w:pos="8504"/>
        </w:tabs>
        <w:spacing w:line="360" w:lineRule="auto"/>
        <w:jc w:val="both"/>
      </w:pPr>
      <w:r w:rsidRPr="00D72F6C">
        <w:rPr>
          <w:b/>
        </w:rPr>
        <w:t>3.5)</w:t>
      </w:r>
      <w:r w:rsidRPr="004C7D50">
        <w:t xml:space="preserve"> Los </w:t>
      </w:r>
      <w:r>
        <w:t>A</w:t>
      </w:r>
      <w:r w:rsidRPr="004C7D50">
        <w:t xml:space="preserve">rtículos 62 a 64 del </w:t>
      </w:r>
      <w:r>
        <w:t>P</w:t>
      </w:r>
      <w:r w:rsidRPr="004C7D50">
        <w:t xml:space="preserve">royecto de </w:t>
      </w:r>
      <w:r>
        <w:t>P</w:t>
      </w:r>
      <w:r w:rsidRPr="004C7D50">
        <w:t>resupuesto, referidos a trasposiciones, no prevén su comunicación a la Junta Departamental y a este Tribunal.</w:t>
      </w:r>
    </w:p>
    <w:p w:rsidR="008A212A" w:rsidRPr="00B70D15" w:rsidRDefault="008A212A">
      <w:pPr>
        <w:pStyle w:val="Piedepgina"/>
        <w:widowControl w:val="0"/>
        <w:tabs>
          <w:tab w:val="clear" w:pos="4252"/>
          <w:tab w:val="clear" w:pos="8504"/>
        </w:tabs>
        <w:spacing w:line="360" w:lineRule="auto"/>
        <w:jc w:val="both"/>
      </w:pPr>
      <w:r w:rsidRPr="00BC73BF">
        <w:rPr>
          <w:b/>
        </w:rPr>
        <w:t>3.6)</w:t>
      </w:r>
      <w:r w:rsidRPr="004C7D50">
        <w:t xml:space="preserve"> </w:t>
      </w:r>
      <w:r w:rsidRPr="004C7D50">
        <w:rPr>
          <w:lang w:val="es-ES_tradnl"/>
        </w:rPr>
        <w:t>Al no haberse proporcionado los escalafones proyectado</w:t>
      </w:r>
      <w:r>
        <w:rPr>
          <w:lang w:val="es-ES_tradnl"/>
        </w:rPr>
        <w:t>s</w:t>
      </w:r>
      <w:r w:rsidRPr="004C7D50">
        <w:rPr>
          <w:lang w:val="es-ES_tradnl"/>
        </w:rPr>
        <w:t xml:space="preserve"> en forma </w:t>
      </w:r>
      <w:r w:rsidRPr="00B70D15">
        <w:rPr>
          <w:lang w:val="es-ES_tradnl"/>
        </w:rPr>
        <w:t>comparativa con los vigentes, no es posible determinar las variaciones en el escalafón de funcionarios.</w:t>
      </w:r>
    </w:p>
    <w:p w:rsidR="008A212A" w:rsidRPr="004C7D50" w:rsidRDefault="008A212A" w:rsidP="00555DA1">
      <w:pPr>
        <w:pStyle w:val="Piedepgina"/>
        <w:widowControl w:val="0"/>
        <w:tabs>
          <w:tab w:val="clear" w:pos="4252"/>
          <w:tab w:val="clear" w:pos="8504"/>
        </w:tabs>
        <w:spacing w:line="360" w:lineRule="auto"/>
        <w:jc w:val="both"/>
      </w:pPr>
      <w:r w:rsidRPr="00D72F6C">
        <w:rPr>
          <w:b/>
        </w:rPr>
        <w:t>3.7)</w:t>
      </w:r>
      <w:r w:rsidRPr="004C7D50">
        <w:t xml:space="preserve"> No se establece el escalafón y los sueldos funcionales distribuidos por programas para el personal contratado, lo cual contraviene lo establecido en el Artículo 3 Literal </w:t>
      </w:r>
      <w:r>
        <w:t>g</w:t>
      </w:r>
      <w:r w:rsidRPr="004C7D50">
        <w:t>) de la Ordenanza N° 70 de fecha 20/07/94 de este Tribunal.</w:t>
      </w:r>
    </w:p>
    <w:p w:rsidR="008A212A" w:rsidRPr="004C7D50" w:rsidRDefault="008A212A" w:rsidP="00555DA1">
      <w:pPr>
        <w:pStyle w:val="Piedepgina"/>
        <w:widowControl w:val="0"/>
        <w:tabs>
          <w:tab w:val="clear" w:pos="4252"/>
          <w:tab w:val="clear" w:pos="8504"/>
        </w:tabs>
        <w:spacing w:line="360" w:lineRule="auto"/>
        <w:jc w:val="both"/>
      </w:pPr>
      <w:r w:rsidRPr="00D72F6C">
        <w:rPr>
          <w:b/>
        </w:rPr>
        <w:t>3.8)</w:t>
      </w:r>
      <w:r w:rsidRPr="004C7D50">
        <w:t xml:space="preserve"> No fue proporcionada la estructura de cargos y escalafones correspondiente a las retribuciones de los funcionarios zafrales por lo cual no es posible verificar la correcta </w:t>
      </w:r>
      <w:proofErr w:type="spellStart"/>
      <w:r w:rsidRPr="004C7D50">
        <w:t>presupuestación</w:t>
      </w:r>
      <w:proofErr w:type="spellEnd"/>
      <w:r w:rsidRPr="004C7D50">
        <w:t xml:space="preserve"> del objeto 031.</w:t>
      </w:r>
    </w:p>
    <w:p w:rsidR="008A212A" w:rsidRPr="00C5434E" w:rsidRDefault="008A212A" w:rsidP="00555DA1">
      <w:pPr>
        <w:pStyle w:val="Piedepgina"/>
        <w:widowControl w:val="0"/>
        <w:tabs>
          <w:tab w:val="clear" w:pos="4252"/>
          <w:tab w:val="clear" w:pos="8504"/>
        </w:tabs>
        <w:spacing w:line="360" w:lineRule="auto"/>
        <w:jc w:val="both"/>
        <w:rPr>
          <w:rFonts w:cs="Arial"/>
          <w:color w:val="FF0000"/>
        </w:rPr>
      </w:pPr>
      <w:r w:rsidRPr="00D72F6C">
        <w:rPr>
          <w:rFonts w:cs="Arial"/>
          <w:b/>
        </w:rPr>
        <w:t>3.9)</w:t>
      </w:r>
      <w:r w:rsidRPr="004C7D50">
        <w:rPr>
          <w:rFonts w:cs="Arial"/>
        </w:rPr>
        <w:t xml:space="preserve"> En los </w:t>
      </w:r>
      <w:proofErr w:type="spellStart"/>
      <w:r w:rsidRPr="004C7D50">
        <w:rPr>
          <w:rFonts w:cs="Arial"/>
        </w:rPr>
        <w:t>planillados</w:t>
      </w:r>
      <w:proofErr w:type="spellEnd"/>
      <w:r w:rsidRPr="004C7D50">
        <w:rPr>
          <w:rFonts w:cs="Arial"/>
        </w:rPr>
        <w:t xml:space="preserve"> de </w:t>
      </w:r>
      <w:r>
        <w:rPr>
          <w:rFonts w:cs="Arial"/>
        </w:rPr>
        <w:t xml:space="preserve">Estructura de </w:t>
      </w:r>
      <w:r w:rsidRPr="004C7D50">
        <w:rPr>
          <w:rFonts w:cs="Arial"/>
        </w:rPr>
        <w:t xml:space="preserve">cargos </w:t>
      </w:r>
      <w:r>
        <w:rPr>
          <w:rFonts w:cs="Arial"/>
        </w:rPr>
        <w:t xml:space="preserve">presupuestales por actividad </w:t>
      </w:r>
      <w:r w:rsidRPr="004C7D50">
        <w:rPr>
          <w:rFonts w:cs="Arial"/>
        </w:rPr>
        <w:t>se incluyen cargos y sueldos para los Municipios de Ombúes de Lavalle, Colonia Valdense y Florenci</w:t>
      </w:r>
      <w:r>
        <w:rPr>
          <w:rFonts w:cs="Arial"/>
        </w:rPr>
        <w:t xml:space="preserve">o </w:t>
      </w:r>
      <w:proofErr w:type="spellStart"/>
      <w:r>
        <w:rPr>
          <w:rFonts w:cs="Arial"/>
        </w:rPr>
        <w:t>Sanchez</w:t>
      </w:r>
      <w:proofErr w:type="spellEnd"/>
      <w:r>
        <w:rPr>
          <w:rFonts w:cs="Arial"/>
        </w:rPr>
        <w:t>.</w:t>
      </w:r>
      <w:r w:rsidRPr="004C7D50">
        <w:rPr>
          <w:rFonts w:cs="Arial"/>
        </w:rPr>
        <w:t xml:space="preserve"> </w:t>
      </w:r>
      <w:r>
        <w:rPr>
          <w:rFonts w:cs="Arial"/>
        </w:rPr>
        <w:t>No obstante</w:t>
      </w:r>
      <w:r w:rsidRPr="004C7D50">
        <w:rPr>
          <w:rFonts w:cs="Arial"/>
        </w:rPr>
        <w:t xml:space="preserve">, en los respectivos programas no se incluyeron asignaciones presupuestales </w:t>
      </w:r>
      <w:r>
        <w:rPr>
          <w:rFonts w:cs="Arial"/>
        </w:rPr>
        <w:t>en</w:t>
      </w:r>
      <w:r w:rsidRPr="004C7D50">
        <w:rPr>
          <w:rFonts w:cs="Arial"/>
        </w:rPr>
        <w:t xml:space="preserve"> grupo 0.</w:t>
      </w:r>
    </w:p>
    <w:p w:rsidR="008A212A" w:rsidRDefault="008A212A" w:rsidP="00555DA1">
      <w:pPr>
        <w:pStyle w:val="Piedepgina"/>
        <w:widowControl w:val="0"/>
        <w:tabs>
          <w:tab w:val="clear" w:pos="4252"/>
          <w:tab w:val="clear" w:pos="8504"/>
        </w:tabs>
        <w:spacing w:line="360" w:lineRule="auto"/>
        <w:jc w:val="both"/>
        <w:rPr>
          <w:rFonts w:cs="Arial"/>
        </w:rPr>
      </w:pPr>
      <w:r w:rsidRPr="00D72F6C">
        <w:rPr>
          <w:rFonts w:cs="Arial"/>
          <w:b/>
        </w:rPr>
        <w:t>3.10)</w:t>
      </w:r>
      <w:r w:rsidRPr="001223C7">
        <w:rPr>
          <w:rFonts w:cs="Arial"/>
        </w:rPr>
        <w:t xml:space="preserve"> En los </w:t>
      </w:r>
      <w:proofErr w:type="spellStart"/>
      <w:r w:rsidRPr="001223C7">
        <w:rPr>
          <w:rFonts w:cs="Arial"/>
        </w:rPr>
        <w:t>planillados</w:t>
      </w:r>
      <w:proofErr w:type="spellEnd"/>
      <w:r w:rsidRPr="001223C7">
        <w:rPr>
          <w:rFonts w:cs="Arial"/>
        </w:rPr>
        <w:t xml:space="preserve"> de Estructura de cargos por escalafón, grado y denominación se incluye un total de 87 cargos contratados no asimilados al escalafón por $ 2</w:t>
      </w:r>
      <w:r>
        <w:rPr>
          <w:rFonts w:cs="Arial"/>
        </w:rPr>
        <w:t>:</w:t>
      </w:r>
      <w:r w:rsidRPr="001223C7">
        <w:rPr>
          <w:rFonts w:cs="Arial"/>
        </w:rPr>
        <w:t>724.624 por mes</w:t>
      </w:r>
      <w:r>
        <w:rPr>
          <w:rFonts w:cs="Arial"/>
        </w:rPr>
        <w:t>, fojas 35</w:t>
      </w:r>
      <w:r w:rsidRPr="001223C7">
        <w:rPr>
          <w:rFonts w:cs="Arial"/>
        </w:rPr>
        <w:t xml:space="preserve">, sin determinación de sueldos ni detalle de cargos. Esta situación permite en el futuro a la Intendencia la creación y la fijación de remuneraciones para cada cargo, lo que se aparta de lo establecido en el </w:t>
      </w:r>
      <w:r>
        <w:rPr>
          <w:rFonts w:cs="Arial"/>
        </w:rPr>
        <w:t>Artículo 86 de la Constitución de la República.</w:t>
      </w:r>
    </w:p>
    <w:p w:rsidR="008A212A" w:rsidRPr="00EC2D05" w:rsidRDefault="008A212A" w:rsidP="00555DA1">
      <w:pPr>
        <w:pStyle w:val="Piedepgina"/>
        <w:widowControl w:val="0"/>
        <w:tabs>
          <w:tab w:val="clear" w:pos="4252"/>
          <w:tab w:val="clear" w:pos="8504"/>
        </w:tabs>
        <w:spacing w:line="360" w:lineRule="auto"/>
        <w:jc w:val="both"/>
      </w:pPr>
      <w:r w:rsidRPr="00EC2D05">
        <w:rPr>
          <w:b/>
        </w:rPr>
        <w:t>3.11)</w:t>
      </w:r>
      <w:r w:rsidRPr="00EC2D05">
        <w:t xml:space="preserve"> Las asignaciones presupuestales de determinados programas, a nivel de</w:t>
      </w:r>
      <w:r>
        <w:t>l</w:t>
      </w:r>
      <w:r w:rsidRPr="00EC2D05">
        <w:t xml:space="preserve"> objeto del gasto </w:t>
      </w:r>
      <w:r>
        <w:t>“</w:t>
      </w:r>
      <w:r w:rsidRPr="00EC2D05">
        <w:t>Sueldos Básicos de Cargos</w:t>
      </w:r>
      <w:r>
        <w:t>”</w:t>
      </w:r>
      <w:r w:rsidRPr="00EC2D05">
        <w:t xml:space="preserve">, resultan insuficientes para el personal con cargo presupuestado en comparación con la información presentada en los </w:t>
      </w:r>
      <w:proofErr w:type="spellStart"/>
      <w:r w:rsidRPr="00EC2D05">
        <w:t>planillados</w:t>
      </w:r>
      <w:proofErr w:type="spellEnd"/>
      <w:r w:rsidRPr="00EC2D05">
        <w:t xml:space="preserve"> de Estructura de cargo</w:t>
      </w:r>
      <w:r w:rsidR="00BC73BF">
        <w:t>s presupuestales por actividad.</w:t>
      </w:r>
    </w:p>
    <w:p w:rsidR="008A212A" w:rsidRPr="001223C7" w:rsidRDefault="008A212A" w:rsidP="00555DA1">
      <w:pPr>
        <w:pStyle w:val="Piedepgina"/>
        <w:widowControl w:val="0"/>
        <w:tabs>
          <w:tab w:val="clear" w:pos="4252"/>
          <w:tab w:val="clear" w:pos="8504"/>
        </w:tabs>
        <w:spacing w:line="360" w:lineRule="auto"/>
        <w:jc w:val="both"/>
      </w:pPr>
      <w:r w:rsidRPr="00D72F6C">
        <w:rPr>
          <w:b/>
        </w:rPr>
        <w:t>3.12)</w:t>
      </w:r>
      <w:r w:rsidRPr="001223C7">
        <w:t xml:space="preserve"> Existen ingresos y gastos </w:t>
      </w:r>
      <w:proofErr w:type="spellStart"/>
      <w:r w:rsidRPr="001223C7">
        <w:t>extrapresupuestales</w:t>
      </w:r>
      <w:proofErr w:type="spellEnd"/>
      <w:r w:rsidRPr="001223C7">
        <w:t xml:space="preserve"> informados en rendiciones de cuentas anteriores y que se continuaron ejecutando en el </w:t>
      </w:r>
      <w:r>
        <w:t>E</w:t>
      </w:r>
      <w:r w:rsidRPr="001223C7">
        <w:t>jercicio 2015  que no se incluyeron como recursos y gastos presupuestales, a saber: Hogares Estudiantiles, Inda-Tres Focos, Boletos estudiantiles MTOP, Proyecto CECAT, Convenio IC/ANII, Convenio MVOTMA-Rehabilitación Urbana, Convenio M</w:t>
      </w:r>
      <w:r>
        <w:t>V</w:t>
      </w:r>
      <w:r w:rsidRPr="001223C7">
        <w:t xml:space="preserve">TOMA/IMC Plan Quinquenal de Vivienda, Tratamiento Bituminoso Baltasar </w:t>
      </w:r>
      <w:proofErr w:type="spellStart"/>
      <w:r w:rsidRPr="001223C7">
        <w:t>Brum</w:t>
      </w:r>
      <w:proofErr w:type="spellEnd"/>
      <w:r w:rsidRPr="001223C7">
        <w:t>-Rosario, Convenio OPP-Intendencia de Colonia “CIDIC”</w:t>
      </w:r>
      <w:r>
        <w:t>.</w:t>
      </w:r>
    </w:p>
    <w:p w:rsidR="008A212A" w:rsidRDefault="008A212A" w:rsidP="00555DA1">
      <w:pPr>
        <w:pStyle w:val="Encabezadodetda"/>
        <w:tabs>
          <w:tab w:val="clear" w:pos="9360"/>
        </w:tabs>
        <w:suppressAutoHyphens w:val="0"/>
        <w:spacing w:line="360" w:lineRule="auto"/>
        <w:jc w:val="both"/>
        <w:rPr>
          <w:rFonts w:ascii="Arial" w:hAnsi="Arial"/>
          <w:sz w:val="24"/>
          <w:lang w:val="es-ES_tradnl"/>
        </w:rPr>
      </w:pPr>
      <w:r w:rsidRPr="00FC4B25">
        <w:rPr>
          <w:rFonts w:ascii="Arial" w:hAnsi="Arial" w:cs="Arial"/>
          <w:b/>
          <w:sz w:val="24"/>
          <w:szCs w:val="24"/>
          <w:lang w:val="es-UY"/>
        </w:rPr>
        <w:t>3.13)</w:t>
      </w:r>
      <w:r w:rsidRPr="00FC4B25">
        <w:rPr>
          <w:rFonts w:ascii="Arial" w:hAnsi="Arial" w:cs="Arial"/>
          <w:sz w:val="24"/>
          <w:szCs w:val="24"/>
          <w:lang w:val="es-UY"/>
        </w:rPr>
        <w:t xml:space="preserve"> </w:t>
      </w:r>
      <w:r w:rsidRPr="00FC4B25">
        <w:rPr>
          <w:rFonts w:ascii="Arial" w:hAnsi="Arial" w:cs="Arial"/>
          <w:sz w:val="24"/>
          <w:szCs w:val="24"/>
          <w:lang w:val="es-ES_tradnl"/>
        </w:rPr>
        <w:t>El Programa “Junta Departamental” prevé las partidas anuales</w:t>
      </w:r>
      <w:r>
        <w:rPr>
          <w:rFonts w:ascii="Arial" w:hAnsi="Arial"/>
          <w:sz w:val="24"/>
          <w:lang w:val="es-ES_tradnl"/>
        </w:rPr>
        <w:t xml:space="preserve"> destinadas a financiar el Presu</w:t>
      </w:r>
      <w:r>
        <w:rPr>
          <w:rFonts w:ascii="Arial" w:hAnsi="Arial"/>
          <w:sz w:val="24"/>
          <w:lang w:val="es-ES_tradnl"/>
        </w:rPr>
        <w:softHyphen/>
        <w:t>puesto Quinquenal de la Corporación. Las asignaciones presupuestales de la Junta entrarán en vigencia una vez que la Cor</w:t>
      </w:r>
      <w:r>
        <w:rPr>
          <w:rFonts w:ascii="Arial" w:hAnsi="Arial"/>
          <w:sz w:val="24"/>
          <w:lang w:val="es-ES_tradnl"/>
        </w:rPr>
        <w:softHyphen/>
        <w:t>poración sancione definitivamente su presupuesto, pr</w:t>
      </w:r>
      <w:r w:rsidR="00944A2C">
        <w:rPr>
          <w:rFonts w:ascii="Arial" w:hAnsi="Arial"/>
          <w:sz w:val="24"/>
          <w:lang w:val="es-ES_tradnl"/>
        </w:rPr>
        <w:t>evio Dictamen de este Tribunal.</w:t>
      </w:r>
    </w:p>
    <w:p w:rsidR="008A212A" w:rsidRPr="00CE4F3F" w:rsidRDefault="008A212A" w:rsidP="00555DA1">
      <w:pPr>
        <w:pStyle w:val="Piedepgina"/>
        <w:widowControl w:val="0"/>
        <w:tabs>
          <w:tab w:val="clear" w:pos="4252"/>
          <w:tab w:val="clear" w:pos="8504"/>
        </w:tabs>
        <w:spacing w:line="360" w:lineRule="auto"/>
        <w:jc w:val="both"/>
        <w:rPr>
          <w:lang w:val="es-ES_tradnl"/>
        </w:rPr>
      </w:pPr>
    </w:p>
    <w:p w:rsidR="008A212A" w:rsidRDefault="008A212A">
      <w:pPr>
        <w:tabs>
          <w:tab w:val="left" w:pos="360"/>
        </w:tabs>
        <w:spacing w:line="360" w:lineRule="auto"/>
        <w:jc w:val="both"/>
        <w:rPr>
          <w:rFonts w:cs="Arial"/>
          <w:b/>
          <w:bCs/>
        </w:rPr>
      </w:pPr>
      <w:r>
        <w:rPr>
          <w:b/>
          <w:bCs/>
        </w:rPr>
        <w:t>4) Cumplimiento de normas constitucionales, legales y reglamentarias</w:t>
      </w:r>
    </w:p>
    <w:p w:rsidR="008A212A" w:rsidRPr="00F4387F" w:rsidRDefault="008A212A">
      <w:pPr>
        <w:pStyle w:val="Sangradetextonormal"/>
        <w:ind w:firstLine="0"/>
        <w:rPr>
          <w:rFonts w:ascii="Arial" w:hAnsi="Arial" w:cs="Arial"/>
          <w:b/>
          <w:bCs/>
          <w:lang w:val="es-ES"/>
        </w:rPr>
      </w:pPr>
    </w:p>
    <w:p w:rsidR="008A212A" w:rsidRDefault="008A212A" w:rsidP="00555DA1">
      <w:pPr>
        <w:spacing w:line="360" w:lineRule="auto"/>
        <w:jc w:val="both"/>
        <w:rPr>
          <w:rFonts w:cs="Arial"/>
        </w:rPr>
      </w:pPr>
      <w:r w:rsidRPr="00D72F6C">
        <w:rPr>
          <w:rFonts w:cs="Arial"/>
          <w:b/>
        </w:rPr>
        <w:t>4.1)</w:t>
      </w:r>
      <w:r>
        <w:rPr>
          <w:rFonts w:cs="Arial"/>
          <w:b/>
        </w:rPr>
        <w:t xml:space="preserve"> </w:t>
      </w:r>
      <w:r>
        <w:rPr>
          <w:rFonts w:cs="Arial"/>
        </w:rPr>
        <w:t>Se ha dado cumplimiento al plazo constitucional de que dispone este Tribunal para emitir su dictamen, Artículos 225 Inciso 2º y 275 Numeral 3º de la Constitución de la República.</w:t>
      </w:r>
    </w:p>
    <w:p w:rsidR="008A212A" w:rsidRPr="00B13C5C" w:rsidRDefault="008A212A" w:rsidP="00555DA1">
      <w:pPr>
        <w:spacing w:line="360" w:lineRule="auto"/>
        <w:jc w:val="both"/>
        <w:rPr>
          <w:b/>
        </w:rPr>
      </w:pPr>
      <w:r>
        <w:rPr>
          <w:rFonts w:cs="Arial"/>
          <w:b/>
        </w:rPr>
        <w:t xml:space="preserve">4.2) </w:t>
      </w:r>
      <w:r>
        <w:rPr>
          <w:rFonts w:cs="Arial"/>
        </w:rPr>
        <w:t>E</w:t>
      </w:r>
      <w:r w:rsidRPr="0095463A">
        <w:rPr>
          <w:rFonts w:cs="Arial"/>
        </w:rPr>
        <w:t xml:space="preserve">n las actualizaciones mencionadas en el </w:t>
      </w:r>
      <w:r>
        <w:rPr>
          <w:rFonts w:cs="Arial"/>
        </w:rPr>
        <w:t>Artículo</w:t>
      </w:r>
      <w:r w:rsidRPr="0095463A">
        <w:rPr>
          <w:rFonts w:cs="Arial"/>
        </w:rPr>
        <w:t xml:space="preserve"> 4º, las tasas deberán mantener una razonable equivalencia con el costo del servicio</w:t>
      </w:r>
      <w:r w:rsidRPr="00944A2C">
        <w:rPr>
          <w:rFonts w:cs="Arial"/>
        </w:rPr>
        <w:t>.</w:t>
      </w:r>
    </w:p>
    <w:p w:rsidR="008A212A" w:rsidRDefault="008A212A" w:rsidP="00555DA1">
      <w:pPr>
        <w:spacing w:line="360" w:lineRule="auto"/>
        <w:jc w:val="both"/>
        <w:rPr>
          <w:rFonts w:cs="Arial"/>
        </w:rPr>
      </w:pPr>
      <w:r>
        <w:rPr>
          <w:rFonts w:cs="Arial"/>
          <w:b/>
        </w:rPr>
        <w:t xml:space="preserve">4.3) </w:t>
      </w:r>
      <w:r w:rsidRPr="00811B59">
        <w:rPr>
          <w:rFonts w:cs="Arial"/>
        </w:rPr>
        <w:t xml:space="preserve">La modificación introducida por la Junta Departamental en el </w:t>
      </w:r>
      <w:r>
        <w:rPr>
          <w:rFonts w:cs="Arial"/>
        </w:rPr>
        <w:t>Artículo</w:t>
      </w:r>
      <w:r w:rsidRPr="00811B59">
        <w:rPr>
          <w:rFonts w:cs="Arial"/>
        </w:rPr>
        <w:t xml:space="preserve"> 18  numerales VII) y VIII),  extendiendo  la exoneración del Impuesto de Patente de Rodados a los vehículos con funciones en el Departamento del Instituto Nacional de Investigación Agropecuaria, y en el Departamento del Instituto Nacional de Semillas; resulta violatoria de lo preceptuado </w:t>
      </w:r>
      <w:r>
        <w:rPr>
          <w:rFonts w:cs="Arial"/>
        </w:rPr>
        <w:t>el Artículo 133 de la Constitución de la República.</w:t>
      </w:r>
    </w:p>
    <w:p w:rsidR="008A212A" w:rsidRPr="0029012F" w:rsidRDefault="008A212A" w:rsidP="00555DA1">
      <w:pPr>
        <w:spacing w:line="360" w:lineRule="auto"/>
        <w:jc w:val="both"/>
        <w:rPr>
          <w:rFonts w:cs="Arial"/>
        </w:rPr>
      </w:pPr>
      <w:r>
        <w:rPr>
          <w:rFonts w:cs="Arial"/>
          <w:b/>
        </w:rPr>
        <w:t xml:space="preserve">4.4) </w:t>
      </w:r>
      <w:r w:rsidRPr="00B75FBA">
        <w:rPr>
          <w:rFonts w:cs="Arial"/>
        </w:rPr>
        <w:t xml:space="preserve">La modificación introducida por la Junta Departamental en el </w:t>
      </w:r>
      <w:r>
        <w:rPr>
          <w:rFonts w:cs="Arial"/>
        </w:rPr>
        <w:t>Artículo</w:t>
      </w:r>
      <w:r w:rsidRPr="00B75FBA">
        <w:rPr>
          <w:rFonts w:cs="Arial"/>
        </w:rPr>
        <w:t xml:space="preserve"> 34 in fine,  extendiendo  la exoneración del pago  de la Tasa por concepto de</w:t>
      </w:r>
      <w:r>
        <w:rPr>
          <w:rFonts w:cs="Arial"/>
        </w:rPr>
        <w:t xml:space="preserve"> servicio bromatológico  a las Sociedades de Fomento R</w:t>
      </w:r>
      <w:r w:rsidRPr="00B75FBA">
        <w:rPr>
          <w:rFonts w:cs="Arial"/>
        </w:rPr>
        <w:t>ural</w:t>
      </w:r>
      <w:r>
        <w:rPr>
          <w:rFonts w:cs="Arial"/>
        </w:rPr>
        <w:t>,</w:t>
      </w:r>
      <w:r w:rsidRPr="00B75FBA">
        <w:rPr>
          <w:rFonts w:cs="Arial"/>
        </w:rPr>
        <w:t xml:space="preserve"> resulta violatoria de lo preceptuado por</w:t>
      </w:r>
      <w:r>
        <w:rPr>
          <w:rFonts w:cs="Arial"/>
        </w:rPr>
        <w:t xml:space="preserve"> el Artículo</w:t>
      </w:r>
      <w:r w:rsidRPr="00B75FBA">
        <w:rPr>
          <w:rFonts w:cs="Arial"/>
        </w:rPr>
        <w:t xml:space="preserve"> 133 de la Constitución</w:t>
      </w:r>
      <w:r>
        <w:rPr>
          <w:rFonts w:cs="Arial"/>
          <w:b/>
        </w:rPr>
        <w:t xml:space="preserve"> </w:t>
      </w:r>
      <w:r>
        <w:rPr>
          <w:rFonts w:cs="Arial"/>
        </w:rPr>
        <w:t>de la República.</w:t>
      </w:r>
    </w:p>
    <w:p w:rsidR="008A212A" w:rsidRDefault="008A212A" w:rsidP="00555DA1">
      <w:pPr>
        <w:spacing w:line="360" w:lineRule="auto"/>
        <w:jc w:val="both"/>
        <w:rPr>
          <w:rFonts w:cs="Arial"/>
          <w:b/>
        </w:rPr>
      </w:pPr>
    </w:p>
    <w:p w:rsidR="008A212A" w:rsidRDefault="008A212A" w:rsidP="00555DA1">
      <w:pPr>
        <w:spacing w:line="360" w:lineRule="auto"/>
        <w:jc w:val="both"/>
        <w:rPr>
          <w:rFonts w:cs="Arial"/>
          <w:b/>
        </w:rPr>
      </w:pPr>
    </w:p>
    <w:p w:rsidR="008A212A" w:rsidRDefault="008A212A" w:rsidP="00555DA1">
      <w:pPr>
        <w:spacing w:line="360" w:lineRule="auto"/>
        <w:jc w:val="both"/>
        <w:rPr>
          <w:rFonts w:cs="Arial"/>
        </w:rPr>
      </w:pPr>
      <w:r>
        <w:rPr>
          <w:rFonts w:cs="Arial"/>
          <w:b/>
        </w:rPr>
        <w:t xml:space="preserve">4.5) </w:t>
      </w:r>
      <w:r w:rsidRPr="00575BD9">
        <w:rPr>
          <w:rFonts w:cs="Arial"/>
        </w:rPr>
        <w:t xml:space="preserve">El </w:t>
      </w:r>
      <w:r>
        <w:rPr>
          <w:rFonts w:cs="Arial"/>
        </w:rPr>
        <w:t>Artículo</w:t>
      </w:r>
      <w:r w:rsidRPr="00575BD9">
        <w:rPr>
          <w:rFonts w:cs="Arial"/>
        </w:rPr>
        <w:t xml:space="preserve"> 59</w:t>
      </w:r>
      <w:r>
        <w:rPr>
          <w:rFonts w:cs="Arial"/>
        </w:rPr>
        <w:t xml:space="preserve"> autoriza al Ejecutivo Departamental a disponer de hasta un 3% del total del Presupuesto Quinquenal para atender acontecimientos graves e imprevistos. La norma se aparta de lo dispuesto por el Artículo 15 del TOCAF, Inciso 3º, que fija en hasta un 1%  el monto de los créditos que anualmente podrán ser autorizados.</w:t>
      </w:r>
    </w:p>
    <w:p w:rsidR="008A212A" w:rsidRDefault="008A212A" w:rsidP="00555DA1">
      <w:pPr>
        <w:spacing w:line="360" w:lineRule="auto"/>
        <w:jc w:val="both"/>
        <w:rPr>
          <w:rFonts w:cs="Arial"/>
        </w:rPr>
      </w:pPr>
      <w:r>
        <w:rPr>
          <w:rFonts w:cs="Arial"/>
          <w:b/>
          <w:lang w:val="es-ES_tradnl"/>
        </w:rPr>
        <w:t>4.6</w:t>
      </w:r>
      <w:r w:rsidRPr="00783857">
        <w:rPr>
          <w:rFonts w:cs="Arial"/>
          <w:b/>
          <w:lang w:val="es-ES_tradnl"/>
        </w:rPr>
        <w:t>)</w:t>
      </w:r>
      <w:r w:rsidRPr="00783857">
        <w:rPr>
          <w:rFonts w:cs="Arial"/>
          <w:lang w:val="es-ES_tradnl"/>
        </w:rPr>
        <w:t xml:space="preserve"> Lo establecido en el Artículo </w:t>
      </w:r>
      <w:r>
        <w:rPr>
          <w:rFonts w:cs="Arial"/>
          <w:lang w:val="es-ES_tradnl"/>
        </w:rPr>
        <w:t xml:space="preserve">60 </w:t>
      </w:r>
      <w:r w:rsidRPr="00783857">
        <w:rPr>
          <w:rFonts w:cs="Arial"/>
          <w:lang w:val="es-ES_tradnl"/>
        </w:rPr>
        <w:t>N</w:t>
      </w:r>
      <w:r>
        <w:rPr>
          <w:rFonts w:cs="Arial"/>
          <w:lang w:val="es-ES_tradnl"/>
        </w:rPr>
        <w:t xml:space="preserve">umeral </w:t>
      </w:r>
      <w:r w:rsidRPr="00783857">
        <w:rPr>
          <w:rFonts w:cs="Arial"/>
          <w:lang w:val="es-ES_tradnl"/>
        </w:rPr>
        <w:t>1) del Proyecto, en cuanto dispone que el Ejecutivo puede ajustar los créditos por servicios personales en función de los acuerdos o convenios laborales y las políticas salariales acordadas o establecidas, contraviene lo dispuesto por el Artículo 86 de la Constitución de la República, en cuanto dichos ajustes deben fijarse por acto legislativo con la previa iniciativa del Ejecutivo, en las instancias establecidas en el  Artículo 214 por remisión del Artículo 222 de dicha norma</w:t>
      </w:r>
      <w:r>
        <w:rPr>
          <w:rFonts w:cs="Arial"/>
          <w:lang w:val="es-ES_tradnl"/>
        </w:rPr>
        <w:t>.</w:t>
      </w:r>
    </w:p>
    <w:p w:rsidR="008A212A" w:rsidRPr="00783857" w:rsidRDefault="008A212A" w:rsidP="00555DA1">
      <w:pPr>
        <w:spacing w:line="360" w:lineRule="auto"/>
        <w:jc w:val="both"/>
        <w:rPr>
          <w:rFonts w:cs="Arial"/>
          <w:lang w:val="es-ES_tradnl"/>
        </w:rPr>
      </w:pPr>
      <w:r>
        <w:rPr>
          <w:rFonts w:cs="Arial"/>
          <w:b/>
        </w:rPr>
        <w:t xml:space="preserve">4.7) </w:t>
      </w:r>
      <w:r w:rsidRPr="00783857">
        <w:rPr>
          <w:rFonts w:cs="Arial"/>
          <w:lang w:val="es-ES_tradnl"/>
        </w:rPr>
        <w:t>Los criterios de ajustes de créditos presupuestales deben ser objetivos y no pueden depender de lo establecido en cada contrato, por lo que lo establecido en el Artículo 60 N</w:t>
      </w:r>
      <w:r>
        <w:rPr>
          <w:rFonts w:cs="Arial"/>
          <w:lang w:val="es-ES_tradnl"/>
        </w:rPr>
        <w:t>ume</w:t>
      </w:r>
      <w:r w:rsidRPr="00783857">
        <w:rPr>
          <w:rFonts w:cs="Arial"/>
          <w:lang w:val="es-ES_tradnl"/>
        </w:rPr>
        <w:t>ral 3) Literales A) y D) del P</w:t>
      </w:r>
      <w:r w:rsidR="00944A2C">
        <w:rPr>
          <w:rFonts w:cs="Arial"/>
          <w:lang w:val="es-ES_tradnl"/>
        </w:rPr>
        <w:t>royecto no se ajusta a derecho.</w:t>
      </w:r>
    </w:p>
    <w:p w:rsidR="008A212A" w:rsidRDefault="008A212A" w:rsidP="00555DA1">
      <w:pPr>
        <w:spacing w:line="360" w:lineRule="auto"/>
        <w:jc w:val="both"/>
        <w:rPr>
          <w:rFonts w:cs="Arial"/>
          <w:lang w:val="es-ES_tradnl"/>
        </w:rPr>
      </w:pPr>
      <w:r>
        <w:rPr>
          <w:rFonts w:cs="Arial"/>
          <w:b/>
          <w:lang w:val="es-ES_tradnl"/>
        </w:rPr>
        <w:t>4.8</w:t>
      </w:r>
      <w:r w:rsidRPr="00783857">
        <w:rPr>
          <w:rFonts w:cs="Arial"/>
          <w:b/>
          <w:lang w:val="es-ES_tradnl"/>
        </w:rPr>
        <w:t xml:space="preserve">) </w:t>
      </w:r>
      <w:r w:rsidRPr="00783857">
        <w:rPr>
          <w:rFonts w:cs="Arial"/>
          <w:lang w:val="es-ES_tradnl"/>
        </w:rPr>
        <w:t>Corresponde señalar, que todo ajuste de créditos presupuestales, Artículo 60 N</w:t>
      </w:r>
      <w:r>
        <w:rPr>
          <w:rFonts w:cs="Arial"/>
          <w:lang w:val="es-ES_tradnl"/>
        </w:rPr>
        <w:t>ume</w:t>
      </w:r>
      <w:r w:rsidRPr="00783857">
        <w:rPr>
          <w:rFonts w:cs="Arial"/>
          <w:lang w:val="es-ES_tradnl"/>
        </w:rPr>
        <w:t>ral 4) del Proyecto, deberá ser comunicado al Tribunal de Cuentas no pudiendo</w:t>
      </w:r>
      <w:r>
        <w:rPr>
          <w:rFonts w:cs="Arial"/>
          <w:lang w:val="es-ES_tradnl"/>
        </w:rPr>
        <w:t>,</w:t>
      </w:r>
      <w:r w:rsidRPr="00783857">
        <w:rPr>
          <w:rFonts w:cs="Arial"/>
          <w:lang w:val="es-ES_tradnl"/>
        </w:rPr>
        <w:t xml:space="preserve"> al realizar los mismos</w:t>
      </w:r>
      <w:r>
        <w:rPr>
          <w:rFonts w:cs="Arial"/>
          <w:lang w:val="es-ES_tradnl"/>
        </w:rPr>
        <w:t>,</w:t>
      </w:r>
      <w:r w:rsidRPr="00783857">
        <w:rPr>
          <w:rFonts w:cs="Arial"/>
          <w:lang w:val="es-ES_tradnl"/>
        </w:rPr>
        <w:t xml:space="preserve"> </w:t>
      </w:r>
      <w:r>
        <w:rPr>
          <w:rFonts w:cs="Arial"/>
          <w:lang w:val="es-ES_tradnl"/>
        </w:rPr>
        <w:t>generar déficit</w:t>
      </w:r>
      <w:r w:rsidRPr="00783857">
        <w:rPr>
          <w:rFonts w:cs="Arial"/>
          <w:lang w:val="es-ES_tradnl"/>
        </w:rPr>
        <w:t xml:space="preserve"> presupuestal </w:t>
      </w:r>
      <w:r>
        <w:rPr>
          <w:rFonts w:cs="Arial"/>
          <w:lang w:val="es-ES_tradnl"/>
        </w:rPr>
        <w:t>(</w:t>
      </w:r>
      <w:r w:rsidRPr="00783857">
        <w:rPr>
          <w:rFonts w:cs="Arial"/>
          <w:lang w:val="es-ES_tradnl"/>
        </w:rPr>
        <w:t>Inciso 1 del Artículo 225 de la Constitución de la República</w:t>
      </w:r>
      <w:r>
        <w:rPr>
          <w:rFonts w:cs="Arial"/>
          <w:lang w:val="es-ES_tradnl"/>
        </w:rPr>
        <w:t>)</w:t>
      </w:r>
      <w:r w:rsidR="00944A2C">
        <w:rPr>
          <w:rFonts w:cs="Arial"/>
          <w:lang w:val="es-ES_tradnl"/>
        </w:rPr>
        <w:t>.</w:t>
      </w:r>
    </w:p>
    <w:p w:rsidR="008A212A" w:rsidRPr="0095463A" w:rsidRDefault="008A212A" w:rsidP="00555DA1">
      <w:pPr>
        <w:spacing w:line="360" w:lineRule="auto"/>
        <w:jc w:val="both"/>
        <w:rPr>
          <w:rFonts w:cs="Arial"/>
          <w:lang w:val="es-ES_tradnl"/>
        </w:rPr>
      </w:pPr>
      <w:r>
        <w:rPr>
          <w:rFonts w:cs="Arial"/>
          <w:b/>
          <w:lang w:val="es-ES_tradnl"/>
        </w:rPr>
        <w:t>4.9)</w:t>
      </w:r>
      <w:r w:rsidRPr="0095463A">
        <w:rPr>
          <w:rFonts w:cs="Arial"/>
          <w:b/>
          <w:lang w:val="es-ES_tradnl"/>
        </w:rPr>
        <w:t xml:space="preserve"> </w:t>
      </w:r>
      <w:r w:rsidRPr="0095463A">
        <w:rPr>
          <w:rFonts w:cs="Arial"/>
          <w:lang w:val="es-ES_tradnl"/>
        </w:rPr>
        <w:t>Lo dispuesto en los Artículos 67 y 68  del proyecto contraviene lo dispuesto por el Inciso 2 del Artículo 13 del T.O.C.A.F., que establece que los créditos anuales no ejecutados al cierre del ejercicio, queda</w:t>
      </w:r>
      <w:r w:rsidR="00944A2C">
        <w:rPr>
          <w:rFonts w:cs="Arial"/>
          <w:lang w:val="es-ES_tradnl"/>
        </w:rPr>
        <w:t>rán sin valor ni efecto alguno.</w:t>
      </w:r>
    </w:p>
    <w:p w:rsidR="008A212A" w:rsidRDefault="008A212A" w:rsidP="00555DA1">
      <w:pPr>
        <w:spacing w:line="360" w:lineRule="auto"/>
        <w:jc w:val="both"/>
        <w:rPr>
          <w:rFonts w:cs="Arial"/>
        </w:rPr>
      </w:pPr>
      <w:r>
        <w:rPr>
          <w:rFonts w:cs="Arial"/>
          <w:b/>
          <w:lang w:val="es-ES_tradnl"/>
        </w:rPr>
        <w:t>4.10</w:t>
      </w:r>
      <w:r>
        <w:rPr>
          <w:rFonts w:cs="Arial"/>
          <w:b/>
        </w:rPr>
        <w:t xml:space="preserve">) </w:t>
      </w:r>
      <w:r>
        <w:rPr>
          <w:rFonts w:cs="Arial"/>
        </w:rPr>
        <w:t xml:space="preserve">El Artículo 77 del Proyecto, al cometer al Ejecutivo Departamental la </w:t>
      </w:r>
      <w:proofErr w:type="gramStart"/>
      <w:r>
        <w:rPr>
          <w:rFonts w:cs="Arial"/>
        </w:rPr>
        <w:t>apertura</w:t>
      </w:r>
      <w:proofErr w:type="gramEnd"/>
      <w:r>
        <w:rPr>
          <w:rFonts w:cs="Arial"/>
        </w:rPr>
        <w:t xml:space="preserve"> de Programas Presupuestales de Inversión a nombre de cada Municipio,  resulta violatorio del Artículo 19  de la Ley Nº 19.272 en la redacción dada por el Artículo 683 de la Ley Nº 19.355, en tanto la misma prescribe que los programas  correspondientes a los Municipios deben ser incluidos en los presupuestos quinquenales de los gobiernos Departamentales.</w:t>
      </w:r>
    </w:p>
    <w:p w:rsidR="008A212A" w:rsidRPr="002F67AB" w:rsidRDefault="008A212A" w:rsidP="00555DA1">
      <w:pPr>
        <w:spacing w:line="360" w:lineRule="auto"/>
        <w:jc w:val="both"/>
        <w:rPr>
          <w:lang w:val="es-MX"/>
        </w:rPr>
      </w:pPr>
      <w:r>
        <w:rPr>
          <w:rFonts w:cs="Arial"/>
          <w:b/>
        </w:rPr>
        <w:t>4</w:t>
      </w:r>
      <w:r w:rsidRPr="002F67AB">
        <w:rPr>
          <w:rFonts w:cs="Arial"/>
          <w:b/>
        </w:rPr>
        <w:t xml:space="preserve">.11) </w:t>
      </w:r>
      <w:r w:rsidRPr="002F67AB">
        <w:rPr>
          <w:rFonts w:cs="Arial"/>
        </w:rPr>
        <w:t xml:space="preserve">Las compensaciones y adicionales  a fijarse por el Intendente de acuerdo a lo dispuesto por el </w:t>
      </w:r>
      <w:r>
        <w:rPr>
          <w:rFonts w:cs="Arial"/>
        </w:rPr>
        <w:t>Artículo</w:t>
      </w:r>
      <w:r w:rsidRPr="002F67AB">
        <w:rPr>
          <w:rFonts w:cs="Arial"/>
        </w:rPr>
        <w:t xml:space="preserve"> 81</w:t>
      </w:r>
      <w:r w:rsidRPr="002F67AB">
        <w:rPr>
          <w:lang w:val="es-MX"/>
        </w:rPr>
        <w:t>, no se encuentran debidamente establecidas (solo el máximo), quedando supeditadas a la voluntad del Intenden</w:t>
      </w:r>
      <w:r>
        <w:rPr>
          <w:lang w:val="es-MX"/>
        </w:rPr>
        <w:t>te</w:t>
      </w:r>
      <w:r w:rsidRPr="002F67AB">
        <w:rPr>
          <w:lang w:val="es-MX"/>
        </w:rPr>
        <w:t xml:space="preserve">. Por tratarse de una dotación, la misma debe estar  claramente determinada en  la norma presupuestal conforme a lo dispuesto por el </w:t>
      </w:r>
      <w:r>
        <w:rPr>
          <w:lang w:val="es-MX"/>
        </w:rPr>
        <w:t>Artículo 86 de la Constitución de la República.</w:t>
      </w:r>
    </w:p>
    <w:p w:rsidR="008A212A" w:rsidRPr="002F67AB" w:rsidRDefault="008A212A" w:rsidP="00555DA1">
      <w:pPr>
        <w:spacing w:line="360" w:lineRule="auto"/>
        <w:jc w:val="both"/>
        <w:rPr>
          <w:lang w:val="es-MX"/>
        </w:rPr>
      </w:pPr>
      <w:r>
        <w:rPr>
          <w:b/>
          <w:lang w:val="es-MX"/>
        </w:rPr>
        <w:t>4</w:t>
      </w:r>
      <w:r w:rsidRPr="002F67AB">
        <w:rPr>
          <w:b/>
          <w:lang w:val="es-MX"/>
        </w:rPr>
        <w:t xml:space="preserve">.12) </w:t>
      </w:r>
      <w:r w:rsidRPr="002F67AB">
        <w:rPr>
          <w:lang w:val="es-MX"/>
        </w:rPr>
        <w:t xml:space="preserve">El reajuste del sueldo del Intendente previsto en el art. 83 del Proyecto se aparta de lo establecido en el decreto 011/10 del 16/04/2010, que en su </w:t>
      </w:r>
      <w:r>
        <w:rPr>
          <w:lang w:val="es-MX"/>
        </w:rPr>
        <w:t>Artículo</w:t>
      </w:r>
      <w:r w:rsidRPr="002F67AB">
        <w:rPr>
          <w:lang w:val="es-MX"/>
        </w:rPr>
        <w:t xml:space="preserve"> 2º prevé un reajuste semestral de acuerdo a lo que se disponga par</w:t>
      </w:r>
      <w:r>
        <w:rPr>
          <w:lang w:val="es-MX"/>
        </w:rPr>
        <w:t>a los Senadores de la República.</w:t>
      </w:r>
    </w:p>
    <w:p w:rsidR="008A212A" w:rsidRDefault="008A212A" w:rsidP="00555DA1">
      <w:pPr>
        <w:spacing w:line="360" w:lineRule="auto"/>
        <w:jc w:val="both"/>
      </w:pPr>
      <w:r>
        <w:rPr>
          <w:b/>
          <w:lang w:val="es-MX"/>
        </w:rPr>
        <w:t>4</w:t>
      </w:r>
      <w:r w:rsidRPr="002F67AB">
        <w:rPr>
          <w:b/>
          <w:lang w:val="es-MX"/>
        </w:rPr>
        <w:t xml:space="preserve">.13) </w:t>
      </w:r>
      <w:r w:rsidRPr="002F67AB">
        <w:rPr>
          <w:lang w:val="es-MX"/>
        </w:rPr>
        <w:t xml:space="preserve">El </w:t>
      </w:r>
      <w:r>
        <w:rPr>
          <w:lang w:val="es-MX"/>
        </w:rPr>
        <w:t>Artículo</w:t>
      </w:r>
      <w:r w:rsidRPr="002F67AB">
        <w:rPr>
          <w:lang w:val="es-MX"/>
        </w:rPr>
        <w:t xml:space="preserve"> 104 confiere al Intendente la autorización para realizar una reestructura de cargos y funciones. Dicha autorización resulta violatoria de lo dispuesto por  los </w:t>
      </w:r>
      <w:r>
        <w:rPr>
          <w:lang w:val="es-MX"/>
        </w:rPr>
        <w:t>Artículos</w:t>
      </w:r>
      <w:r w:rsidRPr="002F67AB">
        <w:rPr>
          <w:lang w:val="es-MX"/>
        </w:rPr>
        <w:t xml:space="preserve"> 214 y 86 de la Constitución de la República</w:t>
      </w:r>
      <w:r>
        <w:rPr>
          <w:lang w:val="es-MX"/>
        </w:rPr>
        <w:t>,</w:t>
      </w:r>
      <w:r w:rsidRPr="002F67AB">
        <w:rPr>
          <w:lang w:val="es-MX"/>
        </w:rPr>
        <w:t xml:space="preserve"> por lo cual la reestructura deberá ser tramitada </w:t>
      </w:r>
      <w:r w:rsidRPr="002F67AB">
        <w:t>en la próxima Instancia Presupuestal.</w:t>
      </w:r>
    </w:p>
    <w:p w:rsidR="008A212A" w:rsidRPr="00944A2C" w:rsidRDefault="008A212A" w:rsidP="00555DA1">
      <w:pPr>
        <w:spacing w:line="360" w:lineRule="auto"/>
        <w:jc w:val="both"/>
      </w:pPr>
    </w:p>
    <w:p w:rsidR="008A212A" w:rsidRDefault="008A212A" w:rsidP="00555DA1">
      <w:pPr>
        <w:spacing w:line="360" w:lineRule="auto"/>
        <w:jc w:val="both"/>
        <w:rPr>
          <w:rFonts w:cs="Arial"/>
        </w:rPr>
      </w:pPr>
      <w:r>
        <w:rPr>
          <w:rFonts w:cs="Arial"/>
          <w:b/>
        </w:rPr>
        <w:t xml:space="preserve">5) Opinión. </w:t>
      </w:r>
      <w:r>
        <w:rPr>
          <w:rFonts w:cs="Arial"/>
        </w:rPr>
        <w:t>En opinión del Tribunal de Cuentas, el proyecto de Presupuesto Quinquenal de la Intendencia de Colonia para el período 2016-2020 ha sido preparado en forma razonable, de acuerdo con los supuestos efectuados por el Organismo y se presenta de conformidad con las disposiciones constitucionales, legales y reglamentarias vigentes, excepto por lo expresado en el los Numerales 2.2), 2.3), 3.2), 3.3), 3.4), 3.5), 3.7), 3.9), 3.10), 3.11), 4.3), 4.4), 4.5), 4.6), 4.7), 4.9), 4.10), 4.11), 4.12), y 4.13).</w:t>
      </w:r>
    </w:p>
    <w:p w:rsidR="008A212A" w:rsidRPr="00944A2C" w:rsidRDefault="008A212A" w:rsidP="00944A2C">
      <w:pPr>
        <w:pStyle w:val="Textoindependiente2"/>
        <w:jc w:val="right"/>
        <w:rPr>
          <w:rFonts w:ascii="Arial" w:hAnsi="Arial" w:cs="Arial"/>
        </w:rPr>
      </w:pPr>
      <w:r w:rsidRPr="00944A2C">
        <w:rPr>
          <w:rFonts w:ascii="Arial" w:hAnsi="Arial" w:cs="Arial"/>
        </w:rPr>
        <w:t>Montevideo, 28 de abril de 2016</w:t>
      </w:r>
    </w:p>
    <w:p w:rsidR="008A212A" w:rsidRDefault="008A212A" w:rsidP="00555DA1">
      <w:pPr>
        <w:jc w:val="right"/>
        <w:rPr>
          <w:sz w:val="12"/>
        </w:rPr>
      </w:pPr>
    </w:p>
    <w:p w:rsidR="008A212A" w:rsidRDefault="008A212A" w:rsidP="00555DA1">
      <w:pPr>
        <w:jc w:val="right"/>
        <w:rPr>
          <w:sz w:val="12"/>
        </w:rPr>
      </w:pPr>
    </w:p>
    <w:p w:rsidR="008A212A" w:rsidRDefault="008A212A" w:rsidP="00555DA1">
      <w:pPr>
        <w:jc w:val="right"/>
        <w:rPr>
          <w:sz w:val="12"/>
        </w:rPr>
      </w:pPr>
    </w:p>
    <w:p w:rsidR="008A212A" w:rsidRDefault="008A212A" w:rsidP="00555DA1">
      <w:pPr>
        <w:jc w:val="right"/>
        <w:rPr>
          <w:sz w:val="12"/>
        </w:rPr>
      </w:pPr>
    </w:p>
    <w:p w:rsidR="008A212A" w:rsidRDefault="008A212A" w:rsidP="00555DA1">
      <w:pPr>
        <w:jc w:val="right"/>
        <w:rPr>
          <w:sz w:val="12"/>
        </w:rPr>
      </w:pPr>
    </w:p>
    <w:p w:rsidR="008A212A" w:rsidRDefault="008A212A" w:rsidP="008A212A">
      <w:pPr>
        <w:rPr>
          <w:sz w:val="20"/>
          <w:szCs w:val="20"/>
        </w:rPr>
      </w:pPr>
      <w:r>
        <w:rPr>
          <w:sz w:val="20"/>
          <w:szCs w:val="20"/>
        </w:rPr>
        <w:t>CLC</w:t>
      </w:r>
    </w:p>
    <w:sectPr w:rsidR="008A212A" w:rsidSect="0089225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DF9277DA"/>
    <w:lvl w:ilvl="0" w:tplc="404C38C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03151C"/>
    <w:rsid w:val="00555DA1"/>
    <w:rsid w:val="0076246A"/>
    <w:rsid w:val="0083601E"/>
    <w:rsid w:val="0089225A"/>
    <w:rsid w:val="008A212A"/>
    <w:rsid w:val="009007FF"/>
    <w:rsid w:val="00944A2C"/>
    <w:rsid w:val="009D7233"/>
    <w:rsid w:val="00A55895"/>
    <w:rsid w:val="00AF7D40"/>
    <w:rsid w:val="00BC73BF"/>
    <w:rsid w:val="00C556D7"/>
    <w:rsid w:val="00DE04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A212A"/>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8A212A"/>
    <w:rPr>
      <w:rFonts w:ascii="Arial" w:eastAsia="Times New Roman" w:hAnsi="Arial" w:cs="Times New Roman"/>
      <w:b/>
      <w:sz w:val="24"/>
      <w:szCs w:val="24"/>
      <w:lang w:val="es-ES" w:eastAsia="es-ES"/>
    </w:rPr>
  </w:style>
  <w:style w:type="paragraph" w:styleId="Piedepgina">
    <w:name w:val="footer"/>
    <w:basedOn w:val="Normal"/>
    <w:link w:val="PiedepginaCar"/>
    <w:semiHidden/>
    <w:rsid w:val="008A212A"/>
    <w:pPr>
      <w:tabs>
        <w:tab w:val="center" w:pos="4252"/>
        <w:tab w:val="right" w:pos="8504"/>
      </w:tabs>
    </w:pPr>
  </w:style>
  <w:style w:type="character" w:customStyle="1" w:styleId="PiedepginaCar">
    <w:name w:val="Pie de página Car"/>
    <w:basedOn w:val="Fuentedeprrafopredeter"/>
    <w:link w:val="Piedepgina"/>
    <w:semiHidden/>
    <w:rsid w:val="008A212A"/>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8A212A"/>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8A212A"/>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8A212A"/>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8A212A"/>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8A212A"/>
    <w:pPr>
      <w:widowControl w:val="0"/>
      <w:tabs>
        <w:tab w:val="right" w:pos="9360"/>
      </w:tabs>
      <w:suppressAutoHyphens/>
    </w:pPr>
    <w:rPr>
      <w:rFonts w:ascii="Courier" w:hAnsi="Courier"/>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A212A"/>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8A212A"/>
    <w:rPr>
      <w:rFonts w:ascii="Arial" w:eastAsia="Times New Roman" w:hAnsi="Arial" w:cs="Times New Roman"/>
      <w:b/>
      <w:sz w:val="24"/>
      <w:szCs w:val="24"/>
      <w:lang w:val="es-ES" w:eastAsia="es-ES"/>
    </w:rPr>
  </w:style>
  <w:style w:type="paragraph" w:styleId="Piedepgina">
    <w:name w:val="footer"/>
    <w:basedOn w:val="Normal"/>
    <w:link w:val="PiedepginaCar"/>
    <w:semiHidden/>
    <w:rsid w:val="008A212A"/>
    <w:pPr>
      <w:tabs>
        <w:tab w:val="center" w:pos="4252"/>
        <w:tab w:val="right" w:pos="8504"/>
      </w:tabs>
    </w:pPr>
  </w:style>
  <w:style w:type="character" w:customStyle="1" w:styleId="PiedepginaCar">
    <w:name w:val="Pie de página Car"/>
    <w:basedOn w:val="Fuentedeprrafopredeter"/>
    <w:link w:val="Piedepgina"/>
    <w:semiHidden/>
    <w:rsid w:val="008A212A"/>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8A212A"/>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8A212A"/>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8A212A"/>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8A212A"/>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8A212A"/>
    <w:pPr>
      <w:widowControl w:val="0"/>
      <w:tabs>
        <w:tab w:val="right" w:pos="9360"/>
      </w:tabs>
      <w:suppressAutoHyphens/>
    </w:pPr>
    <w:rPr>
      <w:rFonts w:ascii="Courier" w:hAnsi="Courier"/>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2208</Words>
  <Characters>12150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 </cp:lastModifiedBy>
  <cp:revision>6</cp:revision>
  <cp:lastPrinted>2016-05-04T13:38:00Z</cp:lastPrinted>
  <dcterms:created xsi:type="dcterms:W3CDTF">2016-05-04T13:37:00Z</dcterms:created>
  <dcterms:modified xsi:type="dcterms:W3CDTF">2016-07-11T18:23:00Z</dcterms:modified>
</cp:coreProperties>
</file>