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66" w:rsidRPr="00786EEB" w:rsidRDefault="005645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1951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64566" w:rsidRDefault="005645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64566" w:rsidRPr="00564566" w:rsidRDefault="00564566" w:rsidP="005645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456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64566" w:rsidRPr="00564566" w:rsidRDefault="00564566" w:rsidP="005645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4566" w:rsidRPr="00564566" w:rsidRDefault="00564566" w:rsidP="005645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456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64566" w:rsidRPr="00564566" w:rsidRDefault="00564566" w:rsidP="005645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4566" w:rsidRPr="00564566" w:rsidRDefault="00564566" w:rsidP="005645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4566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564566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564566" w:rsidRPr="00564566" w:rsidRDefault="00564566" w:rsidP="005645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4566" w:rsidRPr="00564566" w:rsidRDefault="00564566" w:rsidP="005645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6456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2013-17-1-0006133</w:t>
      </w:r>
      <w:r w:rsidRPr="0056456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56456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564566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2280/16</w:t>
      </w:r>
      <w:r w:rsidRPr="0056456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64566" w:rsidRDefault="00564566">
      <w:pPr>
        <w:rPr>
          <w:lang w:val="en-US"/>
        </w:rPr>
      </w:pPr>
    </w:p>
    <w:p w:rsidR="00564566" w:rsidRDefault="004D4719" w:rsidP="00564566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C0305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VISTO: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las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nuevas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actuaciones remitidas por</w:t>
      </w:r>
      <w:r w:rsidR="00F106F2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el Contador Delegado en</w:t>
      </w:r>
      <w:r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la</w:t>
      </w:r>
      <w:r w:rsidR="00F106F2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Administración Nacional de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Usinas y Transmisiones Eléctricas, relacionadas con </w:t>
      </w:r>
      <w:r w:rsidR="00F106F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reiteración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el</w:t>
      </w:r>
      <w:r w:rsidR="00F106F2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gasto derivado de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ampliac</w:t>
      </w:r>
      <w:r w:rsidR="00564566">
        <w:rPr>
          <w:rFonts w:ascii="Arial" w:eastAsia="Times New Roman" w:hAnsi="Arial" w:cs="Times New Roman"/>
          <w:bCs/>
          <w:sz w:val="24"/>
          <w:szCs w:val="24"/>
          <w:lang w:eastAsia="es-ES"/>
        </w:rPr>
        <w:t>ión de la Licitación Pública N°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P44074, convocada para la contratación del servicio de mantenimiento eléctrico en líneas aéreas y sub estaciones de MT/BT de distribución,</w:t>
      </w:r>
      <w:r w:rsidR="0054555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en el ámbito geográfico de la G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erencia Centro;</w:t>
      </w:r>
    </w:p>
    <w:p w:rsidR="00564566" w:rsidRDefault="00564566" w:rsidP="00564566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RESULTANDO: </w:t>
      </w:r>
      <w:r w:rsidR="004D4719" w:rsidRPr="00EC03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4D4719" w:rsidRPr="00EC0305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4D4719">
        <w:rPr>
          <w:rFonts w:ascii="Arial" w:eastAsia="Times New Roman" w:hAnsi="Arial" w:cs="Arial"/>
          <w:sz w:val="24"/>
          <w:szCs w:val="24"/>
          <w:lang w:val="es-ES_tradnl" w:eastAsia="es-ES"/>
        </w:rPr>
        <w:t>por R</w:t>
      </w:r>
      <w:r w:rsidR="004D4719" w:rsidRPr="00EC030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esolución </w:t>
      </w:r>
      <w:r w:rsidR="004D471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Gerencia General </w:t>
      </w:r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N° 052/15 de fecha 02.10.15,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se dispuso la ampliación de la L</w:t>
      </w:r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icitación de referencia 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con</w:t>
      </w:r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las firmas Electricidad Durazno S.R.L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</w:t>
      </w:r>
      <w:proofErr w:type="spellStart"/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>Clauger</w:t>
      </w:r>
      <w:proofErr w:type="spellEnd"/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S.A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 un monto de $</w:t>
      </w:r>
      <w:r w:rsidR="004D4719">
        <w:rPr>
          <w:rFonts w:ascii="Arial" w:eastAsia="Times New Roman" w:hAnsi="Arial" w:cs="Arial"/>
          <w:sz w:val="24"/>
          <w:szCs w:val="24"/>
          <w:lang w:val="es-MX" w:eastAsia="es-ES"/>
        </w:rPr>
        <w:t>53:142.800 (impuestos incluidos);</w:t>
      </w:r>
    </w:p>
    <w:p w:rsidR="00187353" w:rsidRDefault="004D4719" w:rsidP="00187353">
      <w:pPr>
        <w:keepNext/>
        <w:spacing w:after="0" w:line="360" w:lineRule="auto"/>
        <w:ind w:firstLine="2694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4D471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en Sesión de fecha 11.11.15 este Tribunal observó el gasto correspondiente al Ejercicio 2015 por </w:t>
      </w:r>
      <w:r w:rsidR="00A0255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falta de disponibilidad presupuestal suficiente y, asimismo, cometió la intervención del 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gasto</w:t>
      </w:r>
      <w:r w:rsidR="00A0255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para el Ejercicio 2016, </w:t>
      </w:r>
      <w:r w:rsidR="002A4C3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el que </w:t>
      </w:r>
      <w:r w:rsidR="0027122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con fecha 03.12.15 </w:t>
      </w:r>
      <w:r w:rsidR="002A4C3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fue observado por el Contador Delegado </w:t>
      </w:r>
      <w:r w:rsidR="00BE2B1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por falta de </w:t>
      </w:r>
      <w:r w:rsidR="00A0255C">
        <w:rPr>
          <w:rFonts w:ascii="Arial" w:eastAsia="Times New Roman" w:hAnsi="Arial" w:cs="Arial"/>
          <w:sz w:val="24"/>
          <w:szCs w:val="24"/>
          <w:lang w:val="es-MX" w:eastAsia="es-ES"/>
        </w:rPr>
        <w:t>disponibilidad suficiente;</w:t>
      </w:r>
    </w:p>
    <w:p w:rsidR="00BE2B1F" w:rsidRDefault="00BE2B1F" w:rsidP="00187353">
      <w:pPr>
        <w:keepNext/>
        <w:spacing w:after="0" w:line="360" w:lineRule="auto"/>
        <w:ind w:firstLine="2694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E2B1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3)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por Resolución N° 079/15 de fecha 11.12.15, la Gerencia General </w:t>
      </w:r>
      <w:r w:rsidR="00366B75">
        <w:rPr>
          <w:rFonts w:ascii="Arial" w:eastAsia="Times New Roman" w:hAnsi="Arial" w:cs="Arial"/>
          <w:sz w:val="24"/>
          <w:szCs w:val="24"/>
          <w:lang w:val="es-MX" w:eastAsia="es-ES"/>
        </w:rPr>
        <w:t>reiteró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gasto argumentando que es necesario continuar con los trabajos de mantenimiento de la red ya comprometidos, 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permitiendo mantener las líneas de distribución en estado, po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sibilitan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 mejora 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en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</w:t>
      </w:r>
      <w:proofErr w:type="gramStart"/>
      <w:r>
        <w:rPr>
          <w:rFonts w:ascii="Arial" w:eastAsia="Times New Roman" w:hAnsi="Arial" w:cs="Arial"/>
          <w:sz w:val="24"/>
          <w:szCs w:val="24"/>
          <w:lang w:val="es-MX" w:eastAsia="es-ES"/>
        </w:rPr>
        <w:t>calidad</w:t>
      </w:r>
      <w:proofErr w:type="gramEnd"/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</w:t>
      </w:r>
      <w:r w:rsidR="00366B75">
        <w:rPr>
          <w:rFonts w:ascii="Arial" w:eastAsia="Times New Roman" w:hAnsi="Arial" w:cs="Arial"/>
          <w:sz w:val="24"/>
          <w:szCs w:val="24"/>
          <w:lang w:val="es-MX" w:eastAsia="es-ES"/>
        </w:rPr>
        <w:t>l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servicio a los clientes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366B75">
        <w:rPr>
          <w:rFonts w:ascii="Arial" w:eastAsia="Times New Roman" w:hAnsi="Arial" w:cs="Arial"/>
          <w:sz w:val="24"/>
          <w:szCs w:val="24"/>
          <w:lang w:val="es-MX" w:eastAsia="es-ES"/>
        </w:rPr>
        <w:t>y, 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simismo, que se hace imprescindible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>continuar con la presente ampliación para ejecutar los compromisos contraídos por la Gerencia Distribución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hasta tanto no quede operativa </w:t>
      </w:r>
      <w:r w:rsidR="00366B75">
        <w:rPr>
          <w:rFonts w:ascii="Arial" w:eastAsia="Times New Roman" w:hAnsi="Arial" w:cs="Arial"/>
          <w:sz w:val="24"/>
          <w:szCs w:val="24"/>
          <w:lang w:val="es-MX" w:eastAsia="es-ES"/>
        </w:rPr>
        <w:t>la nueva Licitación Pública N° 470</w:t>
      </w:r>
      <w:r w:rsidR="00392CD5">
        <w:rPr>
          <w:rFonts w:ascii="Arial" w:eastAsia="Times New Roman" w:hAnsi="Arial" w:cs="Arial"/>
          <w:sz w:val="24"/>
          <w:szCs w:val="24"/>
          <w:lang w:val="es-MX" w:eastAsia="es-ES"/>
        </w:rPr>
        <w:t>28 que se encuentra en trámite;</w:t>
      </w:r>
    </w:p>
    <w:p w:rsidR="004D4719" w:rsidRPr="00366B75" w:rsidRDefault="00187353" w:rsidP="0018735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CONSIDERANDO: </w:t>
      </w:r>
      <w:r w:rsidR="00366B75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</w:t>
      </w:r>
      <w:r w:rsidR="00366B7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366B75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os argumentos esgrimidos por la Administración actuante </w:t>
      </w:r>
      <w:r w:rsidR="00366B75">
        <w:rPr>
          <w:rFonts w:ascii="Arial" w:eastAsia="Times New Roman" w:hAnsi="Arial" w:cs="Arial"/>
          <w:bCs/>
          <w:sz w:val="24"/>
          <w:szCs w:val="24"/>
          <w:lang w:val="es-ES" w:eastAsia="es-ES"/>
        </w:rPr>
        <w:t>en ocasión de reiterar el gasto</w:t>
      </w:r>
      <w:r w:rsidR="00366B75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no refieren a la causal que originó la observación oportunamente formulada</w:t>
      </w:r>
      <w:r w:rsidR="00366B7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correspondiente a la contravención </w:t>
      </w:r>
      <w:r w:rsidR="00392CD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del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A</w:t>
      </w:r>
      <w:r w:rsidR="00366B7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rtículo 15 del TOCAF; </w:t>
      </w:r>
    </w:p>
    <w:p w:rsidR="004D4719" w:rsidRPr="00EC0305" w:rsidRDefault="004D4719" w:rsidP="0018735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ATENTO: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a lo expuesto y a lo dispuesto por el Artículo 211 Literal B) de la Constitución de la República;</w:t>
      </w:r>
    </w:p>
    <w:p w:rsidR="004D4719" w:rsidRPr="00EC0305" w:rsidRDefault="004D4719" w:rsidP="0018735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4D4719" w:rsidRPr="00187353" w:rsidRDefault="004D4719" w:rsidP="0018735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87353">
        <w:rPr>
          <w:rFonts w:ascii="Arial" w:eastAsia="Times New Roman" w:hAnsi="Arial" w:cs="Arial"/>
          <w:sz w:val="24"/>
          <w:szCs w:val="24"/>
          <w:lang w:val="es-ES" w:eastAsia="es-ES"/>
        </w:rPr>
        <w:t>Mantener la observación formulada</w:t>
      </w:r>
      <w:r w:rsidR="00392CD5" w:rsidRPr="001873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el Contador Delegado de fecha 03.12.15</w:t>
      </w:r>
      <w:r w:rsidRPr="00187353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187353" w:rsidRPr="00187353" w:rsidRDefault="00187353" w:rsidP="0018735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87353">
        <w:rPr>
          <w:rFonts w:ascii="Arial" w:eastAsia="Times New Roman" w:hAnsi="Arial" w:cs="Arial"/>
          <w:sz w:val="24"/>
          <w:szCs w:val="24"/>
          <w:lang w:val="es-ES" w:eastAsia="es-ES"/>
        </w:rPr>
        <w:t>Comunicar a la  Administración actuante y al Contador Delegado</w:t>
      </w:r>
      <w:r w:rsidR="004D4719" w:rsidRPr="00187353">
        <w:rPr>
          <w:rFonts w:ascii="Arial" w:eastAsia="Times New Roman" w:hAnsi="Arial" w:cs="Arial"/>
          <w:sz w:val="24"/>
          <w:szCs w:val="24"/>
          <w:lang w:val="es-ES" w:eastAsia="es-ES"/>
        </w:rPr>
        <w:t>; y</w:t>
      </w:r>
      <w:r w:rsidRPr="001873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187353" w:rsidRPr="00187353" w:rsidRDefault="00187353" w:rsidP="00187353">
      <w:pPr>
        <w:numPr>
          <w:ilvl w:val="0"/>
          <w:numId w:val="1"/>
        </w:numPr>
        <w:spacing w:after="0" w:line="360" w:lineRule="auto"/>
        <w:jc w:val="both"/>
      </w:pPr>
      <w:r w:rsidRPr="00187353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187353" w:rsidRDefault="00187353" w:rsidP="001873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87353" w:rsidRDefault="00187353" w:rsidP="001873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87353" w:rsidRDefault="00187353" w:rsidP="001873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87353" w:rsidRDefault="00187353" w:rsidP="001873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87353" w:rsidRDefault="00187353" w:rsidP="001873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4555F" w:rsidRDefault="00187353" w:rsidP="00187353">
      <w:pPr>
        <w:spacing w:after="0" w:line="360" w:lineRule="auto"/>
        <w:ind w:hanging="284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  <w:r>
        <w:t xml:space="preserve"> </w:t>
      </w:r>
    </w:p>
    <w:sectPr w:rsidR="0054555F" w:rsidSect="0052545A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D938F0CE"/>
    <w:lvl w:ilvl="0" w:tplc="63BA7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19"/>
    <w:rsid w:val="0005507B"/>
    <w:rsid w:val="00130655"/>
    <w:rsid w:val="00187353"/>
    <w:rsid w:val="0027122E"/>
    <w:rsid w:val="002A4C30"/>
    <w:rsid w:val="00366B75"/>
    <w:rsid w:val="00392CD5"/>
    <w:rsid w:val="00483F89"/>
    <w:rsid w:val="004D4719"/>
    <w:rsid w:val="0052545A"/>
    <w:rsid w:val="0054555F"/>
    <w:rsid w:val="00564566"/>
    <w:rsid w:val="00A0255C"/>
    <w:rsid w:val="00BE2B1F"/>
    <w:rsid w:val="00DD4FB1"/>
    <w:rsid w:val="00F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99C4-12FF-4358-A9D9-C25FABC6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2016-06-10T18:50:00Z</cp:lastPrinted>
  <dcterms:created xsi:type="dcterms:W3CDTF">2016-06-10T18:51:00Z</dcterms:created>
  <dcterms:modified xsi:type="dcterms:W3CDTF">2016-06-10T18:51:00Z</dcterms:modified>
</cp:coreProperties>
</file>