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B0" w:rsidRPr="00786EEB" w:rsidRDefault="00D56CB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1950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56CB0" w:rsidRDefault="00D56CB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56CB0" w:rsidRPr="00D56CB0" w:rsidRDefault="00D56CB0" w:rsidP="00D56C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6CB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56CB0" w:rsidRPr="00D56CB0" w:rsidRDefault="00D56CB0" w:rsidP="00D56CB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6CB0" w:rsidRPr="00D56CB0" w:rsidRDefault="00D56CB0" w:rsidP="00D56C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6CB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56CB0" w:rsidRPr="00D56CB0" w:rsidRDefault="00D56CB0" w:rsidP="00D56CB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6CB0" w:rsidRPr="00D56CB0" w:rsidRDefault="00D56CB0" w:rsidP="00D56C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6CB0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D56CB0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D56CB0" w:rsidRPr="00D56CB0" w:rsidRDefault="00D56CB0" w:rsidP="00D56C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6CB0" w:rsidRPr="00D56CB0" w:rsidRDefault="00D56CB0" w:rsidP="00D56CB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D56CB0">
        <w:rPr>
          <w:rFonts w:ascii="Arial" w:hAnsi="Arial" w:cs="Arial"/>
          <w:b/>
          <w:sz w:val="24"/>
          <w:szCs w:val="24"/>
          <w:lang w:val="es-AR"/>
        </w:rPr>
        <w:t xml:space="preserve">(E. E. Nº 2014-17-1-0000213, </w:t>
      </w:r>
      <w:proofErr w:type="spellStart"/>
      <w:r w:rsidRPr="00D56CB0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D56CB0">
        <w:rPr>
          <w:rFonts w:ascii="Arial" w:hAnsi="Arial" w:cs="Arial"/>
          <w:b/>
          <w:sz w:val="24"/>
          <w:szCs w:val="24"/>
          <w:lang w:val="es-AR"/>
        </w:rPr>
        <w:t>. N° 2274/16)</w:t>
      </w:r>
    </w:p>
    <w:p w:rsidR="00D56CB0" w:rsidRDefault="00D56CB0" w:rsidP="00D56CB0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</w:p>
    <w:p w:rsidR="00D56CB0" w:rsidRDefault="005C1A39" w:rsidP="00D56CB0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C0305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VISTO:</w:t>
      </w:r>
      <w:r w:rsidR="005B43C7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las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actuaciones remitidas por</w:t>
      </w:r>
      <w:r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</w:t>
      </w:r>
      <w:r w:rsidR="005B43C7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el Contador Delegado en </w:t>
      </w:r>
      <w:r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la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Administración Nacional de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Usinas y Transmisiones Eléctricas, relacionadas con </w:t>
      </w:r>
      <w:r w:rsidR="005B43C7">
        <w:rPr>
          <w:rFonts w:ascii="Arial" w:eastAsia="Times New Roman" w:hAnsi="Arial" w:cs="Times New Roman"/>
          <w:bCs/>
          <w:sz w:val="24"/>
          <w:szCs w:val="24"/>
          <w:lang w:eastAsia="es-ES"/>
        </w:rPr>
        <w:t>la reiteración d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el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gasto derivado de</w:t>
      </w:r>
      <w:r w:rsidR="005B43C7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="00CD0C43">
        <w:rPr>
          <w:rFonts w:ascii="Arial" w:eastAsia="Times New Roman" w:hAnsi="Arial" w:cs="Times New Roman"/>
          <w:bCs/>
          <w:sz w:val="24"/>
          <w:szCs w:val="24"/>
          <w:lang w:eastAsia="es-ES"/>
        </w:rPr>
        <w:t>la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ampliac</w:t>
      </w:r>
      <w:r w:rsidR="00D56CB0">
        <w:rPr>
          <w:rFonts w:ascii="Arial" w:eastAsia="Times New Roman" w:hAnsi="Arial" w:cs="Times New Roman"/>
          <w:bCs/>
          <w:sz w:val="24"/>
          <w:szCs w:val="24"/>
          <w:lang w:eastAsia="es-ES"/>
        </w:rPr>
        <w:t>ión de la Licitación Pública N°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P44</w:t>
      </w:r>
      <w:r w:rsidR="00CD0C43">
        <w:rPr>
          <w:rFonts w:ascii="Arial" w:eastAsia="Times New Roman" w:hAnsi="Arial" w:cs="Times New Roman"/>
          <w:bCs/>
          <w:sz w:val="24"/>
          <w:szCs w:val="24"/>
          <w:lang w:eastAsia="es-ES"/>
        </w:rPr>
        <w:t>8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7</w:t>
      </w:r>
      <w:r w:rsidR="00CD0C43">
        <w:rPr>
          <w:rFonts w:ascii="Arial" w:eastAsia="Times New Roman" w:hAnsi="Arial" w:cs="Times New Roman"/>
          <w:bCs/>
          <w:sz w:val="24"/>
          <w:szCs w:val="24"/>
          <w:lang w:eastAsia="es-ES"/>
        </w:rPr>
        <w:t>6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convocada para </w:t>
      </w:r>
      <w:r w:rsidR="00CD0C43">
        <w:rPr>
          <w:rFonts w:ascii="Arial" w:eastAsia="Times New Roman" w:hAnsi="Arial" w:cs="Times New Roman"/>
          <w:bCs/>
          <w:sz w:val="24"/>
          <w:szCs w:val="24"/>
          <w:lang w:eastAsia="es-ES"/>
        </w:rPr>
        <w:t>la realización de trabajos de remodelación y extensión de la red de distribución en el ámbito geográfico de la Gerencia Centro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D56CB0" w:rsidRDefault="005C1A39" w:rsidP="00D56CB0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RESULTANDO:</w:t>
      </w:r>
      <w:r w:rsidR="00D56CB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EC03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Pr="00EC0305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por R</w:t>
      </w:r>
      <w:r w:rsidRPr="00EC030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esolución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79662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Gerencia General </w:t>
      </w:r>
      <w:r w:rsidR="00D56CB0">
        <w:rPr>
          <w:rFonts w:ascii="Arial" w:eastAsia="Times New Roman" w:hAnsi="Arial" w:cs="Arial"/>
          <w:sz w:val="24"/>
          <w:szCs w:val="24"/>
          <w:lang w:val="es-MX" w:eastAsia="es-ES"/>
        </w:rPr>
        <w:t>N°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>13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/15 de fecha 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>23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>04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.15, </w:t>
      </w:r>
      <w:r w:rsidR="00D56CB0">
        <w:rPr>
          <w:rFonts w:ascii="Arial" w:eastAsia="Times New Roman" w:hAnsi="Arial" w:cs="Arial"/>
          <w:sz w:val="24"/>
          <w:szCs w:val="24"/>
          <w:lang w:val="es-MX" w:eastAsia="es-ES"/>
        </w:rPr>
        <w:t>se dispuso la ampliación de la L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icitación de referencia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 las firmas Electricidad Durazno S.R.L</w:t>
      </w:r>
      <w:r w:rsidR="00D56CB0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Servicios de Ingeniería Eléctrica Urug</w:t>
      </w:r>
      <w:r w:rsidR="00796627">
        <w:rPr>
          <w:rFonts w:ascii="Arial" w:eastAsia="Times New Roman" w:hAnsi="Arial" w:cs="Arial"/>
          <w:sz w:val="24"/>
          <w:szCs w:val="24"/>
          <w:lang w:val="es-MX" w:eastAsia="es-ES"/>
        </w:rPr>
        <w:t>uay S.A</w:t>
      </w:r>
      <w:r w:rsidR="00D56CB0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796627">
        <w:rPr>
          <w:rFonts w:ascii="Arial" w:eastAsia="Times New Roman" w:hAnsi="Arial" w:cs="Arial"/>
          <w:sz w:val="24"/>
          <w:szCs w:val="24"/>
          <w:lang w:val="es-MX" w:eastAsia="es-ES"/>
        </w:rPr>
        <w:t>, por un monto de $ 132:</w:t>
      </w:r>
      <w:r w:rsidR="00CD0C43">
        <w:rPr>
          <w:rFonts w:ascii="Arial" w:eastAsia="Times New Roman" w:hAnsi="Arial" w:cs="Arial"/>
          <w:sz w:val="24"/>
          <w:szCs w:val="24"/>
          <w:lang w:val="es-MX" w:eastAsia="es-ES"/>
        </w:rPr>
        <w:t>763.000;</w:t>
      </w:r>
    </w:p>
    <w:p w:rsidR="00D56CB0" w:rsidRDefault="00CD0C43" w:rsidP="00D56CB0">
      <w:pPr>
        <w:keepNext/>
        <w:spacing w:after="0" w:line="360" w:lineRule="auto"/>
        <w:ind w:firstLine="2694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CD0C43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="000878F9">
        <w:rPr>
          <w:rFonts w:ascii="Arial" w:eastAsia="Times New Roman" w:hAnsi="Arial" w:cs="Arial"/>
          <w:sz w:val="24"/>
          <w:szCs w:val="24"/>
          <w:lang w:val="es-MX" w:eastAsia="es-ES"/>
        </w:rPr>
        <w:t>que en Sesión de fecha 10</w:t>
      </w:r>
      <w:r w:rsidR="00A54809">
        <w:rPr>
          <w:rFonts w:ascii="Arial" w:eastAsia="Times New Roman" w:hAnsi="Arial" w:cs="Arial"/>
          <w:sz w:val="24"/>
          <w:szCs w:val="24"/>
          <w:lang w:val="es-MX" w:eastAsia="es-ES"/>
        </w:rPr>
        <w:t>.06.15 este Tribunal observó el gasto por haber sido comprometido sin que existiera disponibilidad presupuestal suficiente en el grupo de im</w:t>
      </w:r>
      <w:r w:rsidR="00D56CB0">
        <w:rPr>
          <w:rFonts w:ascii="Arial" w:eastAsia="Times New Roman" w:hAnsi="Arial" w:cs="Arial"/>
          <w:sz w:val="24"/>
          <w:szCs w:val="24"/>
          <w:lang w:val="es-MX" w:eastAsia="es-ES"/>
        </w:rPr>
        <w:t>putación, en contravención del A</w:t>
      </w:r>
      <w:r w:rsidR="00A54809">
        <w:rPr>
          <w:rFonts w:ascii="Arial" w:eastAsia="Times New Roman" w:hAnsi="Arial" w:cs="Arial"/>
          <w:sz w:val="24"/>
          <w:szCs w:val="24"/>
          <w:lang w:val="es-MX" w:eastAsia="es-ES"/>
        </w:rPr>
        <w:t>rtículo 15 del TOCAF;</w:t>
      </w:r>
    </w:p>
    <w:p w:rsidR="000878F9" w:rsidRDefault="005C1A39" w:rsidP="00D56CB0">
      <w:pPr>
        <w:keepNext/>
        <w:spacing w:after="0" w:line="360" w:lineRule="auto"/>
        <w:ind w:firstLine="2694"/>
        <w:jc w:val="both"/>
        <w:outlineLvl w:val="0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BE2B1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3) </w:t>
      </w:r>
      <w:r w:rsidR="008336E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por Resolución N° </w:t>
      </w:r>
      <w:r w:rsidR="00A54809">
        <w:rPr>
          <w:rFonts w:ascii="Arial" w:eastAsia="Times New Roman" w:hAnsi="Arial" w:cs="Arial"/>
          <w:sz w:val="24"/>
          <w:szCs w:val="24"/>
          <w:lang w:val="es-MX" w:eastAsia="es-ES"/>
        </w:rPr>
        <w:t>32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/15 de fecha </w:t>
      </w:r>
      <w:r w:rsidR="008336E0">
        <w:rPr>
          <w:rFonts w:ascii="Arial" w:eastAsia="Times New Roman" w:hAnsi="Arial" w:cs="Arial"/>
          <w:sz w:val="24"/>
          <w:szCs w:val="24"/>
          <w:lang w:val="es-MX" w:eastAsia="es-ES"/>
        </w:rPr>
        <w:t>07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8336E0">
        <w:rPr>
          <w:rFonts w:ascii="Arial" w:eastAsia="Times New Roman" w:hAnsi="Arial" w:cs="Arial"/>
          <w:sz w:val="24"/>
          <w:szCs w:val="24"/>
          <w:lang w:val="es-MX" w:eastAsia="es-ES"/>
        </w:rPr>
        <w:t>07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.15, la Gerencia General reiteró el gasto argumentando que</w:t>
      </w:r>
      <w:r w:rsidR="000878F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necesario mantener las líneas de distribución en adecuado estado y extender la red a efectos de brindar un correcto servicio a los clientes mientras se encuentre operativa la Licitación Pública N° P46563</w:t>
      </w:r>
      <w:r w:rsidR="0079662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5C1A39" w:rsidRPr="00366B75" w:rsidRDefault="005B43C7" w:rsidP="00D56C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>CONSIDERANDO:</w:t>
      </w:r>
      <w:r w:rsidR="00D56CB0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="005C1A39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</w:t>
      </w:r>
      <w:r w:rsidR="005C1A39" w:rsidRPr="00EC030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5C1A39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os argumentos esgrimidos por la Administración actuante </w:t>
      </w:r>
      <w:r w:rsidR="005C1A39">
        <w:rPr>
          <w:rFonts w:ascii="Arial" w:eastAsia="Times New Roman" w:hAnsi="Arial" w:cs="Arial"/>
          <w:bCs/>
          <w:sz w:val="24"/>
          <w:szCs w:val="24"/>
          <w:lang w:val="es-ES" w:eastAsia="es-ES"/>
        </w:rPr>
        <w:t>en ocasión de reiterar el gasto</w:t>
      </w:r>
      <w:r w:rsidR="005C1A39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no refieren a la causal </w:t>
      </w:r>
      <w:r w:rsidR="005C1A39"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lastRenderedPageBreak/>
        <w:t>que originó la observación oportunamente formulada</w:t>
      </w:r>
      <w:r w:rsidR="005C1A39">
        <w:rPr>
          <w:rFonts w:ascii="Arial" w:eastAsia="Times New Roman" w:hAnsi="Arial" w:cs="Arial"/>
          <w:bCs/>
          <w:sz w:val="24"/>
          <w:szCs w:val="24"/>
          <w:lang w:val="es-ES" w:eastAsia="es-ES"/>
        </w:rPr>
        <w:t>, correspondiente a la</w:t>
      </w:r>
      <w:r w:rsidR="000878F9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 w:rsidR="00D56CB0">
        <w:rPr>
          <w:rFonts w:ascii="Arial" w:eastAsia="Times New Roman" w:hAnsi="Arial" w:cs="Arial"/>
          <w:bCs/>
          <w:sz w:val="24"/>
          <w:szCs w:val="24"/>
          <w:lang w:val="es-ES" w:eastAsia="es-ES"/>
        </w:rPr>
        <w:t>contravención del A</w:t>
      </w:r>
      <w:r w:rsidR="005C1A39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rtículo 15 del TOCAF; </w:t>
      </w:r>
    </w:p>
    <w:p w:rsidR="005C1A39" w:rsidRPr="00EC0305" w:rsidRDefault="005C1A39" w:rsidP="00D56C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ATENTO: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a lo expuesto y a lo dispuesto por el Artículo 211 Literal B) de la Constitución de la República;</w:t>
      </w:r>
    </w:p>
    <w:p w:rsidR="005C1A39" w:rsidRPr="00EC0305" w:rsidRDefault="005C1A39" w:rsidP="00D56C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5C1A39" w:rsidRPr="00D56CB0" w:rsidRDefault="005C1A39" w:rsidP="00D56CB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56C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Mantener la observación formulada </w:t>
      </w:r>
      <w:r w:rsidR="000878F9" w:rsidRPr="00D56CB0">
        <w:rPr>
          <w:rFonts w:ascii="Arial" w:eastAsia="Times New Roman" w:hAnsi="Arial" w:cs="Arial"/>
          <w:sz w:val="24"/>
          <w:szCs w:val="24"/>
          <w:lang w:val="es-ES" w:eastAsia="es-ES"/>
        </w:rPr>
        <w:t>de fecha 10</w:t>
      </w:r>
      <w:r w:rsidRPr="00D56CB0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0878F9" w:rsidRPr="00D56CB0">
        <w:rPr>
          <w:rFonts w:ascii="Arial" w:eastAsia="Times New Roman" w:hAnsi="Arial" w:cs="Arial"/>
          <w:sz w:val="24"/>
          <w:szCs w:val="24"/>
          <w:lang w:val="es-ES" w:eastAsia="es-ES"/>
        </w:rPr>
        <w:t>06</w:t>
      </w:r>
      <w:r w:rsidRPr="00D56CB0">
        <w:rPr>
          <w:rFonts w:ascii="Arial" w:eastAsia="Times New Roman" w:hAnsi="Arial" w:cs="Arial"/>
          <w:sz w:val="24"/>
          <w:szCs w:val="24"/>
          <w:lang w:val="es-ES" w:eastAsia="es-ES"/>
        </w:rPr>
        <w:t>.15;</w:t>
      </w:r>
    </w:p>
    <w:p w:rsidR="005C1A39" w:rsidRDefault="005C1A39" w:rsidP="005C1A3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E18FD">
        <w:rPr>
          <w:rFonts w:ascii="Arial" w:eastAsia="Times New Roman" w:hAnsi="Arial" w:cs="Arial"/>
          <w:sz w:val="24"/>
          <w:szCs w:val="24"/>
          <w:lang w:val="es-ES" w:eastAsia="es-ES"/>
        </w:rPr>
        <w:t>Comunicar a l</w:t>
      </w:r>
      <w:r w:rsidR="005B43C7">
        <w:rPr>
          <w:rFonts w:ascii="Arial" w:eastAsia="Times New Roman" w:hAnsi="Arial" w:cs="Arial"/>
          <w:sz w:val="24"/>
          <w:szCs w:val="24"/>
          <w:lang w:val="es-ES" w:eastAsia="es-ES"/>
        </w:rPr>
        <w:t>a  Administración actuante y al</w:t>
      </w:r>
      <w:r w:rsidRPr="000E18F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Delegado</w:t>
      </w:r>
      <w:r w:rsidR="00D56CB0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8336E0" w:rsidRDefault="00D56CB0" w:rsidP="00D56CB0">
      <w:pPr>
        <w:numPr>
          <w:ilvl w:val="0"/>
          <w:numId w:val="1"/>
        </w:numPr>
        <w:spacing w:after="0" w:line="360" w:lineRule="auto"/>
        <w:jc w:val="both"/>
      </w:pPr>
      <w:r w:rsidRPr="00D56CB0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>
        <w:t xml:space="preserve"> </w:t>
      </w:r>
    </w:p>
    <w:p w:rsidR="00D56CB0" w:rsidRDefault="00D56CB0" w:rsidP="00D56CB0">
      <w:pPr>
        <w:spacing w:after="0" w:line="360" w:lineRule="auto"/>
        <w:jc w:val="both"/>
      </w:pPr>
    </w:p>
    <w:p w:rsidR="00D56CB0" w:rsidRDefault="00D56CB0" w:rsidP="00D56CB0">
      <w:pPr>
        <w:spacing w:after="0" w:line="360" w:lineRule="auto"/>
        <w:jc w:val="both"/>
      </w:pPr>
    </w:p>
    <w:p w:rsidR="00D56CB0" w:rsidRPr="00D56CB0" w:rsidRDefault="00D56CB0" w:rsidP="00D56CB0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D56CB0" w:rsidRPr="00D56CB0" w:rsidSect="00D56CB0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DF381686"/>
    <w:lvl w:ilvl="0" w:tplc="5762BEC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39"/>
    <w:rsid w:val="0005507B"/>
    <w:rsid w:val="000878F9"/>
    <w:rsid w:val="00130655"/>
    <w:rsid w:val="005B43C7"/>
    <w:rsid w:val="005C1A39"/>
    <w:rsid w:val="00796627"/>
    <w:rsid w:val="008336E0"/>
    <w:rsid w:val="00A54809"/>
    <w:rsid w:val="00CD0C43"/>
    <w:rsid w:val="00D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2016-06-10T19:32:00Z</cp:lastPrinted>
  <dcterms:created xsi:type="dcterms:W3CDTF">2016-06-10T19:33:00Z</dcterms:created>
  <dcterms:modified xsi:type="dcterms:W3CDTF">2016-06-10T19:33:00Z</dcterms:modified>
</cp:coreProperties>
</file>