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8B4" w:rsidRPr="00786EEB" w:rsidRDefault="00D638B4" w:rsidP="00D638B4">
      <w:pPr>
        <w:tabs>
          <w:tab w:val="center" w:pos="4253"/>
        </w:tabs>
        <w:suppressAutoHyphens/>
        <w:jc w:val="right"/>
        <w:rPr>
          <w:b/>
          <w:sz w:val="28"/>
          <w:szCs w:val="28"/>
          <w:lang w:val="es-ES_tradnl"/>
        </w:rPr>
      </w:pPr>
      <w:r w:rsidRPr="00786EEB">
        <w:rPr>
          <w:b/>
          <w:sz w:val="28"/>
          <w:szCs w:val="28"/>
          <w:lang w:val="es-ES_tradnl"/>
        </w:rPr>
        <w:t xml:space="preserve">RES. </w:t>
      </w:r>
      <w:r>
        <w:rPr>
          <w:b/>
          <w:sz w:val="28"/>
          <w:szCs w:val="28"/>
          <w:lang w:val="es-ES_tradnl"/>
        </w:rPr>
        <w:t>1831</w:t>
      </w:r>
      <w:r w:rsidRPr="00786EEB">
        <w:rPr>
          <w:b/>
          <w:sz w:val="28"/>
          <w:szCs w:val="28"/>
          <w:lang w:val="es-ES_tradnl"/>
        </w:rPr>
        <w:t>/16</w:t>
      </w:r>
    </w:p>
    <w:p w:rsidR="00D638B4" w:rsidRDefault="00D638B4" w:rsidP="00D638B4">
      <w:pPr>
        <w:tabs>
          <w:tab w:val="center" w:pos="4253"/>
        </w:tabs>
        <w:suppressAutoHyphens/>
        <w:jc w:val="right"/>
        <w:rPr>
          <w:b/>
          <w:lang w:val="es-ES_tradnl"/>
        </w:rPr>
      </w:pPr>
    </w:p>
    <w:p w:rsidR="00D638B4" w:rsidRPr="00D638B4" w:rsidRDefault="00D638B4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D638B4">
        <w:rPr>
          <w:b/>
          <w:lang w:val="es-ES_tradnl"/>
        </w:rPr>
        <w:t>RESOLUCION ADOPTADA POR EL</w:t>
      </w:r>
    </w:p>
    <w:p w:rsidR="00D638B4" w:rsidRPr="00D638B4" w:rsidRDefault="00D638B4">
      <w:pPr>
        <w:tabs>
          <w:tab w:val="left" w:pos="-720"/>
        </w:tabs>
        <w:suppressAutoHyphens/>
        <w:jc w:val="center"/>
        <w:rPr>
          <w:b/>
          <w:lang w:val="es-ES_tradnl"/>
        </w:rPr>
      </w:pPr>
    </w:p>
    <w:p w:rsidR="00D638B4" w:rsidRPr="00D638B4" w:rsidRDefault="00D638B4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D638B4">
        <w:rPr>
          <w:b/>
          <w:lang w:val="es-ES_tradnl"/>
        </w:rPr>
        <w:t>TRIBUNAL DE CUENTAS</w:t>
      </w:r>
    </w:p>
    <w:p w:rsidR="00D638B4" w:rsidRPr="00D638B4" w:rsidRDefault="00D638B4">
      <w:pPr>
        <w:tabs>
          <w:tab w:val="left" w:pos="-720"/>
        </w:tabs>
        <w:suppressAutoHyphens/>
        <w:jc w:val="center"/>
        <w:rPr>
          <w:b/>
          <w:lang w:val="es-ES_tradnl"/>
        </w:rPr>
      </w:pPr>
      <w:bookmarkStart w:id="0" w:name="_GoBack"/>
      <w:bookmarkEnd w:id="0"/>
    </w:p>
    <w:p w:rsidR="00D638B4" w:rsidRPr="00D638B4" w:rsidRDefault="00D638B4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D638B4">
        <w:rPr>
          <w:b/>
          <w:lang w:val="es-ES_tradnl"/>
        </w:rPr>
        <w:t>EN SESION DE FECHA 1 DE JUNIO DE 2016</w:t>
      </w:r>
    </w:p>
    <w:p w:rsidR="00D638B4" w:rsidRPr="00D638B4" w:rsidRDefault="00D638B4">
      <w:pPr>
        <w:tabs>
          <w:tab w:val="center" w:pos="4253"/>
        </w:tabs>
        <w:suppressAutoHyphens/>
        <w:jc w:val="center"/>
        <w:rPr>
          <w:b/>
          <w:lang w:val="es-ES_tradnl"/>
        </w:rPr>
      </w:pPr>
    </w:p>
    <w:p w:rsidR="00D638B4" w:rsidRPr="009578E6" w:rsidRDefault="00D638B4">
      <w:pPr>
        <w:tabs>
          <w:tab w:val="center" w:pos="4253"/>
        </w:tabs>
        <w:suppressAutoHyphens/>
        <w:jc w:val="center"/>
        <w:rPr>
          <w:b/>
        </w:rPr>
      </w:pPr>
      <w:r w:rsidRPr="009578E6">
        <w:rPr>
          <w:b/>
        </w:rPr>
        <w:t xml:space="preserve">(E. E. Nº </w:t>
      </w:r>
      <w:r w:rsidRPr="00D638B4">
        <w:rPr>
          <w:b/>
        </w:rPr>
        <w:t>2016-17-1-000609</w:t>
      </w:r>
      <w:r w:rsidRPr="009578E6">
        <w:rPr>
          <w:b/>
        </w:rPr>
        <w:t xml:space="preserve">, Ent. N° </w:t>
      </w:r>
      <w:r w:rsidRPr="00D638B4">
        <w:rPr>
          <w:b/>
          <w:bCs/>
        </w:rPr>
        <w:t>2081/16</w:t>
      </w:r>
      <w:r w:rsidRPr="009578E6">
        <w:rPr>
          <w:b/>
        </w:rPr>
        <w:t>)</w:t>
      </w:r>
    </w:p>
    <w:p w:rsidR="00D638B4" w:rsidRPr="009578E6" w:rsidRDefault="00D638B4">
      <w:pPr>
        <w:tabs>
          <w:tab w:val="center" w:pos="4253"/>
        </w:tabs>
        <w:suppressAutoHyphens/>
        <w:jc w:val="center"/>
        <w:rPr>
          <w:b/>
        </w:rPr>
      </w:pPr>
    </w:p>
    <w:p w:rsidR="00D638B4" w:rsidRPr="009578E6" w:rsidRDefault="00D638B4">
      <w:pPr>
        <w:spacing w:line="360" w:lineRule="auto"/>
        <w:jc w:val="both"/>
        <w:rPr>
          <w:spacing w:val="-3"/>
        </w:rPr>
      </w:pPr>
    </w:p>
    <w:p w:rsidR="002C3F29" w:rsidRDefault="002C3F29" w:rsidP="00D638B4">
      <w:pPr>
        <w:spacing w:line="360" w:lineRule="auto"/>
        <w:ind w:firstLine="851"/>
        <w:jc w:val="both"/>
      </w:pPr>
      <w:r>
        <w:rPr>
          <w:b/>
          <w:bCs/>
        </w:rPr>
        <w:t xml:space="preserve">VISTO: </w:t>
      </w:r>
      <w:r>
        <w:t>nuevas actuaciones remitidas por la  Intendencia de Maldonado  relacionadas con la Licitación Pública Nº 7/15 para la contratación de un servicio  de arranque y carga de hasta 100.000 m3 de material granular en Canteras Municipales del Departamento.</w:t>
      </w:r>
    </w:p>
    <w:p w:rsidR="002C3F29" w:rsidRDefault="002C3F29" w:rsidP="00D638B4">
      <w:pPr>
        <w:spacing w:line="360" w:lineRule="auto"/>
        <w:ind w:firstLine="851"/>
        <w:jc w:val="both"/>
      </w:pPr>
      <w:r>
        <w:rPr>
          <w:b/>
          <w:bCs/>
        </w:rPr>
        <w:t xml:space="preserve">RESULTANDO: 1) </w:t>
      </w:r>
      <w:r>
        <w:t>que el  Intendente por Resolución  Nº 07112/2015  de 2/10/15 aprobó el Pliego Particular de Condiciones y Memoria descriptiva a regir el llamado a Licitación Pública referido;</w:t>
      </w:r>
    </w:p>
    <w:p w:rsidR="00D638B4" w:rsidRDefault="002C3F29" w:rsidP="00D638B4">
      <w:pPr>
        <w:spacing w:line="360" w:lineRule="auto"/>
        <w:ind w:firstLine="2835"/>
        <w:jc w:val="both"/>
      </w:pPr>
      <w:r>
        <w:rPr>
          <w:b/>
          <w:bCs/>
        </w:rPr>
        <w:t xml:space="preserve">2) </w:t>
      </w:r>
      <w:r>
        <w:t>que por Resolución Nº  037/16 de fecha 31/12/15 el Intendente adjudicó la licitación de referencia, ad referéndum de la inter</w:t>
      </w:r>
      <w:r w:rsidR="00DA5C4F">
        <w:t>vención del Tribunal de Cuentas</w:t>
      </w:r>
      <w:r>
        <w:t>,  a la Empresa RICHARD  GONZALEZ por un precio total de  $6</w:t>
      </w:r>
      <w:r w:rsidR="00DA5C4F">
        <w:t>:</w:t>
      </w:r>
      <w:r>
        <w:t>954.000 IVA incluido;</w:t>
      </w:r>
    </w:p>
    <w:p w:rsidR="00DA5C4F" w:rsidRDefault="002C3F29" w:rsidP="00DA5C4F">
      <w:pPr>
        <w:spacing w:line="360" w:lineRule="auto"/>
        <w:ind w:firstLine="2835"/>
        <w:jc w:val="both"/>
      </w:pPr>
      <w:r>
        <w:rPr>
          <w:b/>
          <w:bCs/>
        </w:rPr>
        <w:t xml:space="preserve">3) </w:t>
      </w:r>
      <w:r>
        <w:t xml:space="preserve">que en </w:t>
      </w:r>
      <w:r w:rsidR="00DA5C4F">
        <w:t>S</w:t>
      </w:r>
      <w:r>
        <w:t xml:space="preserve">esión de fecha  17/02/16 este Tribunal observó la contratación de referencia en razón de que la </w:t>
      </w:r>
      <w:r>
        <w:rPr>
          <w:lang w:val="es-MX"/>
        </w:rPr>
        <w:t xml:space="preserve">documentación exigida a los oferentes en el </w:t>
      </w:r>
      <w:r w:rsidR="00DA5C4F">
        <w:rPr>
          <w:lang w:val="es-MX"/>
        </w:rPr>
        <w:t>Artículo</w:t>
      </w:r>
      <w:r>
        <w:rPr>
          <w:lang w:val="es-MX"/>
        </w:rPr>
        <w:t xml:space="preserve"> 15 del  Pliego </w:t>
      </w:r>
      <w:r>
        <w:t>Particular de Condiciones</w:t>
      </w:r>
      <w:r>
        <w:rPr>
          <w:lang w:val="es-MX"/>
        </w:rPr>
        <w:t xml:space="preserve">  no se ajusta a lo dispuesto por el </w:t>
      </w:r>
      <w:r w:rsidR="00DA5C4F">
        <w:rPr>
          <w:lang w:val="es-MX"/>
        </w:rPr>
        <w:t>A</w:t>
      </w:r>
      <w:r>
        <w:rPr>
          <w:lang w:val="es-MX"/>
        </w:rPr>
        <w:t xml:space="preserve">rtículo 48  del TOCAF, y de que,  acuerdo a lo establecido por el </w:t>
      </w:r>
      <w:r w:rsidR="00DA5C4F">
        <w:rPr>
          <w:lang w:val="es-MX"/>
        </w:rPr>
        <w:t>A</w:t>
      </w:r>
      <w:r>
        <w:rPr>
          <w:lang w:val="es-MX"/>
        </w:rPr>
        <w:t>rt</w:t>
      </w:r>
      <w:r w:rsidR="00DA5C4F">
        <w:rPr>
          <w:lang w:val="es-MX"/>
        </w:rPr>
        <w:t>ículo</w:t>
      </w:r>
      <w:r>
        <w:rPr>
          <w:lang w:val="es-MX"/>
        </w:rPr>
        <w:t xml:space="preserve"> 15 del TOCAF no puede comprometerse un gasto, sin que exista crédito disponible;</w:t>
      </w:r>
    </w:p>
    <w:p w:rsidR="002C3F29" w:rsidRPr="00DA5C4F" w:rsidRDefault="002C3F29" w:rsidP="00DA5C4F">
      <w:pPr>
        <w:spacing w:line="360" w:lineRule="auto"/>
        <w:ind w:firstLine="2835"/>
        <w:jc w:val="both"/>
      </w:pPr>
      <w:r>
        <w:rPr>
          <w:b/>
          <w:bCs/>
          <w:lang w:val="es-MX"/>
        </w:rPr>
        <w:t xml:space="preserve">4) </w:t>
      </w:r>
      <w:r>
        <w:rPr>
          <w:lang w:val="es-MX"/>
        </w:rPr>
        <w:t>que por Resolución 02624/16 de fecha 13/04/16 el Intendente reitera el gasto expresando que en el Presupuesto 2016-2020 se encuentra prevista la obra, por lo que, una vez aprobado el mismo el rubro contará con disponibilidad;</w:t>
      </w:r>
    </w:p>
    <w:p w:rsidR="002C3F29" w:rsidRDefault="002C3F29" w:rsidP="00D638B4">
      <w:pPr>
        <w:spacing w:line="360" w:lineRule="auto"/>
        <w:ind w:firstLine="851"/>
        <w:jc w:val="both"/>
        <w:rPr>
          <w:lang w:val="es-MX"/>
        </w:rPr>
      </w:pPr>
      <w:r>
        <w:rPr>
          <w:b/>
          <w:bCs/>
        </w:rPr>
        <w:lastRenderedPageBreak/>
        <w:t xml:space="preserve">CONSIDERANDO: 1) </w:t>
      </w:r>
      <w:r>
        <w:rPr>
          <w:lang w:val="es-MX"/>
        </w:rPr>
        <w:t xml:space="preserve">que el Artículo 475 de la Ley 17.296 establece que los Ordenadores de gastos y pagos, al ejercer la facultad de insistencia o reiteración que les acuerda el Literal B) del Artículo 211 de la Constitución de la República, deben hacerlo en forma fundada,  expresando de manera detallada los motivos que justifican a su juicio seguir el curso del gasto del pago; </w:t>
      </w:r>
    </w:p>
    <w:p w:rsidR="002C3F29" w:rsidRDefault="002C3F29" w:rsidP="00D638B4">
      <w:pPr>
        <w:tabs>
          <w:tab w:val="left" w:pos="2835"/>
          <w:tab w:val="left" w:pos="3119"/>
        </w:tabs>
        <w:spacing w:line="360" w:lineRule="auto"/>
        <w:jc w:val="both"/>
        <w:rPr>
          <w:lang w:val="es-MX"/>
        </w:rPr>
      </w:pPr>
      <w:r>
        <w:rPr>
          <w:lang w:val="es-MX"/>
        </w:rPr>
        <w:t xml:space="preserve">                                           </w:t>
      </w:r>
      <w:r w:rsidR="00D638B4">
        <w:rPr>
          <w:lang w:val="es-MX"/>
        </w:rPr>
        <w:t xml:space="preserve">   </w:t>
      </w:r>
      <w:r w:rsidRPr="00D638B4">
        <w:rPr>
          <w:b/>
          <w:lang w:val="es-MX"/>
        </w:rPr>
        <w:t>2)</w:t>
      </w:r>
      <w:r>
        <w:rPr>
          <w:lang w:val="es-MX"/>
        </w:rPr>
        <w:t xml:space="preserve"> que se debe contar con disponibilidad presupuestal suficiente al momento del compromiso;</w:t>
      </w:r>
    </w:p>
    <w:p w:rsidR="002C3F29" w:rsidRDefault="002C3F29" w:rsidP="00D638B4">
      <w:pPr>
        <w:tabs>
          <w:tab w:val="left" w:pos="3119"/>
        </w:tabs>
        <w:spacing w:line="360" w:lineRule="auto"/>
        <w:jc w:val="both"/>
        <w:rPr>
          <w:lang w:val="es-MX"/>
        </w:rPr>
      </w:pPr>
      <w:r>
        <w:rPr>
          <w:lang w:val="es-MX"/>
        </w:rPr>
        <w:t xml:space="preserve">                                           </w:t>
      </w:r>
      <w:r w:rsidR="00D638B4">
        <w:rPr>
          <w:lang w:val="es-MX"/>
        </w:rPr>
        <w:t xml:space="preserve">   </w:t>
      </w:r>
      <w:r w:rsidRPr="00D638B4">
        <w:rPr>
          <w:b/>
          <w:lang w:val="es-MX"/>
        </w:rPr>
        <w:t>3)</w:t>
      </w:r>
      <w:r>
        <w:rPr>
          <w:lang w:val="es-MX"/>
        </w:rPr>
        <w:t xml:space="preserve"> que en definitiva, se mantienen incambiadas las circunstancias que ameritaron la observación  del gasto</w:t>
      </w:r>
    </w:p>
    <w:p w:rsidR="002C3F29" w:rsidRPr="00D638B4" w:rsidRDefault="002C3F29" w:rsidP="00D638B4">
      <w:pPr>
        <w:spacing w:line="360" w:lineRule="auto"/>
        <w:ind w:firstLine="851"/>
        <w:jc w:val="both"/>
        <w:rPr>
          <w:lang w:val="es-MX"/>
        </w:rPr>
      </w:pPr>
      <w:r>
        <w:rPr>
          <w:b/>
          <w:bCs/>
          <w:lang w:val="es-MX"/>
        </w:rPr>
        <w:t xml:space="preserve">ATENTO: </w:t>
      </w:r>
      <w:r>
        <w:rPr>
          <w:lang w:val="es-MX"/>
        </w:rPr>
        <w:t xml:space="preserve">a lo precedentemente expuesto y a lo establecido en el </w:t>
      </w:r>
      <w:r w:rsidR="00DA5C4F">
        <w:rPr>
          <w:lang w:val="es-MX"/>
        </w:rPr>
        <w:t>A</w:t>
      </w:r>
      <w:r>
        <w:rPr>
          <w:lang w:val="es-MX"/>
        </w:rPr>
        <w:t xml:space="preserve">rtículo 211 </w:t>
      </w:r>
      <w:r w:rsidR="00DA5C4F">
        <w:rPr>
          <w:lang w:val="es-MX"/>
        </w:rPr>
        <w:t>L</w:t>
      </w:r>
      <w:r>
        <w:rPr>
          <w:lang w:val="es-MX"/>
        </w:rPr>
        <w:t xml:space="preserve">iteral B) de la Constitución de la República; </w:t>
      </w:r>
    </w:p>
    <w:p w:rsidR="002C3F29" w:rsidRDefault="002C3F29" w:rsidP="00D638B4">
      <w:pPr>
        <w:spacing w:line="360" w:lineRule="auto"/>
        <w:jc w:val="center"/>
        <w:rPr>
          <w:b/>
          <w:bCs/>
        </w:rPr>
      </w:pPr>
      <w:r>
        <w:rPr>
          <w:b/>
          <w:bCs/>
        </w:rPr>
        <w:t>EL TRIBUNAL ACUERDA</w:t>
      </w:r>
    </w:p>
    <w:p w:rsidR="002C3F29" w:rsidRDefault="002C3F29" w:rsidP="00D638B4">
      <w:pPr>
        <w:numPr>
          <w:ilvl w:val="0"/>
          <w:numId w:val="1"/>
        </w:numPr>
        <w:tabs>
          <w:tab w:val="clear" w:pos="1199"/>
          <w:tab w:val="num" w:pos="284"/>
        </w:tabs>
        <w:spacing w:line="360" w:lineRule="auto"/>
        <w:ind w:left="0" w:firstLine="0"/>
        <w:jc w:val="both"/>
        <w:rPr>
          <w:lang w:val="es-MX"/>
        </w:rPr>
      </w:pPr>
      <w:r>
        <w:rPr>
          <w:lang w:val="es-MX"/>
        </w:rPr>
        <w:t>Mantener la observación del  gasto;</w:t>
      </w:r>
    </w:p>
    <w:p w:rsidR="002C3F29" w:rsidRDefault="002C3F29" w:rsidP="00D638B4">
      <w:pPr>
        <w:numPr>
          <w:ilvl w:val="0"/>
          <w:numId w:val="1"/>
        </w:numPr>
        <w:tabs>
          <w:tab w:val="clear" w:pos="1199"/>
          <w:tab w:val="num" w:pos="284"/>
        </w:tabs>
        <w:spacing w:line="360" w:lineRule="auto"/>
        <w:ind w:left="0" w:firstLine="0"/>
        <w:jc w:val="both"/>
        <w:rPr>
          <w:lang w:val="es-MX"/>
        </w:rPr>
      </w:pPr>
      <w:r>
        <w:rPr>
          <w:lang w:val="es-MX"/>
        </w:rPr>
        <w:t>Dar cuenta a la Junta Departamental de Maldonado;</w:t>
      </w:r>
    </w:p>
    <w:p w:rsidR="002C3F29" w:rsidRDefault="00D810C3" w:rsidP="00D638B4">
      <w:pPr>
        <w:numPr>
          <w:ilvl w:val="0"/>
          <w:numId w:val="1"/>
        </w:numPr>
        <w:tabs>
          <w:tab w:val="clear" w:pos="1199"/>
          <w:tab w:val="num" w:pos="284"/>
        </w:tabs>
        <w:spacing w:line="360" w:lineRule="auto"/>
        <w:ind w:left="0" w:firstLine="0"/>
        <w:jc w:val="both"/>
      </w:pPr>
      <w:r>
        <w:t>Oficiar</w:t>
      </w:r>
      <w:r w:rsidR="00D638B4">
        <w:t>.</w:t>
      </w:r>
    </w:p>
    <w:p w:rsidR="002C3F29" w:rsidRDefault="002C3F29" w:rsidP="00D638B4">
      <w:pPr>
        <w:spacing w:line="360" w:lineRule="auto"/>
        <w:jc w:val="both"/>
      </w:pPr>
    </w:p>
    <w:p w:rsidR="002C3F29" w:rsidRDefault="002C3F29" w:rsidP="00D638B4">
      <w:pPr>
        <w:spacing w:line="360" w:lineRule="auto"/>
        <w:jc w:val="both"/>
        <w:rPr>
          <w:b/>
          <w:bCs/>
          <w:sz w:val="18"/>
          <w:szCs w:val="18"/>
        </w:rPr>
      </w:pPr>
    </w:p>
    <w:p w:rsidR="002C3F29" w:rsidRPr="00DA5C4F" w:rsidRDefault="00DA5C4F" w:rsidP="00D638B4">
      <w:pPr>
        <w:spacing w:line="360" w:lineRule="auto"/>
        <w:jc w:val="both"/>
        <w:rPr>
          <w:bCs/>
        </w:rPr>
      </w:pPr>
      <w:proofErr w:type="spellStart"/>
      <w:proofErr w:type="gramStart"/>
      <w:r w:rsidRPr="00DA5C4F">
        <w:rPr>
          <w:bCs/>
        </w:rPr>
        <w:t>bf</w:t>
      </w:r>
      <w:proofErr w:type="spellEnd"/>
      <w:proofErr w:type="gramEnd"/>
    </w:p>
    <w:p w:rsidR="002C3F29" w:rsidRDefault="002C3F29" w:rsidP="00D638B4">
      <w:pPr>
        <w:spacing w:line="360" w:lineRule="auto"/>
        <w:jc w:val="both"/>
        <w:rPr>
          <w:b/>
          <w:bCs/>
          <w:sz w:val="18"/>
          <w:szCs w:val="18"/>
        </w:rPr>
      </w:pPr>
    </w:p>
    <w:p w:rsidR="002C3F29" w:rsidRDefault="002C3F29" w:rsidP="00D638B4">
      <w:pPr>
        <w:spacing w:line="360" w:lineRule="auto"/>
        <w:jc w:val="both"/>
        <w:rPr>
          <w:b/>
          <w:bCs/>
          <w:sz w:val="18"/>
          <w:szCs w:val="18"/>
        </w:rPr>
      </w:pPr>
    </w:p>
    <w:p w:rsidR="002C3F29" w:rsidRDefault="002C3F29" w:rsidP="00D638B4">
      <w:pPr>
        <w:spacing w:line="360" w:lineRule="auto"/>
        <w:jc w:val="both"/>
        <w:rPr>
          <w:b/>
          <w:bCs/>
          <w:sz w:val="18"/>
          <w:szCs w:val="18"/>
        </w:rPr>
      </w:pPr>
    </w:p>
    <w:p w:rsidR="002C3F29" w:rsidRDefault="002C3F29" w:rsidP="00D638B4">
      <w:pPr>
        <w:spacing w:line="360" w:lineRule="auto"/>
        <w:jc w:val="both"/>
        <w:rPr>
          <w:b/>
          <w:bCs/>
          <w:sz w:val="18"/>
          <w:szCs w:val="18"/>
        </w:rPr>
      </w:pPr>
    </w:p>
    <w:p w:rsidR="002C3F29" w:rsidRDefault="002C3F29" w:rsidP="00D638B4">
      <w:pPr>
        <w:spacing w:line="360" w:lineRule="auto"/>
        <w:jc w:val="both"/>
        <w:rPr>
          <w:b/>
          <w:bCs/>
          <w:sz w:val="18"/>
          <w:szCs w:val="18"/>
        </w:rPr>
      </w:pPr>
    </w:p>
    <w:p w:rsidR="002C3F29" w:rsidRDefault="002C3F29" w:rsidP="00D638B4">
      <w:pPr>
        <w:spacing w:line="360" w:lineRule="auto"/>
        <w:jc w:val="both"/>
        <w:rPr>
          <w:b/>
          <w:bCs/>
          <w:sz w:val="18"/>
          <w:szCs w:val="18"/>
        </w:rPr>
      </w:pPr>
    </w:p>
    <w:p w:rsidR="002C3F29" w:rsidRDefault="002C3F29" w:rsidP="00D638B4">
      <w:pPr>
        <w:spacing w:line="360" w:lineRule="auto"/>
        <w:jc w:val="both"/>
        <w:rPr>
          <w:b/>
          <w:bCs/>
          <w:sz w:val="18"/>
          <w:szCs w:val="18"/>
        </w:rPr>
      </w:pPr>
    </w:p>
    <w:p w:rsidR="002C3F29" w:rsidRDefault="002C3F29" w:rsidP="00D638B4">
      <w:pPr>
        <w:spacing w:line="360" w:lineRule="auto"/>
        <w:jc w:val="both"/>
        <w:rPr>
          <w:b/>
          <w:bCs/>
          <w:sz w:val="18"/>
          <w:szCs w:val="18"/>
        </w:rPr>
      </w:pPr>
    </w:p>
    <w:p w:rsidR="002C3F29" w:rsidRDefault="002C3F29" w:rsidP="00D638B4">
      <w:pPr>
        <w:spacing w:line="360" w:lineRule="auto"/>
        <w:jc w:val="both"/>
        <w:rPr>
          <w:b/>
          <w:bCs/>
          <w:sz w:val="18"/>
          <w:szCs w:val="18"/>
        </w:rPr>
      </w:pPr>
    </w:p>
    <w:p w:rsidR="002C3F29" w:rsidRDefault="002C3F29" w:rsidP="00D638B4">
      <w:pPr>
        <w:spacing w:line="360" w:lineRule="auto"/>
        <w:jc w:val="both"/>
        <w:rPr>
          <w:b/>
          <w:bCs/>
          <w:sz w:val="18"/>
          <w:szCs w:val="18"/>
        </w:rPr>
      </w:pPr>
    </w:p>
    <w:p w:rsidR="002C3F29" w:rsidRDefault="002C3F29" w:rsidP="00D638B4">
      <w:pPr>
        <w:spacing w:line="360" w:lineRule="auto"/>
        <w:jc w:val="both"/>
        <w:rPr>
          <w:b/>
          <w:bCs/>
          <w:sz w:val="18"/>
          <w:szCs w:val="18"/>
        </w:rPr>
      </w:pPr>
    </w:p>
    <w:p w:rsidR="002C3F29" w:rsidRDefault="002C3F29" w:rsidP="00D638B4">
      <w:pPr>
        <w:spacing w:line="360" w:lineRule="auto"/>
        <w:jc w:val="both"/>
        <w:rPr>
          <w:b/>
          <w:bCs/>
          <w:sz w:val="18"/>
          <w:szCs w:val="18"/>
        </w:rPr>
      </w:pPr>
    </w:p>
    <w:p w:rsidR="002C3F29" w:rsidRDefault="002C3F29" w:rsidP="00D638B4">
      <w:pPr>
        <w:spacing w:line="360" w:lineRule="auto"/>
        <w:jc w:val="both"/>
        <w:rPr>
          <w:b/>
          <w:bCs/>
          <w:sz w:val="18"/>
          <w:szCs w:val="18"/>
        </w:rPr>
      </w:pPr>
    </w:p>
    <w:sectPr w:rsidR="002C3F29" w:rsidSect="009578E6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E567C"/>
    <w:multiLevelType w:val="hybridMultilevel"/>
    <w:tmpl w:val="CABE99B6"/>
    <w:lvl w:ilvl="0" w:tplc="721C1406">
      <w:start w:val="1"/>
      <w:numFmt w:val="decimal"/>
      <w:lvlText w:val="%1)"/>
      <w:lvlJc w:val="left"/>
      <w:pPr>
        <w:tabs>
          <w:tab w:val="num" w:pos="1199"/>
        </w:tabs>
        <w:ind w:left="1199" w:hanging="360"/>
      </w:pPr>
      <w:rPr>
        <w:rFonts w:ascii="Arial" w:hAnsi="Arial" w:cs="Arial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919"/>
        </w:tabs>
        <w:ind w:left="1919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639"/>
        </w:tabs>
        <w:ind w:left="2639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359"/>
        </w:tabs>
        <w:ind w:left="3359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4079"/>
        </w:tabs>
        <w:ind w:left="4079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799"/>
        </w:tabs>
        <w:ind w:left="4799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519"/>
        </w:tabs>
        <w:ind w:left="5519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239"/>
        </w:tabs>
        <w:ind w:left="6239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959"/>
        </w:tabs>
        <w:ind w:left="6959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F29"/>
    <w:rsid w:val="000F6111"/>
    <w:rsid w:val="002C3F29"/>
    <w:rsid w:val="006F07DB"/>
    <w:rsid w:val="009578E6"/>
    <w:rsid w:val="00D638B4"/>
    <w:rsid w:val="00D810C3"/>
    <w:rsid w:val="00DA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line="360" w:lineRule="auto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3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line="360" w:lineRule="auto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3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8D4AF-DDC6-47A1-93B5-39CF8ED91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368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2016-17-1-000609</vt:lpstr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2016-17-1-000609</dc:title>
  <dc:creator>Tribunal1</dc:creator>
  <cp:lastModifiedBy>Tribunal1</cp:lastModifiedBy>
  <cp:revision>3</cp:revision>
  <cp:lastPrinted>2016-06-06T17:37:00Z</cp:lastPrinted>
  <dcterms:created xsi:type="dcterms:W3CDTF">2016-06-06T13:34:00Z</dcterms:created>
  <dcterms:modified xsi:type="dcterms:W3CDTF">2016-06-06T17:38:00Z</dcterms:modified>
</cp:coreProperties>
</file>