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CE" w:rsidRPr="000F4C96" w:rsidRDefault="005150CE" w:rsidP="005150CE">
      <w:pPr>
        <w:tabs>
          <w:tab w:val="center" w:pos="4253"/>
        </w:tabs>
        <w:suppressAutoHyphens/>
        <w:jc w:val="right"/>
        <w:rPr>
          <w:rFonts w:ascii="Helvetica" w:hAnsi="Helvetica"/>
          <w:b/>
          <w:sz w:val="28"/>
          <w:szCs w:val="28"/>
          <w:lang w:val="es-ES_tradnl"/>
        </w:rPr>
      </w:pPr>
      <w:bookmarkStart w:id="0" w:name="_GoBack"/>
      <w:bookmarkEnd w:id="0"/>
      <w:r>
        <w:rPr>
          <w:rFonts w:ascii="Helvetica" w:hAnsi="Helvetica"/>
          <w:b/>
          <w:sz w:val="28"/>
          <w:szCs w:val="28"/>
          <w:lang w:val="es-ES_tradnl"/>
        </w:rPr>
        <w:t>RES</w:t>
      </w:r>
      <w:r w:rsidRPr="005144B5">
        <w:rPr>
          <w:rFonts w:ascii="Helvetica" w:hAnsi="Helvetica"/>
          <w:b/>
          <w:sz w:val="28"/>
          <w:szCs w:val="28"/>
          <w:lang w:val="es-ES_tradnl"/>
        </w:rPr>
        <w:t>. Nº</w:t>
      </w:r>
      <w:r w:rsidR="00D81DD6">
        <w:rPr>
          <w:rFonts w:ascii="Helvetica" w:hAnsi="Helvetica"/>
          <w:b/>
          <w:sz w:val="28"/>
          <w:szCs w:val="28"/>
          <w:lang w:val="es-ES_tradnl"/>
        </w:rPr>
        <w:t xml:space="preserve"> </w:t>
      </w:r>
      <w:r>
        <w:rPr>
          <w:rFonts w:ascii="Helvetica" w:hAnsi="Helvetica"/>
          <w:b/>
          <w:sz w:val="28"/>
          <w:szCs w:val="28"/>
          <w:lang w:val="es-ES_tradnl"/>
        </w:rPr>
        <w:t>1405</w:t>
      </w:r>
      <w:r w:rsidRPr="000F4C96">
        <w:rPr>
          <w:rFonts w:ascii="Helvetica" w:hAnsi="Helvetica"/>
          <w:b/>
          <w:sz w:val="28"/>
          <w:szCs w:val="28"/>
          <w:lang w:val="es-ES_tradnl"/>
        </w:rPr>
        <w:t>/16</w:t>
      </w:r>
    </w:p>
    <w:p w:rsidR="005150CE" w:rsidRDefault="005150CE" w:rsidP="005150CE">
      <w:pPr>
        <w:tabs>
          <w:tab w:val="center" w:pos="4253"/>
        </w:tabs>
        <w:suppressAutoHyphens/>
        <w:jc w:val="center"/>
        <w:rPr>
          <w:rFonts w:ascii="Helvetica" w:hAnsi="Helvetica"/>
          <w:b/>
          <w:lang w:val="es-ES_tradnl"/>
        </w:rPr>
      </w:pPr>
    </w:p>
    <w:p w:rsidR="005150CE" w:rsidRDefault="005150CE" w:rsidP="005150CE">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5150CE" w:rsidRDefault="005150CE" w:rsidP="005150CE">
      <w:pPr>
        <w:tabs>
          <w:tab w:val="left" w:pos="-720"/>
        </w:tabs>
        <w:suppressAutoHyphens/>
        <w:jc w:val="center"/>
        <w:rPr>
          <w:rFonts w:ascii="Helvetica" w:hAnsi="Helvetica"/>
          <w:b/>
          <w:lang w:val="es-ES_tradnl"/>
        </w:rPr>
      </w:pPr>
    </w:p>
    <w:p w:rsidR="005150CE" w:rsidRDefault="005150CE" w:rsidP="005150CE">
      <w:pPr>
        <w:tabs>
          <w:tab w:val="center" w:pos="4253"/>
        </w:tabs>
        <w:suppressAutoHyphens/>
        <w:jc w:val="center"/>
        <w:rPr>
          <w:rFonts w:ascii="Helvetica" w:hAnsi="Helvetica"/>
          <w:b/>
          <w:lang w:val="es-ES_tradnl"/>
        </w:rPr>
      </w:pPr>
      <w:r>
        <w:rPr>
          <w:rFonts w:ascii="Helvetica" w:hAnsi="Helvetica"/>
          <w:b/>
          <w:lang w:val="es-ES_tradnl"/>
        </w:rPr>
        <w:t>TRIBUNAL DE CUENTAS</w:t>
      </w:r>
    </w:p>
    <w:p w:rsidR="005150CE" w:rsidRDefault="005150CE" w:rsidP="005150CE">
      <w:pPr>
        <w:tabs>
          <w:tab w:val="left" w:pos="-720"/>
        </w:tabs>
        <w:suppressAutoHyphens/>
        <w:jc w:val="center"/>
        <w:rPr>
          <w:rFonts w:ascii="Helvetica" w:hAnsi="Helvetica"/>
          <w:b/>
          <w:lang w:val="es-ES_tradnl"/>
        </w:rPr>
      </w:pPr>
    </w:p>
    <w:p w:rsidR="005150CE" w:rsidRDefault="005150CE" w:rsidP="005150CE">
      <w:pPr>
        <w:tabs>
          <w:tab w:val="center" w:pos="4253"/>
        </w:tabs>
        <w:suppressAutoHyphens/>
        <w:jc w:val="center"/>
        <w:rPr>
          <w:rFonts w:ascii="Helvetica" w:hAnsi="Helvetica"/>
          <w:b/>
          <w:lang w:val="es-ES_tradnl"/>
        </w:rPr>
      </w:pPr>
      <w:r>
        <w:rPr>
          <w:rFonts w:ascii="Helvetica" w:hAnsi="Helvetica"/>
          <w:b/>
          <w:lang w:val="es-ES_tradnl"/>
        </w:rPr>
        <w:t>EN SESION DE FECHA 27 DE ABRIL DE 2016</w:t>
      </w:r>
    </w:p>
    <w:p w:rsidR="005150CE" w:rsidRDefault="005150CE" w:rsidP="005150CE">
      <w:pPr>
        <w:tabs>
          <w:tab w:val="center" w:pos="4253"/>
        </w:tabs>
        <w:suppressAutoHyphens/>
        <w:jc w:val="center"/>
        <w:rPr>
          <w:rFonts w:ascii="Helvetica" w:hAnsi="Helvetica"/>
          <w:b/>
          <w:lang w:val="es-ES_tradnl"/>
        </w:rPr>
      </w:pPr>
    </w:p>
    <w:p w:rsidR="005150CE" w:rsidRPr="000F4C96" w:rsidRDefault="005150CE" w:rsidP="005150CE">
      <w:pPr>
        <w:tabs>
          <w:tab w:val="center" w:pos="4253"/>
        </w:tabs>
        <w:suppressAutoHyphens/>
        <w:jc w:val="center"/>
        <w:rPr>
          <w:rFonts w:ascii="Helvetica" w:hAnsi="Helvetica"/>
          <w:b/>
        </w:rPr>
      </w:pPr>
      <w:r w:rsidRPr="000F4C96">
        <w:rPr>
          <w:rFonts w:ascii="Helvetica" w:hAnsi="Helvetica"/>
          <w:b/>
        </w:rPr>
        <w:t>(E. E. Nº 201</w:t>
      </w:r>
      <w:r>
        <w:rPr>
          <w:rFonts w:ascii="Helvetica" w:hAnsi="Helvetica"/>
          <w:b/>
        </w:rPr>
        <w:t xml:space="preserve">4-17-1-0008171, </w:t>
      </w:r>
      <w:proofErr w:type="spellStart"/>
      <w:r>
        <w:rPr>
          <w:rFonts w:ascii="Helvetica" w:hAnsi="Helvetica"/>
          <w:b/>
        </w:rPr>
        <w:t>Ent</w:t>
      </w:r>
      <w:proofErr w:type="spellEnd"/>
      <w:r>
        <w:rPr>
          <w:rFonts w:ascii="Helvetica" w:hAnsi="Helvetica"/>
          <w:b/>
        </w:rPr>
        <w:t>. Nº</w:t>
      </w:r>
      <w:r w:rsidR="00D81DD6">
        <w:rPr>
          <w:rFonts w:ascii="Helvetica" w:hAnsi="Helvetica"/>
          <w:b/>
        </w:rPr>
        <w:t xml:space="preserve"> </w:t>
      </w:r>
      <w:r>
        <w:rPr>
          <w:rFonts w:ascii="Helvetica" w:hAnsi="Helvetica"/>
          <w:b/>
        </w:rPr>
        <w:t>1525/2016</w:t>
      </w:r>
      <w:r w:rsidRPr="000F4C96">
        <w:rPr>
          <w:rFonts w:ascii="Helvetica" w:hAnsi="Helvetica"/>
          <w:b/>
        </w:rPr>
        <w:t>)</w:t>
      </w:r>
    </w:p>
    <w:p w:rsidR="00BC39C2" w:rsidRDefault="00BC39C2">
      <w:pPr>
        <w:spacing w:line="360" w:lineRule="auto"/>
        <w:jc w:val="both"/>
        <w:rPr>
          <w:rFonts w:ascii="Arial" w:hAnsi="Arial" w:cs="Arial"/>
          <w:b/>
          <w:bCs/>
          <w:lang w:val="es-MX"/>
        </w:rPr>
      </w:pPr>
    </w:p>
    <w:p w:rsidR="00BC39C2" w:rsidRDefault="00BC39C2" w:rsidP="00D81DD6">
      <w:pPr>
        <w:tabs>
          <w:tab w:val="left" w:pos="851"/>
        </w:tabs>
        <w:spacing w:line="360" w:lineRule="auto"/>
        <w:ind w:firstLine="851"/>
        <w:jc w:val="both"/>
        <w:rPr>
          <w:rFonts w:ascii="Arial" w:hAnsi="Arial" w:cs="Arial"/>
          <w:lang w:val="es-MX"/>
        </w:rPr>
      </w:pPr>
      <w:r>
        <w:rPr>
          <w:rFonts w:ascii="Arial" w:hAnsi="Arial" w:cs="Arial"/>
          <w:b/>
          <w:bCs/>
          <w:lang w:val="es-MX"/>
        </w:rPr>
        <w:t>VISTO:</w:t>
      </w:r>
      <w:r>
        <w:rPr>
          <w:rFonts w:ascii="Arial" w:hAnsi="Arial" w:cs="Arial"/>
          <w:lang w:val="es-MX"/>
        </w:rPr>
        <w:t xml:space="preserve"> las nuevas actuaciones remitidas por la Administración de Ferrocarriles del Estado relacionadas con la prórr</w:t>
      </w:r>
      <w:r w:rsidR="005150CE">
        <w:rPr>
          <w:rFonts w:ascii="Arial" w:hAnsi="Arial" w:cs="Arial"/>
          <w:lang w:val="es-MX"/>
        </w:rPr>
        <w:t>oga de la Licitación Pública N°</w:t>
      </w:r>
      <w:r>
        <w:rPr>
          <w:rFonts w:ascii="Arial" w:hAnsi="Arial" w:cs="Arial"/>
          <w:lang w:val="es-MX"/>
        </w:rPr>
        <w:t>15/14, convocada para la contratación de un servicio de vigilancia para Montevideo e Interior;</w:t>
      </w:r>
    </w:p>
    <w:p w:rsidR="00BC39C2" w:rsidRDefault="00BC39C2" w:rsidP="00D81DD6">
      <w:pPr>
        <w:tabs>
          <w:tab w:val="left" w:pos="851"/>
          <w:tab w:val="left" w:pos="2835"/>
        </w:tabs>
        <w:spacing w:line="360" w:lineRule="auto"/>
        <w:ind w:firstLine="851"/>
        <w:jc w:val="both"/>
        <w:rPr>
          <w:rFonts w:ascii="Arial" w:hAnsi="Arial" w:cs="Arial"/>
          <w:lang w:val="es-MX"/>
        </w:rPr>
      </w:pPr>
      <w:r>
        <w:rPr>
          <w:rFonts w:ascii="Arial" w:hAnsi="Arial" w:cs="Arial"/>
          <w:b/>
          <w:bCs/>
          <w:lang w:val="es-MX"/>
        </w:rPr>
        <w:t>RESULTANDO:</w:t>
      </w:r>
      <w:r>
        <w:rPr>
          <w:rFonts w:ascii="Arial" w:hAnsi="Arial" w:cs="Arial"/>
          <w:b/>
          <w:bCs/>
          <w:lang w:val="es-MX"/>
        </w:rPr>
        <w:tab/>
        <w:t xml:space="preserve">1) </w:t>
      </w:r>
      <w:r>
        <w:rPr>
          <w:rFonts w:ascii="Arial" w:hAnsi="Arial" w:cs="Arial"/>
        </w:rPr>
        <w:t xml:space="preserve">que por Resolución </w:t>
      </w:r>
      <w:r w:rsidR="00B8626A">
        <w:rPr>
          <w:rFonts w:ascii="Arial" w:hAnsi="Arial" w:cs="Arial"/>
          <w:lang w:val="es-MX"/>
        </w:rPr>
        <w:t xml:space="preserve">Nº 461/14 Acta N° </w:t>
      </w:r>
      <w:r>
        <w:rPr>
          <w:rFonts w:ascii="Arial" w:hAnsi="Arial" w:cs="Arial"/>
          <w:lang w:val="es-MX"/>
        </w:rPr>
        <w:t>190 de fecha 22.10.14, el Directorio</w:t>
      </w:r>
      <w:r w:rsidR="005150CE">
        <w:rPr>
          <w:rFonts w:ascii="Arial" w:hAnsi="Arial" w:cs="Arial"/>
          <w:lang w:val="es-MX"/>
        </w:rPr>
        <w:t xml:space="preserve"> dispuso la adjudicación de la L</w:t>
      </w:r>
      <w:r>
        <w:rPr>
          <w:rFonts w:ascii="Arial" w:hAnsi="Arial" w:cs="Arial"/>
          <w:lang w:val="es-MX"/>
        </w:rPr>
        <w:t xml:space="preserve">icitación a la </w:t>
      </w:r>
      <w:r w:rsidR="00B8626A">
        <w:rPr>
          <w:rFonts w:ascii="Arial" w:hAnsi="Arial" w:cs="Arial"/>
          <w:lang w:val="es-MX"/>
        </w:rPr>
        <w:t>F</w:t>
      </w:r>
      <w:r>
        <w:rPr>
          <w:rFonts w:ascii="Arial" w:hAnsi="Arial" w:cs="Arial"/>
          <w:lang w:val="es-MX"/>
        </w:rPr>
        <w:t xml:space="preserve">irma </w:t>
      </w:r>
      <w:proofErr w:type="spellStart"/>
      <w:r>
        <w:rPr>
          <w:rFonts w:ascii="Arial" w:hAnsi="Arial" w:cs="Arial"/>
          <w:lang w:val="es-MX"/>
        </w:rPr>
        <w:t>Segor</w:t>
      </w:r>
      <w:proofErr w:type="spellEnd"/>
      <w:r>
        <w:rPr>
          <w:rFonts w:ascii="Arial" w:hAnsi="Arial" w:cs="Arial"/>
          <w:lang w:val="es-MX"/>
        </w:rPr>
        <w:t xml:space="preserve"> S.A</w:t>
      </w:r>
      <w:r w:rsidR="00B8626A">
        <w:rPr>
          <w:rFonts w:ascii="Arial" w:hAnsi="Arial" w:cs="Arial"/>
          <w:lang w:val="es-MX"/>
        </w:rPr>
        <w:t>.</w:t>
      </w:r>
      <w:r>
        <w:rPr>
          <w:rFonts w:ascii="Arial" w:hAnsi="Arial" w:cs="Arial"/>
          <w:lang w:val="es-MX"/>
        </w:rPr>
        <w:t xml:space="preserve">, por un monto de $33:424.980, más $7:353.496 de IVA, lo que suma un total de $40:778.476, por el período comprendido entre el 01.11.14 y </w:t>
      </w:r>
      <w:proofErr w:type="gramStart"/>
      <w:r>
        <w:rPr>
          <w:rFonts w:ascii="Arial" w:hAnsi="Arial" w:cs="Arial"/>
          <w:lang w:val="es-MX"/>
        </w:rPr>
        <w:t>el</w:t>
      </w:r>
      <w:proofErr w:type="gramEnd"/>
      <w:r>
        <w:rPr>
          <w:rFonts w:ascii="Arial" w:hAnsi="Arial" w:cs="Arial"/>
          <w:lang w:val="es-MX"/>
        </w:rPr>
        <w:t xml:space="preserve"> 31.10.15;</w:t>
      </w:r>
    </w:p>
    <w:p w:rsidR="00BC39C2" w:rsidRDefault="00BC39C2" w:rsidP="00F235BB">
      <w:pPr>
        <w:tabs>
          <w:tab w:val="left" w:pos="2835"/>
        </w:tabs>
        <w:spacing w:line="360" w:lineRule="auto"/>
        <w:ind w:firstLine="2835"/>
        <w:jc w:val="both"/>
        <w:rPr>
          <w:rFonts w:ascii="Arial" w:hAnsi="Arial" w:cs="Arial"/>
          <w:lang w:val="es-MX"/>
        </w:rPr>
      </w:pPr>
      <w:r>
        <w:rPr>
          <w:rFonts w:ascii="Arial" w:hAnsi="Arial" w:cs="Arial"/>
          <w:b/>
          <w:bCs/>
          <w:lang w:val="es-MX"/>
        </w:rPr>
        <w:t xml:space="preserve">2) </w:t>
      </w:r>
      <w:r>
        <w:rPr>
          <w:rFonts w:ascii="Arial" w:hAnsi="Arial" w:cs="Arial"/>
        </w:rPr>
        <w:t xml:space="preserve">que en sesión de fecha 19.11.14, este Tribunal observó el gasto en razón de que </w:t>
      </w:r>
      <w:r w:rsidR="00297C27">
        <w:rPr>
          <w:rFonts w:ascii="Arial" w:hAnsi="Arial" w:cs="Arial"/>
          <w:lang w:val="es-MX"/>
        </w:rPr>
        <w:t>el A</w:t>
      </w:r>
      <w:r>
        <w:rPr>
          <w:rFonts w:ascii="Arial" w:hAnsi="Arial" w:cs="Arial"/>
          <w:lang w:val="es-MX"/>
        </w:rPr>
        <w:t xml:space="preserve">rtículo 10 del Pliego de Condiciones Particulares  exigió la presentación de documentación que,  conforme con lo dispuesto en el </w:t>
      </w:r>
      <w:r w:rsidR="00B8626A">
        <w:rPr>
          <w:rFonts w:ascii="Arial" w:hAnsi="Arial" w:cs="Arial"/>
          <w:lang w:val="es-MX"/>
        </w:rPr>
        <w:t>A</w:t>
      </w:r>
      <w:r>
        <w:rPr>
          <w:rFonts w:ascii="Arial" w:hAnsi="Arial" w:cs="Arial"/>
          <w:lang w:val="es-MX"/>
        </w:rPr>
        <w:t>rtículo 48 del TOCAF, únicamente corresponde exigir al que resultare adjudicatario, contra</w:t>
      </w:r>
      <w:r w:rsidR="00297C27">
        <w:rPr>
          <w:rFonts w:ascii="Arial" w:hAnsi="Arial" w:cs="Arial"/>
          <w:lang w:val="es-MX"/>
        </w:rPr>
        <w:t>viniéndose lo dispuesto en los A</w:t>
      </w:r>
      <w:r>
        <w:rPr>
          <w:rFonts w:ascii="Arial" w:hAnsi="Arial" w:cs="Arial"/>
          <w:lang w:val="es-MX"/>
        </w:rPr>
        <w:t>rtículos 9 y 14.2 del Pliego de Bases y Condiciones Generales para los contratos de suministros y Servicios No Personales, que establecen que el Pliego de Condiciones Particulares no podrá exigir documentación a la que se pueda acceder a través de</w:t>
      </w:r>
      <w:r w:rsidR="00B8626A">
        <w:rPr>
          <w:rFonts w:ascii="Arial" w:hAnsi="Arial" w:cs="Arial"/>
          <w:lang w:val="es-MX"/>
        </w:rPr>
        <w:t>l</w:t>
      </w:r>
      <w:r>
        <w:rPr>
          <w:rFonts w:ascii="Arial" w:hAnsi="Arial" w:cs="Arial"/>
          <w:lang w:val="es-MX"/>
        </w:rPr>
        <w:t xml:space="preserve"> RUPE o cualquier sistema de información de libre acceso, comprometiéndose un gasto sin contar </w:t>
      </w:r>
      <w:proofErr w:type="gramStart"/>
      <w:r>
        <w:rPr>
          <w:rFonts w:ascii="Arial" w:hAnsi="Arial" w:cs="Arial"/>
          <w:lang w:val="es-MX"/>
        </w:rPr>
        <w:t>con</w:t>
      </w:r>
      <w:proofErr w:type="gramEnd"/>
      <w:r>
        <w:rPr>
          <w:rFonts w:ascii="Arial" w:hAnsi="Arial" w:cs="Arial"/>
          <w:lang w:val="es-MX"/>
        </w:rPr>
        <w:t xml:space="preserve"> disponibilidad presupuestal suficiente en el rubro de imputación correspondiente;</w:t>
      </w:r>
    </w:p>
    <w:p w:rsidR="00BC39C2" w:rsidRDefault="00BC39C2" w:rsidP="00F235BB">
      <w:pPr>
        <w:tabs>
          <w:tab w:val="left" w:pos="2835"/>
        </w:tabs>
        <w:spacing w:line="360" w:lineRule="auto"/>
        <w:ind w:firstLine="2835"/>
        <w:jc w:val="both"/>
        <w:rPr>
          <w:rFonts w:ascii="Arial" w:hAnsi="Arial" w:cs="Arial"/>
          <w:b/>
          <w:bCs/>
        </w:rPr>
      </w:pPr>
      <w:r>
        <w:rPr>
          <w:rFonts w:ascii="Arial" w:hAnsi="Arial" w:cs="Arial"/>
          <w:b/>
          <w:bCs/>
        </w:rPr>
        <w:lastRenderedPageBreak/>
        <w:t xml:space="preserve">3) </w:t>
      </w:r>
      <w:r>
        <w:rPr>
          <w:rFonts w:ascii="Arial" w:hAnsi="Arial" w:cs="Arial"/>
          <w:lang w:val="es-MX"/>
        </w:rPr>
        <w:t>que por Resoluciones N° 516/14 de fecha 28.11.14 y N°129/15 de fecha 25.03.15, el Directorio reiteró el gasto y este Tribunal mantuvo las observaciones formuladas</w:t>
      </w:r>
      <w:r w:rsidR="00785F72">
        <w:rPr>
          <w:rFonts w:ascii="Arial" w:hAnsi="Arial" w:cs="Arial"/>
          <w:lang w:val="es-MX"/>
        </w:rPr>
        <w:t>;</w:t>
      </w:r>
    </w:p>
    <w:p w:rsidR="00BC39C2" w:rsidRDefault="00BC39C2" w:rsidP="00F235BB">
      <w:pPr>
        <w:pStyle w:val="Piedepgina"/>
        <w:tabs>
          <w:tab w:val="clear" w:pos="4252"/>
          <w:tab w:val="clear" w:pos="8504"/>
          <w:tab w:val="left" w:pos="2835"/>
        </w:tabs>
        <w:spacing w:line="360" w:lineRule="auto"/>
        <w:ind w:firstLine="2835"/>
        <w:jc w:val="both"/>
        <w:rPr>
          <w:rFonts w:ascii="Arial" w:hAnsi="Arial" w:cs="Arial"/>
        </w:rPr>
      </w:pPr>
      <w:r>
        <w:rPr>
          <w:rFonts w:ascii="Arial" w:hAnsi="Arial" w:cs="Arial"/>
          <w:b/>
          <w:bCs/>
        </w:rPr>
        <w:t xml:space="preserve">4) </w:t>
      </w:r>
      <w:r>
        <w:rPr>
          <w:rFonts w:ascii="Arial" w:hAnsi="Arial" w:cs="Arial"/>
        </w:rPr>
        <w:t xml:space="preserve">que por Resolución N° 309/14 Acta N° 33 de fecha 30.12.15, el Directorio dispuso prorrogar, previa intervención del Tribunal de Cuentas de la República, el contrato suscrito con </w:t>
      </w:r>
      <w:proofErr w:type="spellStart"/>
      <w:r>
        <w:rPr>
          <w:rFonts w:ascii="Arial" w:hAnsi="Arial" w:cs="Arial"/>
        </w:rPr>
        <w:t>Segor</w:t>
      </w:r>
      <w:proofErr w:type="spellEnd"/>
      <w:r>
        <w:rPr>
          <w:rFonts w:ascii="Arial" w:hAnsi="Arial" w:cs="Arial"/>
        </w:rPr>
        <w:t xml:space="preserve"> S.A</w:t>
      </w:r>
      <w:r w:rsidR="00785F72">
        <w:rPr>
          <w:rFonts w:ascii="Arial" w:hAnsi="Arial" w:cs="Arial"/>
        </w:rPr>
        <w:t>.</w:t>
      </w:r>
      <w:r>
        <w:rPr>
          <w:rFonts w:ascii="Arial" w:hAnsi="Arial" w:cs="Arial"/>
        </w:rPr>
        <w:t xml:space="preserve"> en todos sus términos, por el plazo de un año a partir de su vencimiento, al amparo d</w:t>
      </w:r>
      <w:r w:rsidR="00297C27">
        <w:rPr>
          <w:rFonts w:ascii="Arial" w:hAnsi="Arial" w:cs="Arial"/>
        </w:rPr>
        <w:t>e la facultad concedida por el A</w:t>
      </w:r>
      <w:r>
        <w:rPr>
          <w:rFonts w:ascii="Arial" w:hAnsi="Arial" w:cs="Arial"/>
        </w:rPr>
        <w:t>rtículo 2 del Pliego de Condiciones Particulares, por un total de $ 40:778.476;</w:t>
      </w:r>
    </w:p>
    <w:p w:rsidR="00BC39C2" w:rsidRDefault="00BC39C2" w:rsidP="00F235BB">
      <w:pPr>
        <w:pStyle w:val="Piedepgina"/>
        <w:tabs>
          <w:tab w:val="clear" w:pos="4252"/>
          <w:tab w:val="clear" w:pos="8504"/>
          <w:tab w:val="left" w:pos="2835"/>
        </w:tabs>
        <w:spacing w:line="360" w:lineRule="auto"/>
        <w:ind w:firstLine="2835"/>
        <w:jc w:val="both"/>
        <w:rPr>
          <w:rFonts w:ascii="Arial" w:hAnsi="Arial" w:cs="Arial"/>
        </w:rPr>
      </w:pPr>
      <w:r>
        <w:rPr>
          <w:rFonts w:ascii="Arial" w:hAnsi="Arial" w:cs="Arial"/>
          <w:b/>
          <w:bCs/>
        </w:rPr>
        <w:t>5)</w:t>
      </w:r>
      <w:r>
        <w:rPr>
          <w:rFonts w:ascii="Arial" w:hAnsi="Arial" w:cs="Arial"/>
        </w:rPr>
        <w:t xml:space="preserve"> que en Sesión de fecha 11.02.16, este Tribunal observó dicho gasto argumentando que: el plazo para prorrogar la contratación se encuentra </w:t>
      </w:r>
      <w:proofErr w:type="gramStart"/>
      <w:r>
        <w:rPr>
          <w:rFonts w:ascii="Arial" w:hAnsi="Arial" w:cs="Arial"/>
        </w:rPr>
        <w:t>vencido</w:t>
      </w:r>
      <w:proofErr w:type="gramEnd"/>
      <w:r>
        <w:rPr>
          <w:rFonts w:ascii="Arial" w:hAnsi="Arial" w:cs="Arial"/>
        </w:rPr>
        <w:t xml:space="preserve">, ya que la Resolución </w:t>
      </w:r>
      <w:r>
        <w:rPr>
          <w:rFonts w:ascii="Arial" w:hAnsi="Arial" w:cs="Arial"/>
          <w:lang w:val="es-MX"/>
        </w:rPr>
        <w:t>Nº 461/14</w:t>
      </w:r>
      <w:r w:rsidR="00297C27">
        <w:rPr>
          <w:rFonts w:ascii="Arial" w:hAnsi="Arial" w:cs="Arial"/>
          <w:lang w:val="es-MX"/>
        </w:rPr>
        <w:t xml:space="preserve"> de fecha 22.10.14 adjudicó la L</w:t>
      </w:r>
      <w:r>
        <w:rPr>
          <w:rFonts w:ascii="Arial" w:hAnsi="Arial" w:cs="Arial"/>
          <w:lang w:val="es-MX"/>
        </w:rPr>
        <w:t xml:space="preserve">icitación a la </w:t>
      </w:r>
      <w:r w:rsidR="00785F72">
        <w:rPr>
          <w:rFonts w:ascii="Arial" w:hAnsi="Arial" w:cs="Arial"/>
          <w:lang w:val="es-MX"/>
        </w:rPr>
        <w:t>F</w:t>
      </w:r>
      <w:r>
        <w:rPr>
          <w:rFonts w:ascii="Arial" w:hAnsi="Arial" w:cs="Arial"/>
          <w:lang w:val="es-MX"/>
        </w:rPr>
        <w:t xml:space="preserve">irma </w:t>
      </w:r>
      <w:proofErr w:type="spellStart"/>
      <w:r>
        <w:rPr>
          <w:rFonts w:ascii="Arial" w:hAnsi="Arial" w:cs="Arial"/>
          <w:lang w:val="es-MX"/>
        </w:rPr>
        <w:t>Segor</w:t>
      </w:r>
      <w:proofErr w:type="spellEnd"/>
      <w:r>
        <w:rPr>
          <w:rFonts w:ascii="Arial" w:hAnsi="Arial" w:cs="Arial"/>
          <w:lang w:val="es-MX"/>
        </w:rPr>
        <w:t xml:space="preserve"> S.A, por el período </w:t>
      </w:r>
      <w:r>
        <w:rPr>
          <w:rFonts w:ascii="Arial" w:hAnsi="Arial" w:cs="Arial"/>
        </w:rPr>
        <w:t>comprendido entre el 01.11.14 y el 31.10.15, siendo que la Resolución N° 309/14, que dispuso la prórroga de la misma, tiene fecha 30.12.15. En consecuencia, no existe contrato vigente para los servicios que aún se encuentran en ejecución, lo que implica un incumplimiento de la intervenci</w:t>
      </w:r>
      <w:r w:rsidR="00297C27">
        <w:rPr>
          <w:rFonts w:ascii="Arial" w:hAnsi="Arial" w:cs="Arial"/>
        </w:rPr>
        <w:t>ón preventiva de gastos que el A</w:t>
      </w:r>
      <w:r>
        <w:rPr>
          <w:rFonts w:ascii="Arial" w:hAnsi="Arial" w:cs="Arial"/>
        </w:rPr>
        <w:t>rtículo 211 de la Constitución de la República comete a este Tribunal</w:t>
      </w:r>
      <w:r w:rsidR="00785F72">
        <w:rPr>
          <w:rFonts w:ascii="Arial" w:hAnsi="Arial" w:cs="Arial"/>
        </w:rPr>
        <w:t>,</w:t>
      </w:r>
      <w:r>
        <w:rPr>
          <w:rFonts w:ascii="Arial" w:hAnsi="Arial" w:cs="Arial"/>
        </w:rPr>
        <w:t xml:space="preserve"> y el gasto del procedimiento licitatorio ha sido observado por vicios insubsanables que lo afectan, desplegando sus efectos hasta el presente;</w:t>
      </w:r>
    </w:p>
    <w:p w:rsidR="00BC39C2" w:rsidRDefault="00BC39C2" w:rsidP="00F235BB">
      <w:pPr>
        <w:pStyle w:val="Piedepgina"/>
        <w:tabs>
          <w:tab w:val="clear" w:pos="4252"/>
          <w:tab w:val="clear" w:pos="8504"/>
          <w:tab w:val="left" w:pos="2835"/>
        </w:tabs>
        <w:spacing w:line="360" w:lineRule="auto"/>
        <w:ind w:firstLine="2835"/>
        <w:jc w:val="both"/>
        <w:rPr>
          <w:rFonts w:ascii="Arial" w:hAnsi="Arial" w:cs="Arial"/>
        </w:rPr>
      </w:pPr>
      <w:r>
        <w:rPr>
          <w:rFonts w:ascii="Arial" w:hAnsi="Arial" w:cs="Arial"/>
          <w:b/>
          <w:bCs/>
        </w:rPr>
        <w:t xml:space="preserve">6) </w:t>
      </w:r>
      <w:r>
        <w:rPr>
          <w:rFonts w:ascii="Arial" w:hAnsi="Arial" w:cs="Arial"/>
        </w:rPr>
        <w:t>que devueltas las actuaciones, con fecha 02.03.16, el De</w:t>
      </w:r>
      <w:r w:rsidR="00785F72">
        <w:rPr>
          <w:rFonts w:ascii="Arial" w:hAnsi="Arial" w:cs="Arial"/>
        </w:rPr>
        <w:t>partamento de Asesoría Jurídico-</w:t>
      </w:r>
      <w:r>
        <w:rPr>
          <w:rFonts w:ascii="Arial" w:hAnsi="Arial" w:cs="Arial"/>
        </w:rPr>
        <w:t xml:space="preserve">Notarial elaboró un informe manifestando que no se </w:t>
      </w:r>
      <w:proofErr w:type="gramStart"/>
      <w:r>
        <w:rPr>
          <w:rFonts w:ascii="Arial" w:hAnsi="Arial" w:cs="Arial"/>
        </w:rPr>
        <w:t>comparten</w:t>
      </w:r>
      <w:proofErr w:type="gramEnd"/>
      <w:r>
        <w:rPr>
          <w:rFonts w:ascii="Arial" w:hAnsi="Arial" w:cs="Arial"/>
        </w:rPr>
        <w:t xml:space="preserve"> las observaci</w:t>
      </w:r>
      <w:r w:rsidR="00F235BB">
        <w:rPr>
          <w:rFonts w:ascii="Arial" w:hAnsi="Arial" w:cs="Arial"/>
        </w:rPr>
        <w:t>ones formuladas, agregando que:</w:t>
      </w:r>
    </w:p>
    <w:p w:rsidR="00BC39C2" w:rsidRDefault="00BC39C2">
      <w:pPr>
        <w:pStyle w:val="Piedepgina"/>
        <w:tabs>
          <w:tab w:val="clear" w:pos="4252"/>
          <w:tab w:val="clear" w:pos="8504"/>
        </w:tabs>
        <w:spacing w:line="360" w:lineRule="auto"/>
        <w:jc w:val="both"/>
        <w:rPr>
          <w:rFonts w:ascii="Arial" w:hAnsi="Arial" w:cs="Arial"/>
        </w:rPr>
      </w:pPr>
      <w:r>
        <w:rPr>
          <w:rFonts w:ascii="Arial" w:hAnsi="Arial" w:cs="Arial"/>
          <w:b/>
          <w:bCs/>
        </w:rPr>
        <w:t>6.1)</w:t>
      </w:r>
      <w:r>
        <w:rPr>
          <w:rFonts w:ascii="Arial" w:hAnsi="Arial" w:cs="Arial"/>
        </w:rPr>
        <w:t xml:space="preserve"> en lo relativo al plazo del contrato, si bien la Resolución N° 461/2014 del 22.10.14 adjudicó a </w:t>
      </w:r>
      <w:proofErr w:type="spellStart"/>
      <w:r>
        <w:rPr>
          <w:rFonts w:ascii="Arial" w:hAnsi="Arial" w:cs="Arial"/>
        </w:rPr>
        <w:t>Segor</w:t>
      </w:r>
      <w:proofErr w:type="spellEnd"/>
      <w:r>
        <w:rPr>
          <w:rFonts w:ascii="Arial" w:hAnsi="Arial" w:cs="Arial"/>
        </w:rPr>
        <w:t xml:space="preserve"> S.A la </w:t>
      </w:r>
      <w:r w:rsidR="00785F72">
        <w:rPr>
          <w:rFonts w:ascii="Arial" w:hAnsi="Arial" w:cs="Arial"/>
        </w:rPr>
        <w:t>L</w:t>
      </w:r>
      <w:r>
        <w:rPr>
          <w:rFonts w:ascii="Arial" w:hAnsi="Arial" w:cs="Arial"/>
        </w:rPr>
        <w:t xml:space="preserve">icitación </w:t>
      </w:r>
      <w:r w:rsidR="00785F72">
        <w:rPr>
          <w:rFonts w:ascii="Arial" w:hAnsi="Arial" w:cs="Arial"/>
        </w:rPr>
        <w:t>P</w:t>
      </w:r>
      <w:r>
        <w:rPr>
          <w:rFonts w:ascii="Arial" w:hAnsi="Arial" w:cs="Arial"/>
        </w:rPr>
        <w:t xml:space="preserve">ública de referencia por el período comprendido entre el 01.11.14 al 31.10.15, tanto el control del Tribunal de Cuentas, la notificación a todos los oferentes, el plazo de diez días para la presentación de recursos administrativos, la presentación del adjudicatario al </w:t>
      </w:r>
      <w:proofErr w:type="gramStart"/>
      <w:r>
        <w:rPr>
          <w:rFonts w:ascii="Arial" w:hAnsi="Arial" w:cs="Arial"/>
        </w:rPr>
        <w:t>retiro</w:t>
      </w:r>
      <w:proofErr w:type="gramEnd"/>
      <w:r>
        <w:rPr>
          <w:rFonts w:ascii="Arial" w:hAnsi="Arial" w:cs="Arial"/>
        </w:rPr>
        <w:t xml:space="preserve"> de la orden, etcétera, postergaron el inicio de la efectiva prestación del servicio hast</w:t>
      </w:r>
      <w:r w:rsidR="00297C27">
        <w:rPr>
          <w:rFonts w:ascii="Arial" w:hAnsi="Arial" w:cs="Arial"/>
        </w:rPr>
        <w:t>a el 28.12.14 y, puesto que el A</w:t>
      </w:r>
      <w:r>
        <w:rPr>
          <w:rFonts w:ascii="Arial" w:hAnsi="Arial" w:cs="Arial"/>
        </w:rPr>
        <w:t>rtículo 2 del Pliego de Condiciones Particulares previó un plazo de vigencia de un año con opción de prorrogarlo por períodos iguales, s</w:t>
      </w:r>
      <w:r w:rsidR="00680EF1">
        <w:rPr>
          <w:rFonts w:ascii="Arial" w:hAnsi="Arial" w:cs="Arial"/>
        </w:rPr>
        <w:t xml:space="preserve">i se considera que el comienzo </w:t>
      </w:r>
      <w:r>
        <w:rPr>
          <w:rFonts w:ascii="Arial" w:hAnsi="Arial" w:cs="Arial"/>
        </w:rPr>
        <w:t>del mismo es el 28.12.14, la fecha de su vencimiento es 27.12.15;</w:t>
      </w:r>
    </w:p>
    <w:p w:rsidR="00BC39C2" w:rsidRDefault="00BC39C2">
      <w:pPr>
        <w:pStyle w:val="Piedepgina"/>
        <w:tabs>
          <w:tab w:val="clear" w:pos="4252"/>
          <w:tab w:val="clear" w:pos="8504"/>
        </w:tabs>
        <w:spacing w:line="360" w:lineRule="auto"/>
        <w:jc w:val="both"/>
        <w:rPr>
          <w:rFonts w:ascii="Arial" w:hAnsi="Arial" w:cs="Arial"/>
        </w:rPr>
      </w:pPr>
      <w:r>
        <w:rPr>
          <w:rFonts w:ascii="Arial" w:hAnsi="Arial" w:cs="Arial"/>
          <w:b/>
          <w:bCs/>
        </w:rPr>
        <w:t xml:space="preserve">6.2) </w:t>
      </w:r>
      <w:r w:rsidR="00297C27">
        <w:rPr>
          <w:rFonts w:ascii="Arial" w:hAnsi="Arial" w:cs="Arial"/>
        </w:rPr>
        <w:t>si se interpreta el A</w:t>
      </w:r>
      <w:r>
        <w:rPr>
          <w:rFonts w:ascii="Arial" w:hAnsi="Arial" w:cs="Arial"/>
        </w:rPr>
        <w:t xml:space="preserve">rtículo 48 del TOCAF en el sentido en que lo hace el Tribunal de Cuentas, la Administración quedaría en los hechos sin posibilidad de cotejar si los oferentes han cumplido con los requerimientos exigidos en las bases del </w:t>
      </w:r>
      <w:r w:rsidR="00680EF1">
        <w:rPr>
          <w:rFonts w:ascii="Arial" w:hAnsi="Arial" w:cs="Arial"/>
        </w:rPr>
        <w:t>L</w:t>
      </w:r>
      <w:r>
        <w:rPr>
          <w:rFonts w:ascii="Arial" w:hAnsi="Arial" w:cs="Arial"/>
        </w:rPr>
        <w:t>lamado;</w:t>
      </w:r>
    </w:p>
    <w:p w:rsidR="00BC39C2" w:rsidRDefault="00BC39C2" w:rsidP="00F235BB">
      <w:pPr>
        <w:pStyle w:val="Piedepgina"/>
        <w:tabs>
          <w:tab w:val="clear" w:pos="4252"/>
          <w:tab w:val="clear" w:pos="8504"/>
          <w:tab w:val="left" w:pos="2835"/>
        </w:tabs>
        <w:spacing w:line="360" w:lineRule="auto"/>
        <w:ind w:firstLine="2835"/>
        <w:jc w:val="both"/>
        <w:rPr>
          <w:rFonts w:ascii="Arial" w:hAnsi="Arial" w:cs="Arial"/>
        </w:rPr>
      </w:pPr>
      <w:r>
        <w:rPr>
          <w:rFonts w:ascii="Arial" w:hAnsi="Arial" w:cs="Arial"/>
          <w:b/>
          <w:bCs/>
        </w:rPr>
        <w:t xml:space="preserve">7) </w:t>
      </w:r>
      <w:r>
        <w:rPr>
          <w:rFonts w:ascii="Arial" w:hAnsi="Arial" w:cs="Arial"/>
        </w:rPr>
        <w:t>que, tomando en cuenta lo infor</w:t>
      </w:r>
      <w:r w:rsidR="00680EF1">
        <w:rPr>
          <w:rFonts w:ascii="Arial" w:hAnsi="Arial" w:cs="Arial"/>
        </w:rPr>
        <w:t>mado por la Asesoría Jurídico-</w:t>
      </w:r>
      <w:r>
        <w:rPr>
          <w:rFonts w:ascii="Arial" w:hAnsi="Arial" w:cs="Arial"/>
        </w:rPr>
        <w:t xml:space="preserve">Notarial, por Resolución N° 41/16 de fecha 09.03.16 el Directorio dispuso reconsiderar y revocar la Resolución N° 468/15 de fecha 30.12.15 y prorrogar, previa intervención del Tribunal de Cuentas, el contrato suscrito con </w:t>
      </w:r>
      <w:proofErr w:type="spellStart"/>
      <w:r>
        <w:rPr>
          <w:rFonts w:ascii="Arial" w:hAnsi="Arial" w:cs="Arial"/>
        </w:rPr>
        <w:t>Segor</w:t>
      </w:r>
      <w:proofErr w:type="spellEnd"/>
      <w:r>
        <w:rPr>
          <w:rFonts w:ascii="Arial" w:hAnsi="Arial" w:cs="Arial"/>
        </w:rPr>
        <w:t xml:space="preserve"> S.A</w:t>
      </w:r>
      <w:r w:rsidR="00680EF1">
        <w:rPr>
          <w:rFonts w:ascii="Arial" w:hAnsi="Arial" w:cs="Arial"/>
        </w:rPr>
        <w:t>.</w:t>
      </w:r>
      <w:r>
        <w:rPr>
          <w:rFonts w:ascii="Arial" w:hAnsi="Arial" w:cs="Arial"/>
        </w:rPr>
        <w:t xml:space="preserve"> en todos sus términos, por el plazo de 6 meses, contados a partir del 28.12.15 y hasta el 27.06.16, estableciendo que el costo de </w:t>
      </w:r>
      <w:r w:rsidR="00680EF1">
        <w:rPr>
          <w:rFonts w:ascii="Arial" w:hAnsi="Arial" w:cs="Arial"/>
        </w:rPr>
        <w:t>e</w:t>
      </w:r>
      <w:r>
        <w:rPr>
          <w:rFonts w:ascii="Arial" w:hAnsi="Arial" w:cs="Arial"/>
        </w:rPr>
        <w:t>sta prórroga asciende a la suma de $16:712.490, más $ 3:676.748 de IVA, siendo el total de $20:389.238</w:t>
      </w:r>
      <w:r w:rsidR="00680EF1">
        <w:rPr>
          <w:rFonts w:ascii="Arial" w:hAnsi="Arial" w:cs="Arial"/>
        </w:rPr>
        <w:t>,</w:t>
      </w:r>
      <w:r>
        <w:rPr>
          <w:rFonts w:ascii="Arial" w:hAnsi="Arial" w:cs="Arial"/>
        </w:rPr>
        <w:t xml:space="preserve"> y se dispuso autorizar la emisión de un nuevo llam</w:t>
      </w:r>
      <w:r w:rsidR="00297C27">
        <w:rPr>
          <w:rFonts w:ascii="Arial" w:hAnsi="Arial" w:cs="Arial"/>
        </w:rPr>
        <w:t>ado a L</w:t>
      </w:r>
      <w:r>
        <w:rPr>
          <w:rFonts w:ascii="Arial" w:hAnsi="Arial" w:cs="Arial"/>
        </w:rPr>
        <w:t>icitación con el mismo objeto;</w:t>
      </w:r>
    </w:p>
    <w:p w:rsidR="00BC39C2" w:rsidRDefault="005150CE" w:rsidP="00D81DD6">
      <w:pPr>
        <w:pStyle w:val="Piedepgina"/>
        <w:tabs>
          <w:tab w:val="clear" w:pos="4252"/>
          <w:tab w:val="clear" w:pos="8504"/>
          <w:tab w:val="left" w:pos="851"/>
          <w:tab w:val="left" w:pos="2977"/>
        </w:tabs>
        <w:spacing w:line="360" w:lineRule="auto"/>
        <w:ind w:firstLine="851"/>
        <w:jc w:val="both"/>
        <w:rPr>
          <w:rFonts w:ascii="Arial" w:hAnsi="Arial" w:cs="Arial"/>
        </w:rPr>
      </w:pPr>
      <w:r>
        <w:rPr>
          <w:rFonts w:ascii="Arial" w:hAnsi="Arial" w:cs="Arial"/>
          <w:b/>
          <w:bCs/>
        </w:rPr>
        <w:t>CONSIDERANDO:</w:t>
      </w:r>
      <w:r>
        <w:rPr>
          <w:rFonts w:ascii="Arial" w:hAnsi="Arial" w:cs="Arial"/>
          <w:b/>
          <w:bCs/>
        </w:rPr>
        <w:tab/>
      </w:r>
      <w:r w:rsidR="00BC39C2">
        <w:rPr>
          <w:rFonts w:ascii="Arial" w:hAnsi="Arial" w:cs="Arial"/>
          <w:b/>
          <w:bCs/>
        </w:rPr>
        <w:t xml:space="preserve">1) </w:t>
      </w:r>
      <w:r w:rsidR="00BC39C2">
        <w:rPr>
          <w:rFonts w:ascii="Arial" w:hAnsi="Arial" w:cs="Arial"/>
        </w:rPr>
        <w:t xml:space="preserve">que la Resolución N° 41/16 de fecha 09.03.16 prorroga el contrato suscrito con </w:t>
      </w:r>
      <w:proofErr w:type="spellStart"/>
      <w:r w:rsidR="00BC39C2">
        <w:rPr>
          <w:rFonts w:ascii="Arial" w:hAnsi="Arial" w:cs="Arial"/>
        </w:rPr>
        <w:t>Segor</w:t>
      </w:r>
      <w:proofErr w:type="spellEnd"/>
      <w:r w:rsidR="00BC39C2">
        <w:rPr>
          <w:rFonts w:ascii="Arial" w:hAnsi="Arial" w:cs="Arial"/>
        </w:rPr>
        <w:t xml:space="preserve"> S</w:t>
      </w:r>
      <w:r w:rsidR="00680EF1">
        <w:rPr>
          <w:rFonts w:ascii="Arial" w:hAnsi="Arial" w:cs="Arial"/>
        </w:rPr>
        <w:t>.</w:t>
      </w:r>
      <w:r w:rsidR="00BC39C2">
        <w:rPr>
          <w:rFonts w:ascii="Arial" w:hAnsi="Arial" w:cs="Arial"/>
        </w:rPr>
        <w:t>A</w:t>
      </w:r>
      <w:r w:rsidR="00680EF1">
        <w:rPr>
          <w:rFonts w:ascii="Arial" w:hAnsi="Arial" w:cs="Arial"/>
        </w:rPr>
        <w:t>.</w:t>
      </w:r>
      <w:r w:rsidR="00BC39C2">
        <w:rPr>
          <w:rFonts w:ascii="Arial" w:hAnsi="Arial" w:cs="Arial"/>
        </w:rPr>
        <w:t xml:space="preserve"> de manera retroactiva, esto es desplegando sus efectos hacia el pasado, contando un plazo de seis meses a partir del 27.12.15, en contr</w:t>
      </w:r>
      <w:r w:rsidR="00297C27">
        <w:rPr>
          <w:rFonts w:ascii="Arial" w:hAnsi="Arial" w:cs="Arial"/>
        </w:rPr>
        <w:t>avención de lo dispuesto en el Artículo 211 Literal</w:t>
      </w:r>
      <w:r w:rsidR="00680EF1">
        <w:rPr>
          <w:rFonts w:ascii="Arial" w:hAnsi="Arial" w:cs="Arial"/>
        </w:rPr>
        <w:t xml:space="preserve"> </w:t>
      </w:r>
      <w:r w:rsidR="00BC39C2">
        <w:rPr>
          <w:rFonts w:ascii="Arial" w:hAnsi="Arial" w:cs="Arial"/>
        </w:rPr>
        <w:t>B) de la Constitución</w:t>
      </w:r>
      <w:r w:rsidR="00680EF1">
        <w:rPr>
          <w:rFonts w:ascii="Arial" w:hAnsi="Arial" w:cs="Arial"/>
        </w:rPr>
        <w:t xml:space="preserve"> de la República</w:t>
      </w:r>
      <w:r w:rsidR="00BC39C2">
        <w:rPr>
          <w:rFonts w:ascii="Arial" w:hAnsi="Arial" w:cs="Arial"/>
        </w:rPr>
        <w:t>, puesto que al haber ejecución del servicio en virtud de un contrato que ha vencido en el mes de diciembre del año 2015, no hay un control de legalidad preventivo del Tribunal de Cuentas;</w:t>
      </w:r>
    </w:p>
    <w:p w:rsidR="00BC39C2" w:rsidRDefault="00BC39C2" w:rsidP="00D616C8">
      <w:pPr>
        <w:pStyle w:val="Piedepgina"/>
        <w:tabs>
          <w:tab w:val="clear" w:pos="4252"/>
          <w:tab w:val="clear" w:pos="8504"/>
          <w:tab w:val="left" w:pos="2977"/>
        </w:tabs>
        <w:spacing w:line="360" w:lineRule="auto"/>
        <w:ind w:firstLine="2977"/>
        <w:jc w:val="both"/>
        <w:rPr>
          <w:rFonts w:ascii="Arial" w:hAnsi="Arial" w:cs="Arial"/>
        </w:rPr>
      </w:pPr>
      <w:r>
        <w:rPr>
          <w:rFonts w:ascii="Arial" w:hAnsi="Arial" w:cs="Arial"/>
          <w:b/>
          <w:bCs/>
        </w:rPr>
        <w:t>2)</w:t>
      </w:r>
      <w:r>
        <w:rPr>
          <w:rFonts w:ascii="Arial" w:hAnsi="Arial" w:cs="Arial"/>
        </w:rPr>
        <w:t xml:space="preserve"> que asimismo el gasto del procedimiento licitatorio ha sido observado por vicios insubsanables que despliegan sus efectos hasta el presente, al contravenir las d</w:t>
      </w:r>
      <w:r w:rsidR="00297C27">
        <w:rPr>
          <w:rFonts w:ascii="Arial" w:hAnsi="Arial" w:cs="Arial"/>
        </w:rPr>
        <w:t>isposiciones contenidas en los A</w:t>
      </w:r>
      <w:r>
        <w:rPr>
          <w:rFonts w:ascii="Arial" w:hAnsi="Arial" w:cs="Arial"/>
        </w:rPr>
        <w:t>rtículos 48 del TOCAF y 9 del Decreto 131/014 del 19.05.14;</w:t>
      </w:r>
    </w:p>
    <w:p w:rsidR="00BC39C2" w:rsidRDefault="00BC39C2" w:rsidP="00D81DD6">
      <w:pPr>
        <w:tabs>
          <w:tab w:val="left" w:pos="851"/>
        </w:tabs>
        <w:spacing w:line="360" w:lineRule="auto"/>
        <w:ind w:firstLine="851"/>
        <w:jc w:val="both"/>
        <w:rPr>
          <w:rFonts w:ascii="Arial" w:hAnsi="Arial" w:cs="Arial"/>
        </w:rPr>
      </w:pPr>
      <w:r>
        <w:rPr>
          <w:rFonts w:ascii="Arial" w:hAnsi="Arial" w:cs="Arial"/>
          <w:b/>
          <w:bCs/>
        </w:rPr>
        <w:t>ATENTO</w:t>
      </w:r>
      <w:r w:rsidR="00D81DD6">
        <w:rPr>
          <w:rFonts w:ascii="Arial" w:hAnsi="Arial" w:cs="Arial"/>
          <w:b/>
          <w:bCs/>
        </w:rPr>
        <w:t>:</w:t>
      </w:r>
      <w:r>
        <w:rPr>
          <w:rFonts w:ascii="Arial" w:hAnsi="Arial" w:cs="Arial"/>
        </w:rPr>
        <w:t xml:space="preserve"> a lo ex</w:t>
      </w:r>
      <w:r w:rsidR="00297C27">
        <w:rPr>
          <w:rFonts w:ascii="Arial" w:hAnsi="Arial" w:cs="Arial"/>
        </w:rPr>
        <w:t>puesto y a lo dispuesto por el Artículo 211 L</w:t>
      </w:r>
      <w:r>
        <w:rPr>
          <w:rFonts w:ascii="Arial" w:hAnsi="Arial" w:cs="Arial"/>
        </w:rPr>
        <w:t>iteral B) de la Constitución de la República;</w:t>
      </w:r>
    </w:p>
    <w:p w:rsidR="00BC39C2" w:rsidRDefault="00BC39C2">
      <w:pPr>
        <w:pStyle w:val="Ttulo1"/>
        <w:jc w:val="center"/>
      </w:pPr>
      <w:r>
        <w:t>EL TRIBUNAL ACUERDA</w:t>
      </w:r>
    </w:p>
    <w:p w:rsidR="00BC39C2" w:rsidRDefault="00F235BB" w:rsidP="005150CE">
      <w:pPr>
        <w:numPr>
          <w:ilvl w:val="0"/>
          <w:numId w:val="2"/>
        </w:numPr>
        <w:tabs>
          <w:tab w:val="left" w:pos="284"/>
        </w:tabs>
        <w:spacing w:line="360" w:lineRule="auto"/>
        <w:ind w:left="0" w:firstLine="0"/>
        <w:jc w:val="both"/>
        <w:rPr>
          <w:rFonts w:ascii="Arial" w:hAnsi="Arial" w:cs="Arial"/>
        </w:rPr>
      </w:pPr>
      <w:r>
        <w:rPr>
          <w:rFonts w:ascii="Arial" w:hAnsi="Arial" w:cs="Arial"/>
        </w:rPr>
        <w:t>Observar el gasto; y</w:t>
      </w:r>
    </w:p>
    <w:p w:rsidR="005150CE" w:rsidRPr="005150CE" w:rsidRDefault="00BC39C2" w:rsidP="005150CE">
      <w:pPr>
        <w:numPr>
          <w:ilvl w:val="0"/>
          <w:numId w:val="2"/>
        </w:numPr>
        <w:tabs>
          <w:tab w:val="left" w:pos="284"/>
        </w:tabs>
        <w:spacing w:line="360" w:lineRule="auto"/>
        <w:ind w:left="0" w:firstLine="0"/>
        <w:jc w:val="both"/>
        <w:rPr>
          <w:rFonts w:ascii="Arial" w:hAnsi="Arial" w:cs="Arial"/>
        </w:rPr>
      </w:pPr>
      <w:r>
        <w:rPr>
          <w:rFonts w:ascii="Arial" w:hAnsi="Arial" w:cs="Arial"/>
        </w:rPr>
        <w:t>Devolver las actuaciones.</w:t>
      </w:r>
    </w:p>
    <w:p w:rsidR="00FC4651" w:rsidRDefault="00FC4651" w:rsidP="005150CE">
      <w:pPr>
        <w:tabs>
          <w:tab w:val="left" w:pos="284"/>
        </w:tabs>
        <w:spacing w:line="360" w:lineRule="auto"/>
        <w:jc w:val="both"/>
        <w:rPr>
          <w:rFonts w:ascii="Arial" w:hAnsi="Arial" w:cs="Arial"/>
          <w:iCs/>
        </w:rPr>
      </w:pPr>
    </w:p>
    <w:p w:rsidR="00BC39C2" w:rsidRPr="00D616C8" w:rsidRDefault="005150CE" w:rsidP="00D616C8">
      <w:pPr>
        <w:tabs>
          <w:tab w:val="left" w:pos="284"/>
        </w:tabs>
        <w:spacing w:line="360" w:lineRule="auto"/>
        <w:jc w:val="both"/>
        <w:rPr>
          <w:rFonts w:ascii="Arial" w:hAnsi="Arial" w:cs="Arial"/>
          <w:iCs/>
        </w:rPr>
      </w:pPr>
      <w:proofErr w:type="gramStart"/>
      <w:r w:rsidRPr="00FC4651">
        <w:rPr>
          <w:rFonts w:ascii="Arial" w:hAnsi="Arial" w:cs="Arial"/>
          <w:iCs/>
        </w:rPr>
        <w:t>lm</w:t>
      </w:r>
      <w:proofErr w:type="gramEnd"/>
    </w:p>
    <w:sectPr w:rsidR="00BC39C2" w:rsidRPr="00D616C8" w:rsidSect="005D7E64">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6C8" w:rsidRDefault="00D616C8">
      <w:pPr>
        <w:rPr>
          <w:rFonts w:cs="Times New Roman"/>
        </w:rPr>
      </w:pPr>
      <w:r>
        <w:rPr>
          <w:rFonts w:cs="Times New Roman"/>
        </w:rPr>
        <w:separator/>
      </w:r>
    </w:p>
  </w:endnote>
  <w:endnote w:type="continuationSeparator" w:id="0">
    <w:p w:rsidR="00D616C8" w:rsidRDefault="00D616C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6C8" w:rsidRDefault="00D616C8">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5777C">
      <w:rPr>
        <w:rStyle w:val="Nmerodepgina"/>
        <w:noProof/>
      </w:rPr>
      <w:t>1</w:t>
    </w:r>
    <w:r>
      <w:rPr>
        <w:rStyle w:val="Nmerodepgina"/>
      </w:rPr>
      <w:fldChar w:fldCharType="end"/>
    </w:r>
  </w:p>
  <w:p w:rsidR="00D616C8" w:rsidRDefault="00D616C8">
    <w:pPr>
      <w:pStyle w:val="Piedepgin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6C8" w:rsidRDefault="00D616C8">
      <w:pPr>
        <w:rPr>
          <w:rFonts w:cs="Times New Roman"/>
        </w:rPr>
      </w:pPr>
      <w:r>
        <w:rPr>
          <w:rFonts w:cs="Times New Roman"/>
        </w:rPr>
        <w:separator/>
      </w:r>
    </w:p>
  </w:footnote>
  <w:footnote w:type="continuationSeparator" w:id="0">
    <w:p w:rsidR="00D616C8" w:rsidRDefault="00D616C8">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A5B4F"/>
    <w:multiLevelType w:val="hybridMultilevel"/>
    <w:tmpl w:val="93E88E40"/>
    <w:lvl w:ilvl="0" w:tplc="D5909AC8">
      <w:start w:val="1"/>
      <w:numFmt w:val="decimal"/>
      <w:lvlText w:val="%1)"/>
      <w:lvlJc w:val="left"/>
      <w:pPr>
        <w:ind w:left="720" w:hanging="360"/>
      </w:pPr>
      <w:rPr>
        <w:rFonts w:ascii="Times New Roman" w:hAnsi="Times New Roman" w:cs="Times New Roman" w:hint="default"/>
        <w:b/>
        <w:bCs/>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
    <w:nsid w:val="72C94BAA"/>
    <w:multiLevelType w:val="hybridMultilevel"/>
    <w:tmpl w:val="676ACAF6"/>
    <w:lvl w:ilvl="0" w:tplc="FB56D534">
      <w:start w:val="1"/>
      <w:numFmt w:val="decimal"/>
      <w:lvlText w:val="%1)"/>
      <w:lvlJc w:val="left"/>
      <w:pPr>
        <w:ind w:left="1070" w:hanging="360"/>
      </w:pPr>
      <w:rPr>
        <w:rFonts w:hint="default"/>
        <w:b/>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C2"/>
    <w:rsid w:val="00297C27"/>
    <w:rsid w:val="005150CE"/>
    <w:rsid w:val="005D7E64"/>
    <w:rsid w:val="0065777C"/>
    <w:rsid w:val="00680EF1"/>
    <w:rsid w:val="00785F72"/>
    <w:rsid w:val="00B8626A"/>
    <w:rsid w:val="00BC39C2"/>
    <w:rsid w:val="00D616C8"/>
    <w:rsid w:val="00D81DD6"/>
    <w:rsid w:val="00F235BB"/>
    <w:rsid w:val="00FC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spacing w:line="360" w:lineRule="auto"/>
      <w:jc w:val="both"/>
      <w:outlineLvl w:val="0"/>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val="es-MX"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hAnsi="Times New Roman" w:cs="Times New Roman"/>
      <w:sz w:val="24"/>
      <w:szCs w:val="24"/>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spacing w:line="360" w:lineRule="auto"/>
      <w:jc w:val="both"/>
      <w:outlineLvl w:val="0"/>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val="es-MX"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hAnsi="Times New Roman" w:cs="Times New Roman"/>
      <w:sz w:val="24"/>
      <w:szCs w:val="24"/>
      <w:lang w:val="es-ES" w:eastAsia="es-ES"/>
    </w:rPr>
  </w:style>
  <w:style w:type="character" w:styleId="Nmerodepgina">
    <w:name w:val="page number"/>
    <w:basedOn w:val="Fuentedeprrafopredeter"/>
    <w:uiPriority w:val="99"/>
    <w:rPr>
      <w:rFonts w:ascii="Times New Roman" w:hAnsi="Times New Roman"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907</Words>
  <Characters>4689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CARPETA N°: 2014-17-1-0008171</vt:lpstr>
    </vt:vector>
  </TitlesOfParts>
  <Company>Tribunal de Cuentas</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2014-17-1-0008171</dc:title>
  <dc:creator>MARIA ALEJANDRA ALVAREZ LOPEZ</dc:creator>
  <cp:lastModifiedBy> </cp:lastModifiedBy>
  <cp:revision>10</cp:revision>
  <cp:lastPrinted>2016-05-03T20:19:00Z</cp:lastPrinted>
  <dcterms:created xsi:type="dcterms:W3CDTF">2016-05-03T18:35:00Z</dcterms:created>
  <dcterms:modified xsi:type="dcterms:W3CDTF">2016-06-30T19:36:00Z</dcterms:modified>
</cp:coreProperties>
</file>