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D5F" w:rsidRPr="00F13D5F" w:rsidRDefault="00F13D5F" w:rsidP="00F13D5F">
      <w:pPr>
        <w:tabs>
          <w:tab w:val="center" w:pos="4253"/>
        </w:tabs>
        <w:suppressAutoHyphens/>
        <w:spacing w:after="0" w:line="240" w:lineRule="auto"/>
        <w:jc w:val="right"/>
        <w:rPr>
          <w:rFonts w:ascii="Arial" w:hAnsi="Arial" w:cs="Arial"/>
          <w:b/>
          <w:sz w:val="28"/>
          <w:szCs w:val="28"/>
          <w:lang w:val="es-ES_tradnl"/>
        </w:rPr>
      </w:pPr>
      <w:bookmarkStart w:id="0" w:name="_GoBack"/>
      <w:bookmarkEnd w:id="0"/>
      <w:r w:rsidRPr="00F13D5F">
        <w:rPr>
          <w:rFonts w:ascii="Arial" w:hAnsi="Arial" w:cs="Arial"/>
          <w:b/>
          <w:sz w:val="28"/>
          <w:szCs w:val="28"/>
          <w:lang w:val="es-ES_tradnl"/>
        </w:rPr>
        <w:t xml:space="preserve">RES. </w:t>
      </w:r>
      <w:r w:rsidR="001C51BF">
        <w:rPr>
          <w:rFonts w:ascii="Arial" w:hAnsi="Arial" w:cs="Arial"/>
          <w:b/>
          <w:sz w:val="28"/>
          <w:szCs w:val="28"/>
          <w:lang w:val="es-ES_tradnl"/>
        </w:rPr>
        <w:t>1629</w:t>
      </w:r>
      <w:r w:rsidRPr="00F13D5F">
        <w:rPr>
          <w:rFonts w:ascii="Arial" w:hAnsi="Arial" w:cs="Arial"/>
          <w:b/>
          <w:sz w:val="28"/>
          <w:szCs w:val="28"/>
          <w:lang w:val="es-ES_tradnl"/>
        </w:rPr>
        <w:t>/16</w:t>
      </w:r>
    </w:p>
    <w:p w:rsidR="00F13D5F" w:rsidRPr="00F13D5F" w:rsidRDefault="00F13D5F" w:rsidP="00F13D5F">
      <w:pPr>
        <w:tabs>
          <w:tab w:val="center" w:pos="4253"/>
        </w:tabs>
        <w:suppressAutoHyphens/>
        <w:spacing w:after="0" w:line="240" w:lineRule="auto"/>
        <w:jc w:val="center"/>
        <w:rPr>
          <w:rFonts w:ascii="Arial" w:hAnsi="Arial" w:cs="Arial"/>
          <w:b/>
          <w:sz w:val="24"/>
          <w:szCs w:val="24"/>
          <w:lang w:val="es-ES_tradnl"/>
        </w:rPr>
      </w:pPr>
    </w:p>
    <w:p w:rsidR="00F13D5F" w:rsidRPr="00F13D5F" w:rsidRDefault="00F13D5F" w:rsidP="00F13D5F">
      <w:pPr>
        <w:tabs>
          <w:tab w:val="center" w:pos="4253"/>
        </w:tabs>
        <w:suppressAutoHyphens/>
        <w:spacing w:after="0" w:line="240" w:lineRule="auto"/>
        <w:jc w:val="center"/>
        <w:rPr>
          <w:rFonts w:ascii="Arial" w:hAnsi="Arial" w:cs="Arial"/>
          <w:b/>
          <w:sz w:val="24"/>
          <w:szCs w:val="24"/>
          <w:lang w:val="es-ES_tradnl"/>
        </w:rPr>
      </w:pPr>
      <w:r w:rsidRPr="00F13D5F">
        <w:rPr>
          <w:rFonts w:ascii="Arial" w:hAnsi="Arial" w:cs="Arial"/>
          <w:b/>
          <w:sz w:val="24"/>
          <w:szCs w:val="24"/>
          <w:lang w:val="es-ES_tradnl"/>
        </w:rPr>
        <w:t>RESOLUCION ADOPTADA POR EL</w:t>
      </w:r>
    </w:p>
    <w:p w:rsidR="00F13D5F" w:rsidRPr="00F13D5F" w:rsidRDefault="00F13D5F" w:rsidP="00F13D5F">
      <w:pPr>
        <w:tabs>
          <w:tab w:val="left" w:pos="-720"/>
        </w:tabs>
        <w:suppressAutoHyphens/>
        <w:spacing w:after="0" w:line="240" w:lineRule="auto"/>
        <w:jc w:val="center"/>
        <w:rPr>
          <w:rFonts w:ascii="Arial" w:hAnsi="Arial" w:cs="Arial"/>
          <w:b/>
          <w:sz w:val="24"/>
          <w:szCs w:val="24"/>
          <w:lang w:val="es-ES_tradnl"/>
        </w:rPr>
      </w:pPr>
    </w:p>
    <w:p w:rsidR="00F13D5F" w:rsidRPr="00F13D5F" w:rsidRDefault="00F13D5F" w:rsidP="00F13D5F">
      <w:pPr>
        <w:tabs>
          <w:tab w:val="center" w:pos="4253"/>
        </w:tabs>
        <w:suppressAutoHyphens/>
        <w:spacing w:after="0" w:line="240" w:lineRule="auto"/>
        <w:jc w:val="center"/>
        <w:rPr>
          <w:rFonts w:ascii="Arial" w:hAnsi="Arial" w:cs="Arial"/>
          <w:b/>
          <w:sz w:val="24"/>
          <w:szCs w:val="24"/>
          <w:lang w:val="es-ES_tradnl"/>
        </w:rPr>
      </w:pPr>
      <w:r w:rsidRPr="00F13D5F">
        <w:rPr>
          <w:rFonts w:ascii="Arial" w:hAnsi="Arial" w:cs="Arial"/>
          <w:b/>
          <w:sz w:val="24"/>
          <w:szCs w:val="24"/>
          <w:lang w:val="es-ES_tradnl"/>
        </w:rPr>
        <w:t>TRIBUNAL DE CUENTAS</w:t>
      </w:r>
    </w:p>
    <w:p w:rsidR="00F13D5F" w:rsidRPr="00F13D5F" w:rsidRDefault="00F13D5F" w:rsidP="00F13D5F">
      <w:pPr>
        <w:tabs>
          <w:tab w:val="left" w:pos="-720"/>
        </w:tabs>
        <w:suppressAutoHyphens/>
        <w:spacing w:after="0" w:line="240" w:lineRule="auto"/>
        <w:jc w:val="center"/>
        <w:rPr>
          <w:rFonts w:ascii="Arial" w:hAnsi="Arial" w:cs="Arial"/>
          <w:b/>
          <w:sz w:val="24"/>
          <w:szCs w:val="24"/>
          <w:lang w:val="es-ES_tradnl"/>
        </w:rPr>
      </w:pPr>
    </w:p>
    <w:p w:rsidR="00F13D5F" w:rsidRPr="00F13D5F" w:rsidRDefault="00F13D5F" w:rsidP="00F13D5F">
      <w:pPr>
        <w:tabs>
          <w:tab w:val="center" w:pos="4253"/>
        </w:tabs>
        <w:suppressAutoHyphens/>
        <w:spacing w:after="0" w:line="240" w:lineRule="auto"/>
        <w:jc w:val="center"/>
        <w:rPr>
          <w:rFonts w:ascii="Arial" w:hAnsi="Arial" w:cs="Arial"/>
          <w:b/>
          <w:sz w:val="24"/>
          <w:szCs w:val="24"/>
          <w:lang w:val="es-ES_tradnl"/>
        </w:rPr>
      </w:pPr>
      <w:r w:rsidRPr="00F13D5F">
        <w:rPr>
          <w:rFonts w:ascii="Arial" w:hAnsi="Arial" w:cs="Arial"/>
          <w:b/>
          <w:sz w:val="24"/>
          <w:szCs w:val="24"/>
          <w:lang w:val="es-ES_tradnl"/>
        </w:rPr>
        <w:t>EN SESION DE FECHA 18 DE MAYO DE 2016</w:t>
      </w:r>
    </w:p>
    <w:p w:rsidR="00F13D5F" w:rsidRPr="00F13D5F" w:rsidRDefault="00F13D5F" w:rsidP="00F13D5F">
      <w:pPr>
        <w:tabs>
          <w:tab w:val="center" w:pos="4253"/>
        </w:tabs>
        <w:suppressAutoHyphens/>
        <w:spacing w:after="0" w:line="240" w:lineRule="auto"/>
        <w:jc w:val="center"/>
        <w:rPr>
          <w:rFonts w:ascii="Arial" w:hAnsi="Arial" w:cs="Arial"/>
          <w:b/>
          <w:sz w:val="24"/>
          <w:szCs w:val="24"/>
          <w:lang w:val="es-ES_tradnl"/>
        </w:rPr>
      </w:pPr>
    </w:p>
    <w:p w:rsidR="00F13D5F" w:rsidRPr="00F13D5F" w:rsidRDefault="00F13D5F" w:rsidP="00F13D5F">
      <w:pPr>
        <w:tabs>
          <w:tab w:val="center" w:pos="4253"/>
        </w:tabs>
        <w:suppressAutoHyphens/>
        <w:spacing w:after="0" w:line="240" w:lineRule="auto"/>
        <w:jc w:val="center"/>
        <w:rPr>
          <w:rFonts w:ascii="Arial" w:hAnsi="Arial" w:cs="Arial"/>
          <w:b/>
          <w:sz w:val="24"/>
          <w:szCs w:val="24"/>
        </w:rPr>
      </w:pPr>
      <w:r w:rsidRPr="00F13D5F">
        <w:rPr>
          <w:rFonts w:ascii="Arial" w:hAnsi="Arial" w:cs="Arial"/>
          <w:b/>
          <w:sz w:val="24"/>
          <w:szCs w:val="24"/>
        </w:rPr>
        <w:t xml:space="preserve">(E. E. Nº 2014-17-1-0009876, </w:t>
      </w:r>
      <w:proofErr w:type="spellStart"/>
      <w:r w:rsidRPr="00F13D5F">
        <w:rPr>
          <w:rFonts w:ascii="Arial" w:hAnsi="Arial" w:cs="Arial"/>
          <w:b/>
          <w:sz w:val="24"/>
          <w:szCs w:val="24"/>
        </w:rPr>
        <w:t>Ent</w:t>
      </w:r>
      <w:proofErr w:type="spellEnd"/>
      <w:r w:rsidRPr="00F13D5F">
        <w:rPr>
          <w:rFonts w:ascii="Arial" w:hAnsi="Arial" w:cs="Arial"/>
          <w:b/>
          <w:sz w:val="24"/>
          <w:szCs w:val="24"/>
        </w:rPr>
        <w:t>. N° 2227/16)</w:t>
      </w:r>
    </w:p>
    <w:p w:rsidR="00F13D5F" w:rsidRPr="00F13D5F" w:rsidRDefault="00F13D5F" w:rsidP="00F13D5F">
      <w:pPr>
        <w:tabs>
          <w:tab w:val="center" w:pos="4253"/>
        </w:tabs>
        <w:suppressAutoHyphens/>
        <w:spacing w:after="0" w:line="240" w:lineRule="auto"/>
        <w:jc w:val="center"/>
        <w:rPr>
          <w:rFonts w:ascii="Arial" w:hAnsi="Arial" w:cs="Arial"/>
          <w:b/>
          <w:sz w:val="24"/>
          <w:szCs w:val="24"/>
        </w:rPr>
      </w:pPr>
    </w:p>
    <w:p w:rsidR="00F13D5F" w:rsidRDefault="00F13D5F" w:rsidP="00305CD7">
      <w:pPr>
        <w:tabs>
          <w:tab w:val="center" w:pos="4253"/>
        </w:tabs>
        <w:suppressAutoHyphens/>
        <w:jc w:val="center"/>
        <w:rPr>
          <w:rFonts w:ascii="Helvetica" w:hAnsi="Helvetica"/>
          <w:b/>
          <w:lang w:val="es-ES_tradnl"/>
        </w:rPr>
      </w:pPr>
    </w:p>
    <w:p w:rsidR="00CE389E" w:rsidRDefault="00CE389E" w:rsidP="00D060F1">
      <w:pPr>
        <w:spacing w:after="0" w:line="360" w:lineRule="auto"/>
        <w:ind w:firstLine="851"/>
        <w:jc w:val="both"/>
        <w:rPr>
          <w:rFonts w:ascii="Arial" w:hAnsi="Arial" w:cs="Arial"/>
          <w:sz w:val="24"/>
          <w:szCs w:val="24"/>
        </w:rPr>
      </w:pPr>
      <w:r>
        <w:rPr>
          <w:rFonts w:ascii="Arial" w:hAnsi="Arial" w:cs="Arial"/>
          <w:b/>
          <w:bCs/>
          <w:sz w:val="24"/>
          <w:szCs w:val="24"/>
        </w:rPr>
        <w:t>VISTO:</w:t>
      </w:r>
      <w:r>
        <w:rPr>
          <w:rFonts w:ascii="Arial" w:hAnsi="Arial" w:cs="Arial"/>
          <w:sz w:val="24"/>
          <w:szCs w:val="24"/>
        </w:rPr>
        <w:t xml:space="preserve"> actuaciones remitidas por la Intendencia de Montevideo, relacionadas con el pago de Asociaciones Civiles encargadas de la gestión y administración de los 18 Centros Comunitarios de Educación Infantil, correspondiente al mes de mayo/2016; </w:t>
      </w:r>
    </w:p>
    <w:p w:rsidR="00CE389E" w:rsidRDefault="00CE389E" w:rsidP="00D060F1">
      <w:pPr>
        <w:spacing w:after="0" w:line="360" w:lineRule="auto"/>
        <w:ind w:firstLine="851"/>
        <w:jc w:val="both"/>
        <w:rPr>
          <w:rFonts w:ascii="Arial" w:hAnsi="Arial" w:cs="Arial"/>
          <w:sz w:val="24"/>
          <w:szCs w:val="24"/>
        </w:rPr>
      </w:pPr>
      <w:r>
        <w:rPr>
          <w:rFonts w:ascii="Arial" w:hAnsi="Arial" w:cs="Arial"/>
          <w:b/>
          <w:bCs/>
          <w:sz w:val="24"/>
          <w:szCs w:val="24"/>
        </w:rPr>
        <w:t>RESULTANDO:</w:t>
      </w:r>
      <w:r>
        <w:rPr>
          <w:rFonts w:ascii="Arial" w:hAnsi="Arial" w:cs="Arial"/>
          <w:sz w:val="24"/>
          <w:szCs w:val="24"/>
        </w:rPr>
        <w:t xml:space="preserve"> </w:t>
      </w:r>
      <w:r>
        <w:rPr>
          <w:rFonts w:ascii="Arial" w:hAnsi="Arial" w:cs="Arial"/>
          <w:b/>
          <w:bCs/>
          <w:sz w:val="24"/>
          <w:szCs w:val="24"/>
        </w:rPr>
        <w:t>1)</w:t>
      </w:r>
      <w:r>
        <w:rPr>
          <w:rFonts w:ascii="Arial" w:hAnsi="Arial" w:cs="Arial"/>
          <w:sz w:val="24"/>
          <w:szCs w:val="24"/>
        </w:rPr>
        <w:t xml:space="preserve"> que la Intendencia en el marco de  políticas sociales  ha realizado numerosos Convenios de donaciones modales a diversas asociaciones civiles sin fines de lucro, encargadas de crear y  gestionar Centros Comunitarios de Educación Inicial, para el pago de diversos conceptos, entre ellos: retribuciones salariales, insumos y demás gastos fijos que correspondan a los locales, pólizas de seguros sobre accidentes de trabajo y enfermedades profesionales, cobert</w:t>
      </w:r>
      <w:r w:rsidR="00FF41BF">
        <w:rPr>
          <w:rFonts w:ascii="Arial" w:hAnsi="Arial" w:cs="Arial"/>
          <w:sz w:val="24"/>
          <w:szCs w:val="24"/>
        </w:rPr>
        <w:t>ura de emergencia médica, etc.;</w:t>
      </w:r>
    </w:p>
    <w:p w:rsidR="00CE389E" w:rsidRDefault="00CE389E" w:rsidP="00D060F1">
      <w:pPr>
        <w:spacing w:after="0" w:line="360" w:lineRule="auto"/>
        <w:ind w:firstLine="2835"/>
        <w:jc w:val="both"/>
        <w:rPr>
          <w:rFonts w:ascii="Arial" w:hAnsi="Arial" w:cs="Arial"/>
          <w:b/>
          <w:bCs/>
          <w:sz w:val="24"/>
          <w:szCs w:val="24"/>
        </w:rPr>
      </w:pPr>
      <w:r>
        <w:rPr>
          <w:rFonts w:ascii="Arial" w:hAnsi="Arial" w:cs="Arial"/>
          <w:b/>
          <w:bCs/>
          <w:sz w:val="24"/>
          <w:szCs w:val="24"/>
        </w:rPr>
        <w:t>2)</w:t>
      </w:r>
      <w:r>
        <w:rPr>
          <w:rFonts w:ascii="Arial" w:hAnsi="Arial" w:cs="Arial"/>
          <w:sz w:val="24"/>
          <w:szCs w:val="24"/>
        </w:rPr>
        <w:t xml:space="preserve">  que en el texto de dichos Convenios se han acordado, entre otras, las siguientes pautas:</w:t>
      </w:r>
      <w:r>
        <w:rPr>
          <w:rFonts w:ascii="Arial" w:hAnsi="Arial" w:cs="Arial"/>
          <w:b/>
          <w:bCs/>
          <w:sz w:val="24"/>
          <w:szCs w:val="24"/>
        </w:rPr>
        <w:t xml:space="preserve"> </w:t>
      </w:r>
    </w:p>
    <w:p w:rsidR="00CE389E" w:rsidRDefault="00CE389E" w:rsidP="00D25ACC">
      <w:pPr>
        <w:spacing w:after="0" w:line="360" w:lineRule="auto"/>
        <w:jc w:val="both"/>
        <w:rPr>
          <w:rFonts w:ascii="Arial" w:hAnsi="Arial" w:cs="Arial"/>
          <w:sz w:val="24"/>
          <w:szCs w:val="24"/>
        </w:rPr>
      </w:pPr>
      <w:r>
        <w:rPr>
          <w:rFonts w:ascii="Arial" w:hAnsi="Arial" w:cs="Arial"/>
          <w:b/>
          <w:bCs/>
          <w:sz w:val="24"/>
          <w:szCs w:val="24"/>
        </w:rPr>
        <w:t>2.1)</w:t>
      </w:r>
      <w:r>
        <w:rPr>
          <w:rFonts w:ascii="Arial" w:hAnsi="Arial" w:cs="Arial"/>
          <w:sz w:val="24"/>
          <w:szCs w:val="24"/>
        </w:rPr>
        <w:t xml:space="preserve">  </w:t>
      </w:r>
      <w:r>
        <w:rPr>
          <w:rFonts w:ascii="Arial" w:hAnsi="Arial" w:cs="Arial"/>
          <w:b/>
          <w:bCs/>
          <w:sz w:val="24"/>
          <w:szCs w:val="24"/>
        </w:rPr>
        <w:t>Objeto del Convenio</w:t>
      </w:r>
      <w:r>
        <w:rPr>
          <w:rFonts w:ascii="Arial" w:hAnsi="Arial" w:cs="Arial"/>
          <w:sz w:val="24"/>
          <w:szCs w:val="24"/>
        </w:rPr>
        <w:t>. Las Asociaciones referidas, en tanto administradoras de diversos Centros Comunitarios de Educación Inicial, asumen la responsabilidad de su gestión y de la administración de los fondos que la Intendencia transfiera a tales efectos;</w:t>
      </w:r>
    </w:p>
    <w:p w:rsidR="00D060F1" w:rsidRDefault="00CE389E" w:rsidP="00D25ACC">
      <w:pPr>
        <w:spacing w:after="0" w:line="360" w:lineRule="auto"/>
        <w:jc w:val="both"/>
        <w:rPr>
          <w:rFonts w:ascii="Arial" w:hAnsi="Arial" w:cs="Arial"/>
          <w:sz w:val="24"/>
          <w:szCs w:val="24"/>
        </w:rPr>
      </w:pPr>
      <w:r>
        <w:rPr>
          <w:rFonts w:ascii="Arial" w:hAnsi="Arial" w:cs="Arial"/>
          <w:b/>
          <w:bCs/>
          <w:sz w:val="24"/>
          <w:szCs w:val="24"/>
        </w:rPr>
        <w:t>2.2)</w:t>
      </w:r>
      <w:r>
        <w:rPr>
          <w:rFonts w:ascii="Arial" w:hAnsi="Arial" w:cs="Arial"/>
          <w:sz w:val="24"/>
          <w:szCs w:val="24"/>
        </w:rPr>
        <w:t xml:space="preserve"> </w:t>
      </w:r>
      <w:r>
        <w:rPr>
          <w:rFonts w:ascii="Arial" w:hAnsi="Arial" w:cs="Arial"/>
          <w:b/>
          <w:bCs/>
          <w:sz w:val="24"/>
          <w:szCs w:val="24"/>
        </w:rPr>
        <w:t>Obligaciones de la Intendencia</w:t>
      </w:r>
      <w:r>
        <w:rPr>
          <w:rFonts w:ascii="Arial" w:hAnsi="Arial" w:cs="Arial"/>
          <w:sz w:val="24"/>
          <w:szCs w:val="24"/>
        </w:rPr>
        <w:t xml:space="preserve">. La Intendencia se compromete a transferir a la Asociación, partidas mensuales para atender: </w:t>
      </w:r>
    </w:p>
    <w:p w:rsidR="00D060F1" w:rsidRDefault="00CE389E" w:rsidP="00D25ACC">
      <w:pPr>
        <w:spacing w:after="0" w:line="360" w:lineRule="auto"/>
        <w:jc w:val="both"/>
        <w:rPr>
          <w:rFonts w:ascii="Arial" w:hAnsi="Arial" w:cs="Arial"/>
          <w:sz w:val="24"/>
          <w:szCs w:val="24"/>
        </w:rPr>
      </w:pPr>
      <w:r>
        <w:rPr>
          <w:rFonts w:ascii="Arial" w:hAnsi="Arial" w:cs="Arial"/>
          <w:b/>
          <w:bCs/>
          <w:sz w:val="24"/>
          <w:szCs w:val="24"/>
        </w:rPr>
        <w:t>I)</w:t>
      </w:r>
      <w:r>
        <w:rPr>
          <w:rFonts w:ascii="Arial" w:hAnsi="Arial" w:cs="Arial"/>
          <w:sz w:val="24"/>
          <w:szCs w:val="24"/>
        </w:rPr>
        <w:t xml:space="preserve"> las retribuciones salariales del personal de los distintos Centros, comprendiéndose también el pago de salario vacacional, monto </w:t>
      </w:r>
      <w:r>
        <w:rPr>
          <w:rFonts w:ascii="Arial" w:hAnsi="Arial" w:cs="Arial"/>
          <w:sz w:val="24"/>
          <w:szCs w:val="24"/>
        </w:rPr>
        <w:lastRenderedPageBreak/>
        <w:t xml:space="preserve">correspondiente a prima por antigüedad y complemente de ex DISSE cuando corresponda por enfermedad de los funcionarios; </w:t>
      </w:r>
    </w:p>
    <w:p w:rsidR="00CE389E" w:rsidRDefault="00CE389E" w:rsidP="00D25ACC">
      <w:pPr>
        <w:spacing w:after="0" w:line="360" w:lineRule="auto"/>
        <w:jc w:val="both"/>
        <w:rPr>
          <w:rFonts w:ascii="Arial" w:hAnsi="Arial" w:cs="Arial"/>
          <w:sz w:val="24"/>
          <w:szCs w:val="24"/>
        </w:rPr>
      </w:pPr>
      <w:r>
        <w:rPr>
          <w:rFonts w:ascii="Arial" w:hAnsi="Arial" w:cs="Arial"/>
          <w:b/>
          <w:bCs/>
          <w:sz w:val="24"/>
          <w:szCs w:val="24"/>
        </w:rPr>
        <w:t>II)</w:t>
      </w:r>
      <w:r>
        <w:rPr>
          <w:rFonts w:ascii="Arial" w:hAnsi="Arial" w:cs="Arial"/>
          <w:sz w:val="24"/>
          <w:szCs w:val="24"/>
        </w:rPr>
        <w:t xml:space="preserve"> partidas mensuales para el pago de los servicios públicos y al funcionamiento del Centro, tales como materiales didácticos, desperfectos, etc.; </w:t>
      </w:r>
      <w:r>
        <w:rPr>
          <w:rFonts w:ascii="Arial" w:hAnsi="Arial" w:cs="Arial"/>
          <w:b/>
          <w:bCs/>
          <w:sz w:val="24"/>
          <w:szCs w:val="24"/>
        </w:rPr>
        <w:t>III)</w:t>
      </w:r>
      <w:r>
        <w:rPr>
          <w:rFonts w:ascii="Arial" w:hAnsi="Arial" w:cs="Arial"/>
          <w:sz w:val="24"/>
          <w:szCs w:val="24"/>
        </w:rPr>
        <w:t xml:space="preserve"> partidas mensuales para atender el pago de </w:t>
      </w:r>
      <w:r w:rsidR="00F84CF3">
        <w:rPr>
          <w:rFonts w:ascii="Arial" w:hAnsi="Arial" w:cs="Arial"/>
          <w:sz w:val="24"/>
          <w:szCs w:val="24"/>
        </w:rPr>
        <w:t>trámites y gestiones contables;</w:t>
      </w:r>
    </w:p>
    <w:p w:rsidR="00CE389E" w:rsidRDefault="00CE389E" w:rsidP="00D25ACC">
      <w:pPr>
        <w:spacing w:after="0" w:line="360" w:lineRule="auto"/>
        <w:jc w:val="both"/>
        <w:rPr>
          <w:rFonts w:ascii="Arial" w:hAnsi="Arial" w:cs="Arial"/>
          <w:sz w:val="24"/>
          <w:szCs w:val="24"/>
        </w:rPr>
      </w:pPr>
      <w:r>
        <w:rPr>
          <w:rFonts w:ascii="Arial" w:hAnsi="Arial" w:cs="Arial"/>
          <w:b/>
          <w:bCs/>
          <w:sz w:val="24"/>
          <w:szCs w:val="24"/>
        </w:rPr>
        <w:t>2.3)</w:t>
      </w:r>
      <w:r>
        <w:rPr>
          <w:rFonts w:ascii="Arial" w:hAnsi="Arial" w:cs="Arial"/>
          <w:sz w:val="24"/>
          <w:szCs w:val="24"/>
        </w:rPr>
        <w:t xml:space="preserve"> </w:t>
      </w:r>
      <w:r>
        <w:rPr>
          <w:rFonts w:ascii="Arial" w:hAnsi="Arial" w:cs="Arial"/>
          <w:b/>
          <w:bCs/>
          <w:sz w:val="24"/>
          <w:szCs w:val="24"/>
        </w:rPr>
        <w:t xml:space="preserve">Obligaciones de la Asociación. </w:t>
      </w:r>
      <w:r>
        <w:rPr>
          <w:rFonts w:ascii="Arial" w:hAnsi="Arial" w:cs="Arial"/>
          <w:sz w:val="24"/>
          <w:szCs w:val="24"/>
        </w:rPr>
        <w:t>Por su parte, las Asociaciones se obligan a:  pagar retribuciones de naturaleza salarial a los funcionarios de los C.C.E.I., pago de insumos y gastos de mantenimiento de los C.C.E.I., y de pólizas de seguros sobre accidentes de trabajo y enfermedades profesionales, cobertura de emergencia médica y todo aquello de similar naturaleza que permita el funcionamiento de los mismos;</w:t>
      </w:r>
    </w:p>
    <w:p w:rsidR="00CE389E" w:rsidRDefault="00CE389E" w:rsidP="00D25ACC">
      <w:pPr>
        <w:spacing w:after="0" w:line="360" w:lineRule="auto"/>
        <w:jc w:val="both"/>
        <w:rPr>
          <w:rFonts w:ascii="Arial" w:hAnsi="Arial" w:cs="Arial"/>
          <w:sz w:val="24"/>
          <w:szCs w:val="24"/>
        </w:rPr>
      </w:pPr>
      <w:r>
        <w:rPr>
          <w:rFonts w:ascii="Arial" w:hAnsi="Arial" w:cs="Arial"/>
          <w:b/>
          <w:bCs/>
          <w:sz w:val="24"/>
          <w:szCs w:val="24"/>
        </w:rPr>
        <w:t>2.4) Plazo.</w:t>
      </w:r>
      <w:r>
        <w:rPr>
          <w:rFonts w:ascii="Arial" w:hAnsi="Arial" w:cs="Arial"/>
          <w:sz w:val="24"/>
          <w:szCs w:val="24"/>
        </w:rPr>
        <w:t xml:space="preserve"> El plazo del convenio comenzará a regir a partir de su firma y se extenderá por el plazo de 1 año, prorrogable automáticamente por períodos de 1 año, no estableciéndose plazo máximo de vigencia, pudiendo rescindirlo cualquiera de las partes, con una antelación de 30 días al vencimiento del plazo;</w:t>
      </w:r>
    </w:p>
    <w:p w:rsidR="00CE389E" w:rsidRDefault="00CE389E" w:rsidP="00D060F1">
      <w:pPr>
        <w:spacing w:after="0" w:line="360" w:lineRule="auto"/>
        <w:ind w:firstLine="2835"/>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que, en ocasión de remitir, para su intervención, gastos correspondientes al Ejercicio 2015, este Tribunal, en acuerdo de fecha 5/08/015, se expidió:</w:t>
      </w:r>
    </w:p>
    <w:p w:rsidR="00CE389E" w:rsidRDefault="00CE389E" w:rsidP="00D25ACC">
      <w:pPr>
        <w:spacing w:after="0" w:line="360" w:lineRule="auto"/>
        <w:jc w:val="both"/>
        <w:rPr>
          <w:rFonts w:ascii="Arial" w:hAnsi="Arial" w:cs="Arial"/>
          <w:sz w:val="24"/>
          <w:szCs w:val="24"/>
        </w:rPr>
      </w:pPr>
      <w:r>
        <w:rPr>
          <w:rFonts w:ascii="Arial" w:hAnsi="Arial" w:cs="Arial"/>
          <w:b/>
          <w:bCs/>
          <w:sz w:val="24"/>
          <w:szCs w:val="24"/>
        </w:rPr>
        <w:t>3.1)</w:t>
      </w:r>
      <w:r>
        <w:rPr>
          <w:rFonts w:ascii="Arial" w:hAnsi="Arial" w:cs="Arial"/>
          <w:sz w:val="24"/>
          <w:szCs w:val="24"/>
        </w:rPr>
        <w:t xml:space="preserve"> observando el gasto por contravenció</w:t>
      </w:r>
      <w:r w:rsidR="00FF41BF">
        <w:rPr>
          <w:rFonts w:ascii="Arial" w:hAnsi="Arial" w:cs="Arial"/>
          <w:sz w:val="24"/>
          <w:szCs w:val="24"/>
        </w:rPr>
        <w:t>n de las previsiones de los                                                        Artículo</w:t>
      </w:r>
      <w:r>
        <w:rPr>
          <w:rFonts w:ascii="Arial" w:hAnsi="Arial" w:cs="Arial"/>
          <w:sz w:val="24"/>
          <w:szCs w:val="24"/>
        </w:rPr>
        <w:t xml:space="preserve"> 15 del T.O.C.A.F. y </w:t>
      </w:r>
      <w:r w:rsidR="00FF41BF">
        <w:rPr>
          <w:rFonts w:ascii="Arial" w:hAnsi="Arial" w:cs="Arial"/>
          <w:sz w:val="24"/>
          <w:szCs w:val="24"/>
        </w:rPr>
        <w:t xml:space="preserve"> 211 Literal </w:t>
      </w:r>
      <w:r>
        <w:rPr>
          <w:rFonts w:ascii="Arial" w:hAnsi="Arial" w:cs="Arial"/>
          <w:sz w:val="24"/>
          <w:szCs w:val="24"/>
        </w:rPr>
        <w:t>B) de la Constitución de la República; y</w:t>
      </w:r>
    </w:p>
    <w:p w:rsidR="00CE389E" w:rsidRDefault="00CE389E" w:rsidP="00D25ACC">
      <w:pPr>
        <w:spacing w:after="0" w:line="360" w:lineRule="auto"/>
        <w:jc w:val="both"/>
        <w:rPr>
          <w:rFonts w:ascii="Arial" w:hAnsi="Arial" w:cs="Arial"/>
          <w:sz w:val="24"/>
          <w:szCs w:val="24"/>
        </w:rPr>
      </w:pPr>
      <w:r>
        <w:rPr>
          <w:rFonts w:ascii="Arial" w:hAnsi="Arial" w:cs="Arial"/>
          <w:b/>
          <w:bCs/>
          <w:sz w:val="24"/>
          <w:szCs w:val="24"/>
        </w:rPr>
        <w:t>3.2)</w:t>
      </w:r>
      <w:r>
        <w:rPr>
          <w:rFonts w:ascii="Arial" w:hAnsi="Arial" w:cs="Arial"/>
          <w:sz w:val="24"/>
          <w:szCs w:val="24"/>
        </w:rPr>
        <w:t xml:space="preserve"> </w:t>
      </w:r>
      <w:proofErr w:type="gramStart"/>
      <w:r>
        <w:rPr>
          <w:rFonts w:ascii="Arial" w:hAnsi="Arial" w:cs="Arial"/>
          <w:sz w:val="24"/>
          <w:szCs w:val="24"/>
        </w:rPr>
        <w:t>señalando</w:t>
      </w:r>
      <w:proofErr w:type="gramEnd"/>
      <w:r>
        <w:rPr>
          <w:rFonts w:ascii="Arial" w:hAnsi="Arial" w:cs="Arial"/>
          <w:sz w:val="24"/>
          <w:szCs w:val="24"/>
        </w:rPr>
        <w:t xml:space="preserve"> a la Administración que, al suscribirse los convenios, deberá preverse en los mismos su plazo máximo de vigencia, ya que, en los contratos de la referencia se omitió dicha previsión, extendiéndose los mismos ”sine die” mediante</w:t>
      </w:r>
      <w:r w:rsidR="00D060F1">
        <w:rPr>
          <w:rFonts w:ascii="Arial" w:hAnsi="Arial" w:cs="Arial"/>
          <w:sz w:val="24"/>
          <w:szCs w:val="24"/>
        </w:rPr>
        <w:t xml:space="preserve"> prórrogas automáticas anuales;</w:t>
      </w:r>
    </w:p>
    <w:p w:rsidR="00CE389E" w:rsidRDefault="00CE389E" w:rsidP="00D060F1">
      <w:pPr>
        <w:spacing w:after="0" w:line="360" w:lineRule="auto"/>
        <w:ind w:firstLine="2835"/>
        <w:jc w:val="both"/>
        <w:rPr>
          <w:rFonts w:ascii="Arial" w:hAnsi="Arial" w:cs="Arial"/>
          <w:sz w:val="24"/>
          <w:szCs w:val="24"/>
        </w:rPr>
      </w:pPr>
      <w:r>
        <w:rPr>
          <w:rFonts w:ascii="Arial" w:hAnsi="Arial" w:cs="Arial"/>
          <w:b/>
          <w:bCs/>
          <w:sz w:val="24"/>
          <w:szCs w:val="24"/>
        </w:rPr>
        <w:t xml:space="preserve">4) </w:t>
      </w:r>
      <w:r>
        <w:rPr>
          <w:rFonts w:ascii="Arial" w:hAnsi="Arial" w:cs="Arial"/>
          <w:sz w:val="24"/>
          <w:szCs w:val="24"/>
        </w:rPr>
        <w:t xml:space="preserve">que en informe de fecha 11.2.16 del Contador General se expresa que “En la medida que ahora se estima que los convenios se prorrogarán hasta abril de este año, se </w:t>
      </w:r>
      <w:r w:rsidR="00FF41BF">
        <w:rPr>
          <w:rFonts w:ascii="Arial" w:hAnsi="Arial" w:cs="Arial"/>
          <w:sz w:val="24"/>
          <w:szCs w:val="24"/>
        </w:rPr>
        <w:t>decidió</w:t>
      </w:r>
      <w:r>
        <w:rPr>
          <w:rFonts w:ascii="Arial" w:hAnsi="Arial" w:cs="Arial"/>
          <w:sz w:val="24"/>
          <w:szCs w:val="24"/>
        </w:rPr>
        <w:t xml:space="preserve"> enviar las imputaciones de febrero a abril al Tribunal de Cuentas”;</w:t>
      </w:r>
    </w:p>
    <w:p w:rsidR="00CE389E" w:rsidRDefault="00CE389E" w:rsidP="00D060F1">
      <w:pPr>
        <w:spacing w:after="0" w:line="360" w:lineRule="auto"/>
        <w:ind w:firstLine="2835"/>
        <w:jc w:val="both"/>
        <w:rPr>
          <w:rFonts w:ascii="Arial" w:hAnsi="Arial" w:cs="Arial"/>
          <w:sz w:val="24"/>
          <w:szCs w:val="24"/>
        </w:rPr>
      </w:pPr>
      <w:r>
        <w:rPr>
          <w:rFonts w:ascii="Arial" w:hAnsi="Arial" w:cs="Arial"/>
          <w:b/>
          <w:bCs/>
          <w:sz w:val="24"/>
          <w:szCs w:val="24"/>
        </w:rPr>
        <w:lastRenderedPageBreak/>
        <w:t xml:space="preserve">5) </w:t>
      </w:r>
      <w:r w:rsidR="003F1DB0">
        <w:rPr>
          <w:rFonts w:ascii="Arial" w:hAnsi="Arial" w:cs="Arial"/>
          <w:sz w:val="24"/>
          <w:szCs w:val="24"/>
        </w:rPr>
        <w:t>que, en S</w:t>
      </w:r>
      <w:r>
        <w:rPr>
          <w:rFonts w:ascii="Arial" w:hAnsi="Arial" w:cs="Arial"/>
          <w:sz w:val="24"/>
          <w:szCs w:val="24"/>
        </w:rPr>
        <w:t>esión de fecha 02/0316 este Tribunal consideró el gasto correspondiente al período febrero a abril del 2016,  derivado del pago a diversas administradoras de Centros Comunitarios de Educación Inicial, por la realización de la</w:t>
      </w:r>
      <w:r w:rsidR="003F1DB0">
        <w:rPr>
          <w:rFonts w:ascii="Arial" w:hAnsi="Arial" w:cs="Arial"/>
          <w:sz w:val="24"/>
          <w:szCs w:val="24"/>
        </w:rPr>
        <w:t>s tareas relacionadas ut supra;</w:t>
      </w:r>
    </w:p>
    <w:p w:rsidR="00CE389E" w:rsidRDefault="00CE389E" w:rsidP="00D060F1">
      <w:pPr>
        <w:spacing w:after="0" w:line="360" w:lineRule="auto"/>
        <w:ind w:firstLine="2835"/>
        <w:jc w:val="both"/>
        <w:rPr>
          <w:rFonts w:ascii="Arial" w:hAnsi="Arial" w:cs="Arial"/>
          <w:sz w:val="24"/>
          <w:szCs w:val="24"/>
        </w:rPr>
      </w:pPr>
      <w:r>
        <w:rPr>
          <w:rFonts w:ascii="Arial" w:hAnsi="Arial" w:cs="Arial"/>
          <w:b/>
          <w:bCs/>
          <w:sz w:val="24"/>
          <w:szCs w:val="24"/>
        </w:rPr>
        <w:t>6)</w:t>
      </w:r>
      <w:r>
        <w:rPr>
          <w:rFonts w:ascii="Arial" w:hAnsi="Arial" w:cs="Arial"/>
          <w:sz w:val="24"/>
          <w:szCs w:val="24"/>
        </w:rPr>
        <w:t xml:space="preserve"> que en dicha oportunidad, el Tribunal acordó cometer al Contador Delegado la intervención de los gastos derivados de los convenios vigente, debiendo tenerse presente por la Administración</w:t>
      </w:r>
      <w:r w:rsidRPr="003F1DB0">
        <w:rPr>
          <w:rFonts w:ascii="Arial" w:hAnsi="Arial" w:cs="Arial"/>
          <w:bCs/>
          <w:sz w:val="24"/>
          <w:szCs w:val="24"/>
        </w:rPr>
        <w:t>)</w:t>
      </w:r>
      <w:r>
        <w:rPr>
          <w:rFonts w:ascii="Arial" w:hAnsi="Arial" w:cs="Arial"/>
          <w:sz w:val="24"/>
          <w:szCs w:val="24"/>
        </w:rPr>
        <w:t xml:space="preserve"> que la continuación “sine die” de los convenios celebrados, excede las potestades de la Administración actuante, lo cual ya fue señalado oportunamente por este Tribunal y que  la tramitación en un mismo expediente de múltiples convenios dificulta la tar</w:t>
      </w:r>
      <w:r w:rsidR="008F3581">
        <w:rPr>
          <w:rFonts w:ascii="Arial" w:hAnsi="Arial" w:cs="Arial"/>
          <w:sz w:val="24"/>
          <w:szCs w:val="24"/>
        </w:rPr>
        <w:t>ea de control de este Tribunal;</w:t>
      </w:r>
    </w:p>
    <w:p w:rsidR="00CE389E" w:rsidRDefault="00CE389E" w:rsidP="00D060F1">
      <w:pPr>
        <w:spacing w:after="0" w:line="360" w:lineRule="auto"/>
        <w:ind w:firstLine="2835"/>
        <w:jc w:val="both"/>
        <w:rPr>
          <w:rFonts w:ascii="Arial" w:hAnsi="Arial" w:cs="Arial"/>
          <w:sz w:val="24"/>
          <w:szCs w:val="24"/>
        </w:rPr>
      </w:pPr>
      <w:r>
        <w:rPr>
          <w:rFonts w:ascii="Arial" w:hAnsi="Arial" w:cs="Arial"/>
          <w:b/>
          <w:bCs/>
          <w:sz w:val="24"/>
          <w:szCs w:val="24"/>
        </w:rPr>
        <w:t xml:space="preserve">7) </w:t>
      </w:r>
      <w:r>
        <w:rPr>
          <w:rFonts w:ascii="Arial" w:hAnsi="Arial" w:cs="Arial"/>
          <w:sz w:val="24"/>
          <w:szCs w:val="24"/>
        </w:rPr>
        <w:t>que con fecha 29 de marzo de 2016 la División Políticas Sociales gestiona el pago de las facturas correspondientes a mayo/2016 correspondiente a las Asociaciones Civiles que gestionan los Centros de Educación Inicial, adjuntando la  planilla respectiva;</w:t>
      </w:r>
    </w:p>
    <w:p w:rsidR="00CE389E" w:rsidRDefault="00CE389E" w:rsidP="00D060F1">
      <w:pPr>
        <w:spacing w:after="0" w:line="360" w:lineRule="auto"/>
        <w:ind w:firstLine="2835"/>
        <w:jc w:val="both"/>
        <w:rPr>
          <w:rFonts w:ascii="Arial" w:hAnsi="Arial" w:cs="Arial"/>
          <w:sz w:val="24"/>
          <w:szCs w:val="24"/>
        </w:rPr>
      </w:pPr>
      <w:r>
        <w:rPr>
          <w:rFonts w:ascii="Arial" w:hAnsi="Arial" w:cs="Arial"/>
          <w:b/>
          <w:bCs/>
          <w:sz w:val="24"/>
          <w:szCs w:val="24"/>
        </w:rPr>
        <w:t xml:space="preserve">8) </w:t>
      </w:r>
      <w:r>
        <w:rPr>
          <w:rFonts w:ascii="Arial" w:hAnsi="Arial" w:cs="Arial"/>
          <w:sz w:val="24"/>
          <w:szCs w:val="24"/>
        </w:rPr>
        <w:t xml:space="preserve">que por Resolución 1488/16 de fecha 11/04/16 el Intendente autorizó el gasto de $ 6:695.780,50 a favor de Asociación Civil Despertares; Proyecto Socio Educativo Tierra Nueva (PROSOEDUC), Nuestros Niños Cilindro, Asociación Civil Isla de Gaspar, Comisión Pro Infancia Montevideo Este, Asociación Civil Despertares, Grupo Vecinal </w:t>
      </w:r>
      <w:proofErr w:type="spellStart"/>
      <w:r>
        <w:rPr>
          <w:rFonts w:ascii="Arial" w:hAnsi="Arial" w:cs="Arial"/>
          <w:sz w:val="24"/>
          <w:szCs w:val="24"/>
        </w:rPr>
        <w:t>Capra</w:t>
      </w:r>
      <w:proofErr w:type="spellEnd"/>
      <w:r>
        <w:rPr>
          <w:rFonts w:ascii="Arial" w:hAnsi="Arial" w:cs="Arial"/>
          <w:sz w:val="24"/>
          <w:szCs w:val="24"/>
        </w:rPr>
        <w:t xml:space="preserve">, Asociación Civil Centro Preescolar Las Acacias, Comisión de Infancia Comunitaria Nuestro Hijos, Centro Comunitario </w:t>
      </w:r>
      <w:proofErr w:type="spellStart"/>
      <w:r>
        <w:rPr>
          <w:rFonts w:ascii="Arial" w:hAnsi="Arial" w:cs="Arial"/>
          <w:sz w:val="24"/>
          <w:szCs w:val="24"/>
        </w:rPr>
        <w:t>Kin</w:t>
      </w:r>
      <w:proofErr w:type="spellEnd"/>
      <w:r>
        <w:rPr>
          <w:rFonts w:ascii="Arial" w:hAnsi="Arial" w:cs="Arial"/>
          <w:sz w:val="24"/>
          <w:szCs w:val="24"/>
        </w:rPr>
        <w:t xml:space="preserve"> Ti n Tan,  Asociación Civil Mil Colores, Complejo Habitacional Barrio 3 de abril, Cultura e Infancia y Asociación Civil Susana Pintos, correspondiente a la gestión de los Centros Comunitarios de Educación Inicial </w:t>
      </w:r>
      <w:r w:rsidR="00C76273">
        <w:rPr>
          <w:rFonts w:ascii="Arial" w:hAnsi="Arial" w:cs="Arial"/>
          <w:sz w:val="24"/>
          <w:szCs w:val="24"/>
        </w:rPr>
        <w:t>durante el mes de mayo de 2016;</w:t>
      </w:r>
    </w:p>
    <w:p w:rsidR="00CE389E" w:rsidRDefault="00CE389E" w:rsidP="00D060F1">
      <w:pPr>
        <w:spacing w:after="0" w:line="360" w:lineRule="auto"/>
        <w:ind w:firstLine="2977"/>
        <w:jc w:val="both"/>
        <w:rPr>
          <w:rFonts w:ascii="Arial" w:hAnsi="Arial" w:cs="Arial"/>
          <w:sz w:val="24"/>
          <w:szCs w:val="24"/>
        </w:rPr>
      </w:pPr>
      <w:r>
        <w:rPr>
          <w:rFonts w:ascii="Arial" w:hAnsi="Arial" w:cs="Arial"/>
          <w:b/>
          <w:bCs/>
          <w:sz w:val="24"/>
          <w:szCs w:val="24"/>
        </w:rPr>
        <w:t xml:space="preserve">9) </w:t>
      </w:r>
      <w:r>
        <w:rPr>
          <w:rFonts w:ascii="Arial" w:hAnsi="Arial" w:cs="Arial"/>
          <w:sz w:val="24"/>
          <w:szCs w:val="24"/>
        </w:rPr>
        <w:t>que por Resolución Nº 1748/16 de fecha 25/04/16 se modifica la Resolución 1488/16, indicando que el gasto será atendido con cargo a las solicitudes  SEFIS Nos. 191355, a 191360, 191362, 191363, 191364, 191366, 191368.191370, 191371, 191400, 191399,191373, y 191375 por las sumas de $ 504.460,50, $</w:t>
      </w:r>
      <w:r w:rsidR="00C76273">
        <w:rPr>
          <w:rFonts w:ascii="Arial" w:hAnsi="Arial" w:cs="Arial"/>
          <w:sz w:val="24"/>
          <w:szCs w:val="24"/>
        </w:rPr>
        <w:t xml:space="preserve"> </w:t>
      </w:r>
      <w:r>
        <w:rPr>
          <w:rFonts w:ascii="Arial" w:hAnsi="Arial" w:cs="Arial"/>
          <w:sz w:val="24"/>
          <w:szCs w:val="24"/>
        </w:rPr>
        <w:t xml:space="preserve">270.631, 504.265, 332.553, 543.607, $ 355.662, $ 475.031, $ 289.899; $ 357.607; 492.615; $ 306.159; $ 318.655, </w:t>
      </w:r>
      <w:r w:rsidR="00C76273">
        <w:rPr>
          <w:rFonts w:ascii="Arial" w:hAnsi="Arial" w:cs="Arial"/>
          <w:sz w:val="24"/>
          <w:szCs w:val="24"/>
        </w:rPr>
        <w:t xml:space="preserve">                </w:t>
      </w:r>
      <w:r>
        <w:rPr>
          <w:rFonts w:ascii="Arial" w:hAnsi="Arial" w:cs="Arial"/>
          <w:sz w:val="24"/>
          <w:szCs w:val="24"/>
        </w:rPr>
        <w:t>$ 292.815, $ 613.644, $</w:t>
      </w:r>
      <w:r w:rsidR="008F3581">
        <w:rPr>
          <w:rFonts w:ascii="Arial" w:hAnsi="Arial" w:cs="Arial"/>
          <w:sz w:val="24"/>
          <w:szCs w:val="24"/>
        </w:rPr>
        <w:t xml:space="preserve"> </w:t>
      </w:r>
      <w:r>
        <w:rPr>
          <w:rFonts w:ascii="Arial" w:hAnsi="Arial" w:cs="Arial"/>
          <w:sz w:val="24"/>
          <w:szCs w:val="24"/>
        </w:rPr>
        <w:t>287.263, 262.3</w:t>
      </w:r>
      <w:r w:rsidR="00C76273">
        <w:rPr>
          <w:rFonts w:ascii="Arial" w:hAnsi="Arial" w:cs="Arial"/>
          <w:sz w:val="24"/>
          <w:szCs w:val="24"/>
        </w:rPr>
        <w:t>88 y $ 488.526;</w:t>
      </w:r>
    </w:p>
    <w:p w:rsidR="00CE389E" w:rsidRDefault="00CE389E" w:rsidP="00D060F1">
      <w:pPr>
        <w:spacing w:after="0" w:line="360" w:lineRule="auto"/>
        <w:ind w:firstLine="2977"/>
        <w:jc w:val="both"/>
        <w:rPr>
          <w:rFonts w:ascii="Arial" w:hAnsi="Arial" w:cs="Arial"/>
          <w:sz w:val="24"/>
          <w:szCs w:val="24"/>
        </w:rPr>
      </w:pPr>
      <w:r>
        <w:rPr>
          <w:rFonts w:ascii="Arial" w:hAnsi="Arial" w:cs="Arial"/>
          <w:b/>
          <w:bCs/>
          <w:sz w:val="24"/>
          <w:szCs w:val="24"/>
        </w:rPr>
        <w:t>10)</w:t>
      </w:r>
      <w:r>
        <w:rPr>
          <w:rFonts w:ascii="Arial" w:hAnsi="Arial" w:cs="Arial"/>
          <w:sz w:val="24"/>
          <w:szCs w:val="24"/>
        </w:rPr>
        <w:t xml:space="preserve"> que, conforme a lo informado con fecha 11/02/016, las imputaciones relacionadas se efectuaron con cargo a rubro c</w:t>
      </w:r>
      <w:r w:rsidR="00C76273">
        <w:rPr>
          <w:rFonts w:ascii="Arial" w:hAnsi="Arial" w:cs="Arial"/>
          <w:sz w:val="24"/>
          <w:szCs w:val="24"/>
        </w:rPr>
        <w:t>on disponibilidad presupuestal;</w:t>
      </w:r>
      <w:r>
        <w:rPr>
          <w:rFonts w:ascii="Arial" w:hAnsi="Arial" w:cs="Arial"/>
          <w:sz w:val="24"/>
          <w:szCs w:val="24"/>
        </w:rPr>
        <w:t xml:space="preserve">                            </w:t>
      </w:r>
    </w:p>
    <w:p w:rsidR="00CE389E" w:rsidRDefault="00CE389E" w:rsidP="00D060F1">
      <w:pPr>
        <w:spacing w:after="0" w:line="360" w:lineRule="auto"/>
        <w:ind w:firstLine="851"/>
        <w:jc w:val="both"/>
        <w:rPr>
          <w:rFonts w:ascii="Arial" w:hAnsi="Arial" w:cs="Arial"/>
          <w:sz w:val="24"/>
          <w:szCs w:val="24"/>
        </w:rPr>
      </w:pPr>
      <w:r>
        <w:rPr>
          <w:rFonts w:ascii="Arial" w:hAnsi="Arial" w:cs="Arial"/>
          <w:b/>
          <w:bCs/>
          <w:sz w:val="24"/>
          <w:szCs w:val="24"/>
        </w:rPr>
        <w:t>CONSIDERANDO:</w:t>
      </w:r>
      <w:r w:rsidR="00D060F1">
        <w:rPr>
          <w:rFonts w:ascii="Arial" w:hAnsi="Arial" w:cs="Arial"/>
          <w:b/>
          <w:bCs/>
          <w:sz w:val="24"/>
          <w:szCs w:val="24"/>
        </w:rPr>
        <w:t xml:space="preserve"> </w:t>
      </w:r>
      <w:r>
        <w:rPr>
          <w:rFonts w:ascii="Arial" w:hAnsi="Arial" w:cs="Arial"/>
          <w:b/>
          <w:bCs/>
          <w:sz w:val="24"/>
          <w:szCs w:val="24"/>
        </w:rPr>
        <w:t>1)</w:t>
      </w:r>
      <w:r>
        <w:rPr>
          <w:rFonts w:ascii="Arial" w:hAnsi="Arial" w:cs="Arial"/>
          <w:sz w:val="24"/>
          <w:szCs w:val="24"/>
        </w:rPr>
        <w:t xml:space="preserve"> que la continuación “sine die” de los convenios celebrados, excede las potestades de la Administración actuante, lo cual ya fue señalado oportunamente por este Tribunal (Resultandos 3.2 y </w:t>
      </w:r>
      <w:r w:rsidR="00325BF6">
        <w:rPr>
          <w:rFonts w:ascii="Arial" w:hAnsi="Arial" w:cs="Arial"/>
          <w:sz w:val="24"/>
          <w:szCs w:val="24"/>
        </w:rPr>
        <w:t>6</w:t>
      </w:r>
      <w:r>
        <w:rPr>
          <w:rFonts w:ascii="Arial" w:hAnsi="Arial" w:cs="Arial"/>
          <w:sz w:val="24"/>
          <w:szCs w:val="24"/>
        </w:rPr>
        <w:t>);</w:t>
      </w:r>
    </w:p>
    <w:p w:rsidR="00CE389E" w:rsidRDefault="00D060F1" w:rsidP="00D060F1">
      <w:pPr>
        <w:spacing w:after="0" w:line="360" w:lineRule="auto"/>
        <w:ind w:firstLine="2977"/>
        <w:jc w:val="both"/>
        <w:rPr>
          <w:rFonts w:ascii="Arial" w:hAnsi="Arial" w:cs="Arial"/>
          <w:sz w:val="24"/>
          <w:szCs w:val="24"/>
        </w:rPr>
      </w:pPr>
      <w:r>
        <w:rPr>
          <w:rFonts w:ascii="Arial" w:hAnsi="Arial" w:cs="Arial"/>
          <w:b/>
          <w:bCs/>
          <w:sz w:val="24"/>
          <w:szCs w:val="24"/>
        </w:rPr>
        <w:t xml:space="preserve"> </w:t>
      </w:r>
      <w:r w:rsidR="00CE389E">
        <w:rPr>
          <w:rFonts w:ascii="Arial" w:hAnsi="Arial" w:cs="Arial"/>
          <w:b/>
          <w:bCs/>
          <w:sz w:val="24"/>
          <w:szCs w:val="24"/>
        </w:rPr>
        <w:t xml:space="preserve">2) </w:t>
      </w:r>
      <w:r w:rsidR="00CE389E">
        <w:rPr>
          <w:rFonts w:ascii="Arial" w:hAnsi="Arial" w:cs="Arial"/>
          <w:sz w:val="24"/>
          <w:szCs w:val="24"/>
        </w:rPr>
        <w:t xml:space="preserve">que seguir prorrogando automáticamente y sin </w:t>
      </w:r>
      <w:r w:rsidR="00C76273">
        <w:rPr>
          <w:rFonts w:ascii="Arial" w:hAnsi="Arial" w:cs="Arial"/>
          <w:sz w:val="24"/>
          <w:szCs w:val="24"/>
        </w:rPr>
        <w:t>límite</w:t>
      </w:r>
      <w:r w:rsidR="00CE389E">
        <w:rPr>
          <w:rFonts w:ascii="Arial" w:hAnsi="Arial" w:cs="Arial"/>
          <w:sz w:val="24"/>
          <w:szCs w:val="24"/>
        </w:rPr>
        <w:t xml:space="preserve"> dichos convenios, configura un apartamiento de las normas legales de contratación (</w:t>
      </w:r>
      <w:r w:rsidR="008F3581">
        <w:rPr>
          <w:rFonts w:ascii="Arial" w:hAnsi="Arial" w:cs="Arial"/>
          <w:sz w:val="24"/>
          <w:szCs w:val="24"/>
        </w:rPr>
        <w:t>A</w:t>
      </w:r>
      <w:r w:rsidR="00CE389E">
        <w:rPr>
          <w:rFonts w:ascii="Arial" w:hAnsi="Arial" w:cs="Arial"/>
          <w:sz w:val="24"/>
          <w:szCs w:val="24"/>
        </w:rPr>
        <w:t>rt</w:t>
      </w:r>
      <w:r w:rsidR="008F3581">
        <w:rPr>
          <w:rFonts w:ascii="Arial" w:hAnsi="Arial" w:cs="Arial"/>
          <w:sz w:val="24"/>
          <w:szCs w:val="24"/>
        </w:rPr>
        <w:t xml:space="preserve">ículo </w:t>
      </w:r>
      <w:r w:rsidR="00CE389E">
        <w:rPr>
          <w:rFonts w:ascii="Arial" w:hAnsi="Arial" w:cs="Arial"/>
          <w:sz w:val="24"/>
          <w:szCs w:val="24"/>
        </w:rPr>
        <w:t>33 del TOCAF);</w:t>
      </w:r>
    </w:p>
    <w:p w:rsidR="00CE389E" w:rsidRDefault="00D060F1" w:rsidP="00D060F1">
      <w:pPr>
        <w:spacing w:after="0" w:line="360" w:lineRule="auto"/>
        <w:ind w:firstLine="2977"/>
        <w:jc w:val="both"/>
        <w:rPr>
          <w:rFonts w:ascii="Arial" w:hAnsi="Arial" w:cs="Arial"/>
          <w:b/>
          <w:bCs/>
          <w:sz w:val="24"/>
          <w:szCs w:val="24"/>
        </w:rPr>
      </w:pPr>
      <w:r>
        <w:rPr>
          <w:rFonts w:ascii="Arial" w:hAnsi="Arial" w:cs="Arial"/>
          <w:b/>
          <w:bCs/>
          <w:sz w:val="24"/>
          <w:szCs w:val="24"/>
        </w:rPr>
        <w:t xml:space="preserve"> </w:t>
      </w:r>
      <w:r w:rsidR="00CE389E">
        <w:rPr>
          <w:rFonts w:ascii="Arial" w:hAnsi="Arial" w:cs="Arial"/>
          <w:b/>
          <w:bCs/>
          <w:sz w:val="24"/>
          <w:szCs w:val="24"/>
        </w:rPr>
        <w:t>3)</w:t>
      </w:r>
      <w:r w:rsidR="00CE389E">
        <w:rPr>
          <w:rFonts w:ascii="Arial" w:hAnsi="Arial" w:cs="Arial"/>
          <w:sz w:val="24"/>
          <w:szCs w:val="24"/>
        </w:rPr>
        <w:t xml:space="preserve"> que asimismo y tal como ya se ha señalado, la tramitación en un mismo expediente de múltiples convenios dificulta la tarea de control de este Tribunal; </w:t>
      </w:r>
      <w:r w:rsidR="00CE389E">
        <w:rPr>
          <w:rFonts w:ascii="Arial" w:hAnsi="Arial" w:cs="Arial"/>
          <w:b/>
          <w:bCs/>
          <w:sz w:val="24"/>
          <w:szCs w:val="24"/>
        </w:rPr>
        <w:t xml:space="preserve"> </w:t>
      </w:r>
    </w:p>
    <w:p w:rsidR="00CE389E" w:rsidRDefault="00CE389E" w:rsidP="00D060F1">
      <w:pPr>
        <w:spacing w:after="0" w:line="360" w:lineRule="auto"/>
        <w:ind w:firstLine="851"/>
        <w:jc w:val="both"/>
        <w:rPr>
          <w:rFonts w:ascii="Arial" w:hAnsi="Arial" w:cs="Arial"/>
          <w:sz w:val="24"/>
          <w:szCs w:val="24"/>
        </w:rPr>
      </w:pPr>
      <w:r>
        <w:rPr>
          <w:rFonts w:ascii="Arial" w:hAnsi="Arial" w:cs="Arial"/>
          <w:b/>
          <w:bCs/>
          <w:sz w:val="24"/>
          <w:szCs w:val="24"/>
        </w:rPr>
        <w:t>ATENTO:</w:t>
      </w:r>
      <w:r>
        <w:rPr>
          <w:rFonts w:ascii="Arial" w:hAnsi="Arial" w:cs="Arial"/>
          <w:sz w:val="24"/>
          <w:szCs w:val="24"/>
        </w:rPr>
        <w:t xml:space="preserve"> a lo precedentemente expuesto;</w:t>
      </w:r>
    </w:p>
    <w:p w:rsidR="00CE389E" w:rsidRDefault="00CE389E" w:rsidP="00D25ACC">
      <w:pPr>
        <w:spacing w:after="0" w:line="360" w:lineRule="auto"/>
        <w:jc w:val="center"/>
        <w:rPr>
          <w:rFonts w:ascii="Arial" w:hAnsi="Arial" w:cs="Arial"/>
          <w:sz w:val="24"/>
          <w:szCs w:val="24"/>
        </w:rPr>
      </w:pPr>
      <w:r>
        <w:rPr>
          <w:rFonts w:ascii="Arial" w:hAnsi="Arial" w:cs="Arial"/>
          <w:b/>
          <w:bCs/>
          <w:sz w:val="24"/>
          <w:szCs w:val="24"/>
        </w:rPr>
        <w:t>EL TRIBUNAL ACUERDA</w:t>
      </w:r>
      <w:r>
        <w:rPr>
          <w:rFonts w:ascii="Arial" w:hAnsi="Arial" w:cs="Arial"/>
          <w:sz w:val="24"/>
          <w:szCs w:val="24"/>
        </w:rPr>
        <w:t>:</w:t>
      </w:r>
    </w:p>
    <w:p w:rsidR="00CE389E" w:rsidRDefault="00D25ACC" w:rsidP="00D25ACC">
      <w:pPr>
        <w:pStyle w:val="Prrafodelista"/>
        <w:spacing w:after="0" w:line="360" w:lineRule="auto"/>
        <w:ind w:left="0"/>
        <w:jc w:val="both"/>
        <w:rPr>
          <w:rFonts w:ascii="Arial" w:hAnsi="Arial" w:cs="Arial"/>
          <w:sz w:val="24"/>
          <w:szCs w:val="24"/>
        </w:rPr>
      </w:pPr>
      <w:r w:rsidRPr="00D25ACC">
        <w:rPr>
          <w:rFonts w:ascii="Arial" w:hAnsi="Arial" w:cs="Arial"/>
          <w:b/>
          <w:sz w:val="24"/>
          <w:szCs w:val="24"/>
        </w:rPr>
        <w:t>1)</w:t>
      </w:r>
      <w:r>
        <w:rPr>
          <w:rFonts w:ascii="Arial" w:hAnsi="Arial" w:cs="Arial"/>
          <w:sz w:val="24"/>
          <w:szCs w:val="24"/>
        </w:rPr>
        <w:t xml:space="preserve"> </w:t>
      </w:r>
      <w:r w:rsidR="00CE389E">
        <w:rPr>
          <w:rFonts w:ascii="Arial" w:hAnsi="Arial" w:cs="Arial"/>
          <w:sz w:val="24"/>
          <w:szCs w:val="24"/>
        </w:rPr>
        <w:t>Observar los pagos dispuestos;</w:t>
      </w:r>
    </w:p>
    <w:p w:rsidR="00CE389E" w:rsidRDefault="00D25ACC" w:rsidP="00D25ACC">
      <w:pPr>
        <w:pStyle w:val="Prrafodelista"/>
        <w:spacing w:after="0" w:line="360" w:lineRule="auto"/>
        <w:ind w:left="284" w:hanging="284"/>
        <w:jc w:val="both"/>
        <w:rPr>
          <w:rFonts w:ascii="Arial" w:hAnsi="Arial" w:cs="Arial"/>
          <w:sz w:val="24"/>
          <w:szCs w:val="24"/>
        </w:rPr>
      </w:pPr>
      <w:r w:rsidRPr="00D25ACC">
        <w:rPr>
          <w:rFonts w:ascii="Arial" w:hAnsi="Arial" w:cs="Arial"/>
          <w:b/>
          <w:sz w:val="24"/>
          <w:szCs w:val="24"/>
        </w:rPr>
        <w:t xml:space="preserve">2) </w:t>
      </w:r>
      <w:r w:rsidR="00CE389E">
        <w:rPr>
          <w:rFonts w:ascii="Arial" w:hAnsi="Arial" w:cs="Arial"/>
          <w:sz w:val="24"/>
          <w:szCs w:val="24"/>
        </w:rPr>
        <w:t>Comunicar a la Contadora Delegada actuante, la que asimismo deberá tener presente lo dispuesto por este Tribunal (Resultando 6):</w:t>
      </w:r>
    </w:p>
    <w:p w:rsidR="00CE389E" w:rsidRDefault="00D25ACC" w:rsidP="00D25ACC">
      <w:pPr>
        <w:pStyle w:val="Prrafodelista"/>
        <w:spacing w:after="0" w:line="360" w:lineRule="auto"/>
        <w:ind w:left="0"/>
        <w:jc w:val="both"/>
        <w:rPr>
          <w:rFonts w:ascii="Arial" w:hAnsi="Arial" w:cs="Arial"/>
          <w:sz w:val="24"/>
          <w:szCs w:val="24"/>
        </w:rPr>
      </w:pPr>
      <w:r w:rsidRPr="00D25ACC">
        <w:rPr>
          <w:rFonts w:ascii="Arial" w:hAnsi="Arial" w:cs="Arial"/>
          <w:b/>
          <w:sz w:val="24"/>
          <w:szCs w:val="24"/>
        </w:rPr>
        <w:t>3)</w:t>
      </w:r>
      <w:r>
        <w:rPr>
          <w:rFonts w:ascii="Arial" w:hAnsi="Arial" w:cs="Arial"/>
          <w:sz w:val="24"/>
          <w:szCs w:val="24"/>
        </w:rPr>
        <w:t xml:space="preserve"> </w:t>
      </w:r>
      <w:r w:rsidR="00CE389E">
        <w:rPr>
          <w:rFonts w:ascii="Arial" w:hAnsi="Arial" w:cs="Arial"/>
          <w:sz w:val="24"/>
          <w:szCs w:val="24"/>
        </w:rPr>
        <w:t>Devolver las actuaciones.</w:t>
      </w:r>
    </w:p>
    <w:p w:rsidR="00D060F1" w:rsidRDefault="00D060F1" w:rsidP="00D25ACC">
      <w:pPr>
        <w:pStyle w:val="Prrafodelista"/>
        <w:spacing w:after="0" w:line="360" w:lineRule="auto"/>
        <w:ind w:left="0"/>
        <w:jc w:val="both"/>
        <w:rPr>
          <w:rFonts w:ascii="Arial" w:hAnsi="Arial" w:cs="Arial"/>
          <w:sz w:val="24"/>
          <w:szCs w:val="24"/>
        </w:rPr>
      </w:pPr>
    </w:p>
    <w:p w:rsidR="00D060F1" w:rsidRDefault="00D060F1" w:rsidP="00D25ACC">
      <w:pPr>
        <w:pStyle w:val="Prrafodelista"/>
        <w:spacing w:after="0" w:line="360" w:lineRule="auto"/>
        <w:ind w:left="0"/>
        <w:jc w:val="both"/>
        <w:rPr>
          <w:rFonts w:ascii="Arial" w:hAnsi="Arial" w:cs="Arial"/>
          <w:sz w:val="24"/>
          <w:szCs w:val="24"/>
        </w:rPr>
      </w:pPr>
      <w:proofErr w:type="spellStart"/>
      <w:proofErr w:type="gramStart"/>
      <w:r>
        <w:rPr>
          <w:rFonts w:ascii="Arial" w:hAnsi="Arial" w:cs="Arial"/>
          <w:sz w:val="24"/>
          <w:szCs w:val="24"/>
        </w:rPr>
        <w:t>ag</w:t>
      </w:r>
      <w:proofErr w:type="spellEnd"/>
      <w:proofErr w:type="gramEnd"/>
    </w:p>
    <w:sectPr w:rsidR="00D060F1" w:rsidSect="00060DF2">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C6880"/>
    <w:multiLevelType w:val="hybridMultilevel"/>
    <w:tmpl w:val="49BE6CE6"/>
    <w:lvl w:ilvl="0" w:tplc="841A5272">
      <w:start w:val="1"/>
      <w:numFmt w:val="decimal"/>
      <w:lvlText w:val="%1)"/>
      <w:lvlJc w:val="left"/>
      <w:pPr>
        <w:ind w:left="1068" w:hanging="360"/>
      </w:pPr>
      <w:rPr>
        <w:rFonts w:ascii="Times New Roman" w:hAnsi="Times New Roman" w:cs="Times New Roman" w:hint="default"/>
        <w:b/>
        <w:bCs/>
      </w:rPr>
    </w:lvl>
    <w:lvl w:ilvl="1" w:tplc="380A0019">
      <w:start w:val="1"/>
      <w:numFmt w:val="lowerLetter"/>
      <w:lvlText w:val="%2."/>
      <w:lvlJc w:val="left"/>
      <w:pPr>
        <w:ind w:left="1788" w:hanging="360"/>
      </w:pPr>
      <w:rPr>
        <w:rFonts w:ascii="Times New Roman" w:hAnsi="Times New Roman" w:cs="Times New Roman"/>
      </w:rPr>
    </w:lvl>
    <w:lvl w:ilvl="2" w:tplc="380A001B">
      <w:start w:val="1"/>
      <w:numFmt w:val="lowerRoman"/>
      <w:lvlText w:val="%3."/>
      <w:lvlJc w:val="right"/>
      <w:pPr>
        <w:ind w:left="2508" w:hanging="180"/>
      </w:pPr>
      <w:rPr>
        <w:rFonts w:ascii="Times New Roman" w:hAnsi="Times New Roman" w:cs="Times New Roman"/>
      </w:rPr>
    </w:lvl>
    <w:lvl w:ilvl="3" w:tplc="380A000F">
      <w:start w:val="1"/>
      <w:numFmt w:val="decimal"/>
      <w:lvlText w:val="%4."/>
      <w:lvlJc w:val="left"/>
      <w:pPr>
        <w:ind w:left="3228" w:hanging="360"/>
      </w:pPr>
      <w:rPr>
        <w:rFonts w:ascii="Times New Roman" w:hAnsi="Times New Roman" w:cs="Times New Roman"/>
      </w:rPr>
    </w:lvl>
    <w:lvl w:ilvl="4" w:tplc="380A0019">
      <w:start w:val="1"/>
      <w:numFmt w:val="lowerLetter"/>
      <w:lvlText w:val="%5."/>
      <w:lvlJc w:val="left"/>
      <w:pPr>
        <w:ind w:left="3948" w:hanging="360"/>
      </w:pPr>
      <w:rPr>
        <w:rFonts w:ascii="Times New Roman" w:hAnsi="Times New Roman" w:cs="Times New Roman"/>
      </w:rPr>
    </w:lvl>
    <w:lvl w:ilvl="5" w:tplc="380A001B">
      <w:start w:val="1"/>
      <w:numFmt w:val="lowerRoman"/>
      <w:lvlText w:val="%6."/>
      <w:lvlJc w:val="right"/>
      <w:pPr>
        <w:ind w:left="4668" w:hanging="180"/>
      </w:pPr>
      <w:rPr>
        <w:rFonts w:ascii="Times New Roman" w:hAnsi="Times New Roman" w:cs="Times New Roman"/>
      </w:rPr>
    </w:lvl>
    <w:lvl w:ilvl="6" w:tplc="380A000F">
      <w:start w:val="1"/>
      <w:numFmt w:val="decimal"/>
      <w:lvlText w:val="%7."/>
      <w:lvlJc w:val="left"/>
      <w:pPr>
        <w:ind w:left="5388" w:hanging="360"/>
      </w:pPr>
      <w:rPr>
        <w:rFonts w:ascii="Times New Roman" w:hAnsi="Times New Roman" w:cs="Times New Roman"/>
      </w:rPr>
    </w:lvl>
    <w:lvl w:ilvl="7" w:tplc="380A0019">
      <w:start w:val="1"/>
      <w:numFmt w:val="lowerLetter"/>
      <w:lvlText w:val="%8."/>
      <w:lvlJc w:val="left"/>
      <w:pPr>
        <w:ind w:left="6108" w:hanging="360"/>
      </w:pPr>
      <w:rPr>
        <w:rFonts w:ascii="Times New Roman" w:hAnsi="Times New Roman" w:cs="Times New Roman"/>
      </w:rPr>
    </w:lvl>
    <w:lvl w:ilvl="8" w:tplc="380A001B">
      <w:start w:val="1"/>
      <w:numFmt w:val="lowerRoman"/>
      <w:lvlText w:val="%9."/>
      <w:lvlJc w:val="right"/>
      <w:pPr>
        <w:ind w:left="6828"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89E"/>
    <w:rsid w:val="00060DF2"/>
    <w:rsid w:val="001C51BF"/>
    <w:rsid w:val="00325BF6"/>
    <w:rsid w:val="003F1DB0"/>
    <w:rsid w:val="007075CE"/>
    <w:rsid w:val="008A0255"/>
    <w:rsid w:val="008F3581"/>
    <w:rsid w:val="00C76273"/>
    <w:rsid w:val="00CE389E"/>
    <w:rsid w:val="00D060F1"/>
    <w:rsid w:val="00D25ACC"/>
    <w:rsid w:val="00D461A7"/>
    <w:rsid w:val="00F13D5F"/>
    <w:rsid w:val="00F84CF3"/>
    <w:rsid w:val="00FF41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extoindependiente">
    <w:name w:val="Body Text"/>
    <w:basedOn w:val="Normal"/>
    <w:link w:val="TextoindependienteCar"/>
    <w:uiPriority w:val="99"/>
    <w:pPr>
      <w:spacing w:after="0" w:line="360" w:lineRule="auto"/>
      <w:jc w:val="both"/>
    </w:pPr>
    <w:rPr>
      <w:rFonts w:ascii="Arial" w:hAnsi="Arial" w:cs="Arial"/>
      <w:sz w:val="24"/>
      <w:szCs w:val="24"/>
      <w:lang w:val="es-MX" w:eastAsia="es-ES"/>
    </w:rPr>
  </w:style>
  <w:style w:type="character" w:customStyle="1" w:styleId="TextoindependienteCar">
    <w:name w:val="Texto independiente Car"/>
    <w:basedOn w:val="Fuentedeprrafopredeter"/>
    <w:link w:val="Textoindependiente"/>
    <w:uiPriority w:val="99"/>
    <w:rPr>
      <w:rFonts w:ascii="Arial" w:hAnsi="Arial" w:cs="Arial"/>
      <w:sz w:val="20"/>
      <w:szCs w:val="20"/>
      <w:lang w:val="es-MX" w:eastAsia="es-ES"/>
    </w:rPr>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deglobo">
    <w:name w:val="Balloon Text"/>
    <w:basedOn w:val="Normal"/>
    <w:link w:val="TextodegloboCar"/>
    <w:uiPriority w:val="99"/>
    <w:semiHidden/>
    <w:unhideWhenUsed/>
    <w:rsid w:val="00060D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DF2"/>
    <w:rPr>
      <w:rFonts w:ascii="Tahoma" w:hAnsi="Tahoma" w:cs="Tahoma"/>
      <w:sz w:val="16"/>
      <w:szCs w:val="16"/>
      <w:lang w:val="es-U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extoindependiente">
    <w:name w:val="Body Text"/>
    <w:basedOn w:val="Normal"/>
    <w:link w:val="TextoindependienteCar"/>
    <w:uiPriority w:val="99"/>
    <w:pPr>
      <w:spacing w:after="0" w:line="360" w:lineRule="auto"/>
      <w:jc w:val="both"/>
    </w:pPr>
    <w:rPr>
      <w:rFonts w:ascii="Arial" w:hAnsi="Arial" w:cs="Arial"/>
      <w:sz w:val="24"/>
      <w:szCs w:val="24"/>
      <w:lang w:val="es-MX" w:eastAsia="es-ES"/>
    </w:rPr>
  </w:style>
  <w:style w:type="character" w:customStyle="1" w:styleId="TextoindependienteCar">
    <w:name w:val="Texto independiente Car"/>
    <w:basedOn w:val="Fuentedeprrafopredeter"/>
    <w:link w:val="Textoindependiente"/>
    <w:uiPriority w:val="99"/>
    <w:rPr>
      <w:rFonts w:ascii="Arial" w:hAnsi="Arial" w:cs="Arial"/>
      <w:sz w:val="20"/>
      <w:szCs w:val="20"/>
      <w:lang w:val="es-MX" w:eastAsia="es-ES"/>
    </w:rPr>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deglobo">
    <w:name w:val="Balloon Text"/>
    <w:basedOn w:val="Normal"/>
    <w:link w:val="TextodegloboCar"/>
    <w:uiPriority w:val="99"/>
    <w:semiHidden/>
    <w:unhideWhenUsed/>
    <w:rsid w:val="00060D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DF2"/>
    <w:rPr>
      <w:rFonts w:ascii="Tahoma" w:hAnsi="Tahoma" w:cs="Tahoma"/>
      <w:sz w:val="16"/>
      <w:szCs w:val="16"/>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983</Words>
  <Characters>5635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CARPETA N°: 2014-17-1-0009876</vt:lpstr>
    </vt:vector>
  </TitlesOfParts>
  <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2014-17-1-0009876</dc:title>
  <dc:subject/>
  <dc:creator>Tribunal1</dc:creator>
  <cp:keywords/>
  <dc:description/>
  <cp:lastModifiedBy>Andrea Gerner</cp:lastModifiedBy>
  <cp:revision>20</cp:revision>
  <cp:lastPrinted>2016-05-19T17:10:00Z</cp:lastPrinted>
  <dcterms:created xsi:type="dcterms:W3CDTF">2016-05-19T13:51:00Z</dcterms:created>
  <dcterms:modified xsi:type="dcterms:W3CDTF">2016-05-19T17:10:00Z</dcterms:modified>
</cp:coreProperties>
</file>