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55" w:rsidRPr="00786EEB" w:rsidRDefault="00F80E55" w:rsidP="00F80E55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786EEB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1118</w:t>
      </w:r>
      <w:r w:rsidRPr="00786EEB">
        <w:rPr>
          <w:rFonts w:cs="Arial"/>
          <w:b/>
          <w:sz w:val="28"/>
          <w:szCs w:val="28"/>
          <w:lang w:val="es-ES_tradnl"/>
        </w:rPr>
        <w:t>/16</w:t>
      </w:r>
    </w:p>
    <w:p w:rsidR="00F80E55" w:rsidRDefault="00F80E55" w:rsidP="00F80E55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F80E55" w:rsidRPr="00762B34" w:rsidRDefault="00F80E5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F80E55" w:rsidRPr="00762B34" w:rsidRDefault="00F80E5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F80E55" w:rsidRPr="00762B34" w:rsidRDefault="00F80E5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F80E55" w:rsidRPr="00762B34" w:rsidRDefault="00F80E5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F80E55" w:rsidRPr="00762B34" w:rsidRDefault="00F80E5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13 DE ABRIL  DE 2016</w:t>
      </w:r>
    </w:p>
    <w:p w:rsidR="00F80E55" w:rsidRPr="00762B34" w:rsidRDefault="00F80E5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F80E55" w:rsidRPr="00762B34" w:rsidRDefault="00F80E55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2016-17-1-0001607</w:t>
      </w:r>
      <w:r w:rsidRPr="00762B34">
        <w:rPr>
          <w:rFonts w:cs="Arial"/>
          <w:b/>
          <w:lang w:val="en-US"/>
        </w:rPr>
        <w:t xml:space="preserve">, </w:t>
      </w:r>
      <w:proofErr w:type="spellStart"/>
      <w:proofErr w:type="gramStart"/>
      <w:r w:rsidRPr="00762B34">
        <w:rPr>
          <w:rFonts w:cs="Arial"/>
          <w:b/>
          <w:lang w:val="en-US"/>
        </w:rPr>
        <w:t>Ent</w:t>
      </w:r>
      <w:proofErr w:type="spellEnd"/>
      <w:proofErr w:type="gramEnd"/>
      <w:r w:rsidRPr="00762B34">
        <w:rPr>
          <w:rFonts w:cs="Arial"/>
          <w:b/>
          <w:lang w:val="en-US"/>
        </w:rPr>
        <w:t>. N°</w:t>
      </w:r>
      <w:r>
        <w:rPr>
          <w:rFonts w:cs="Arial"/>
          <w:b/>
          <w:lang w:val="en-US"/>
        </w:rPr>
        <w:t xml:space="preserve"> 1212/16</w:t>
      </w:r>
      <w:r w:rsidRPr="00762B34">
        <w:rPr>
          <w:rFonts w:cs="Arial"/>
          <w:b/>
          <w:lang w:val="en-US"/>
        </w:rPr>
        <w:t>)</w:t>
      </w:r>
    </w:p>
    <w:p w:rsidR="00C25DBD" w:rsidRDefault="00C25DBD">
      <w:pPr>
        <w:spacing w:line="360" w:lineRule="auto"/>
        <w:jc w:val="both"/>
        <w:rPr>
          <w:b/>
          <w:bCs/>
        </w:rPr>
      </w:pPr>
    </w:p>
    <w:p w:rsidR="00C25DBD" w:rsidRDefault="00C25DBD" w:rsidP="00F80E55">
      <w:pPr>
        <w:spacing w:line="360" w:lineRule="auto"/>
        <w:ind w:firstLine="851"/>
        <w:jc w:val="both"/>
      </w:pPr>
      <w:r>
        <w:rPr>
          <w:b/>
          <w:bCs/>
        </w:rPr>
        <w:t xml:space="preserve">VISTO: </w:t>
      </w:r>
      <w:r>
        <w:t>estos antecedentes remitidos por el Ministerio de Economía y</w:t>
      </w:r>
      <w:r>
        <w:rPr>
          <w:b/>
          <w:bCs/>
        </w:rPr>
        <w:t xml:space="preserve"> </w:t>
      </w:r>
      <w:r>
        <w:t>Finanzas</w:t>
      </w:r>
      <w:r w:rsidR="008A1609">
        <w:t>- Dirección Nacional de Aduanas, r</w:t>
      </w:r>
      <w:r>
        <w:t xml:space="preserve">elacionados con el </w:t>
      </w:r>
      <w:r w:rsidR="008A1609">
        <w:t>Memor</w:t>
      </w:r>
      <w:r w:rsidR="005A2351">
        <w:t>á</w:t>
      </w:r>
      <w:r w:rsidR="008A1609">
        <w:t>ndum de Acuerdo entre la Dirección Nacional de Aduanas (DNA) y la Oficina de las Naciones Unidas de Servicios para Proyectos (UNOPS)</w:t>
      </w:r>
      <w:r>
        <w:t>;</w:t>
      </w:r>
    </w:p>
    <w:p w:rsidR="00435A76" w:rsidRDefault="00C25DBD" w:rsidP="00F80E55">
      <w:pPr>
        <w:spacing w:line="360" w:lineRule="auto"/>
        <w:ind w:firstLine="851"/>
        <w:jc w:val="both"/>
      </w:pPr>
      <w:r>
        <w:rPr>
          <w:b/>
          <w:bCs/>
        </w:rPr>
        <w:t xml:space="preserve">RESULTANDO: 1) </w:t>
      </w:r>
      <w:r>
        <w:t>que la UNOPS y la República Oriental del Uruguay firmaron el 2009 un acuer</w:t>
      </w:r>
      <w:r w:rsidR="00F80E55">
        <w:t>do de cooperación aprobado por Ley Nº</w:t>
      </w:r>
      <w:r>
        <w:t xml:space="preserve"> 18.955 del 23/</w:t>
      </w:r>
      <w:r w:rsidR="00566330">
        <w:t>0</w:t>
      </w:r>
      <w:r>
        <w:t>8/2012, estableciéndose en lo</w:t>
      </w:r>
      <w:r w:rsidR="00435A76">
        <w:t>s</w:t>
      </w:r>
      <w:r w:rsidR="00566330">
        <w:t xml:space="preserve"> A</w:t>
      </w:r>
      <w:r>
        <w:t>rtículos</w:t>
      </w:r>
      <w:r w:rsidR="00435A76">
        <w:t xml:space="preserve"> V y siguientes las condiciones de la colaboración y las diferentes modalidades de la misma; </w:t>
      </w:r>
    </w:p>
    <w:p w:rsidR="00435A76" w:rsidRDefault="00566330" w:rsidP="00566330">
      <w:pPr>
        <w:spacing w:line="360" w:lineRule="auto"/>
        <w:ind w:firstLine="2694"/>
        <w:jc w:val="both"/>
      </w:pPr>
      <w:r>
        <w:rPr>
          <w:b/>
        </w:rPr>
        <w:t xml:space="preserve"> </w:t>
      </w:r>
      <w:r w:rsidR="00435A76" w:rsidRPr="00BC6E14">
        <w:rPr>
          <w:b/>
        </w:rPr>
        <w:t xml:space="preserve">2) </w:t>
      </w:r>
      <w:r w:rsidR="00435A76">
        <w:t xml:space="preserve">que de acuerdo a los términos del documento a suscribirse, la DNA ha requerido la asistencia de la UNOPS, </w:t>
      </w:r>
      <w:r w:rsidR="00BC6E14">
        <w:t xml:space="preserve">y ha decidido destinar U$S 776.034, para la financiación del “Proyecto contratación de servicios comprendidos en los objetivos del cuadro de mando integral de la Aduana”, </w:t>
      </w:r>
      <w:r w:rsidR="001D5F64">
        <w:t xml:space="preserve">con </w:t>
      </w:r>
      <w:r w:rsidR="00435A76">
        <w:t xml:space="preserve">los objetivos que se detallan: </w:t>
      </w:r>
    </w:p>
    <w:p w:rsidR="00435A76" w:rsidRDefault="00435A76">
      <w:pPr>
        <w:spacing w:line="360" w:lineRule="auto"/>
        <w:jc w:val="both"/>
      </w:pPr>
      <w:r w:rsidRPr="00566330">
        <w:rPr>
          <w:b/>
        </w:rPr>
        <w:t>1)</w:t>
      </w:r>
      <w:r>
        <w:t xml:space="preserve"> Iniciar la implementación de un sistema GRP en la Direcci</w:t>
      </w:r>
      <w:r w:rsidR="005A2351">
        <w:t>ó</w:t>
      </w:r>
      <w:r>
        <w:t xml:space="preserve">n </w:t>
      </w:r>
      <w:r w:rsidR="005A2351">
        <w:t>N</w:t>
      </w:r>
      <w:r>
        <w:t xml:space="preserve">acional de Aduanas que permita gestionar con mayor eficiencia y efectividad los recursos que esta posee. </w:t>
      </w:r>
    </w:p>
    <w:p w:rsidR="00435A76" w:rsidRDefault="00435A76">
      <w:pPr>
        <w:spacing w:line="360" w:lineRule="auto"/>
        <w:jc w:val="both"/>
      </w:pPr>
      <w:r w:rsidRPr="00566330">
        <w:rPr>
          <w:b/>
        </w:rPr>
        <w:t>2)</w:t>
      </w:r>
      <w:r>
        <w:t xml:space="preserve"> Adecuar la infraestructura edilicia y tecnológica con énfasis en la nueva estructura organizacional. </w:t>
      </w:r>
    </w:p>
    <w:p w:rsidR="00435A76" w:rsidRDefault="00435A76">
      <w:pPr>
        <w:spacing w:line="360" w:lineRule="auto"/>
        <w:jc w:val="both"/>
      </w:pPr>
      <w:r w:rsidRPr="00566330">
        <w:rPr>
          <w:b/>
        </w:rPr>
        <w:t>3)</w:t>
      </w:r>
      <w:r>
        <w:t xml:space="preserve"> Reforzar el sistema de inteligencia aduanera certificada en calidad en áreas de fiscalización. </w:t>
      </w:r>
    </w:p>
    <w:p w:rsidR="00435A76" w:rsidRDefault="00435A76">
      <w:pPr>
        <w:spacing w:line="360" w:lineRule="auto"/>
        <w:jc w:val="both"/>
      </w:pPr>
      <w:r w:rsidRPr="00566330">
        <w:rPr>
          <w:b/>
        </w:rPr>
        <w:t>4)</w:t>
      </w:r>
      <w:r>
        <w:t xml:space="preserve"> Gestión </w:t>
      </w:r>
      <w:proofErr w:type="gramStart"/>
      <w:r>
        <w:t>continua</w:t>
      </w:r>
      <w:proofErr w:type="gramEnd"/>
      <w:r>
        <w:t xml:space="preserve"> de cambios con énfasis en áreas de Gestión Humana, comunicación y desarrollo organizacional. </w:t>
      </w:r>
    </w:p>
    <w:p w:rsidR="00435A76" w:rsidRDefault="00435A76">
      <w:pPr>
        <w:spacing w:line="360" w:lineRule="auto"/>
        <w:jc w:val="both"/>
      </w:pPr>
      <w:r w:rsidRPr="005031B8">
        <w:rPr>
          <w:b/>
        </w:rPr>
        <w:lastRenderedPageBreak/>
        <w:t>5)</w:t>
      </w:r>
      <w:r>
        <w:t xml:space="preserve"> Continuar en el proceso de certificación de operaciones. </w:t>
      </w:r>
    </w:p>
    <w:p w:rsidR="00BC6E14" w:rsidRDefault="00435A76">
      <w:pPr>
        <w:spacing w:line="360" w:lineRule="auto"/>
        <w:jc w:val="both"/>
      </w:pPr>
      <w:r w:rsidRPr="005031B8">
        <w:rPr>
          <w:b/>
        </w:rPr>
        <w:t>6)</w:t>
      </w:r>
      <w:r>
        <w:t xml:space="preserve"> Fortalecer el proceso de planificación estratégica;       </w:t>
      </w:r>
    </w:p>
    <w:p w:rsidR="00BC6E14" w:rsidRDefault="005031B8" w:rsidP="005031B8">
      <w:pPr>
        <w:spacing w:line="360" w:lineRule="auto"/>
        <w:ind w:firstLine="2694"/>
        <w:jc w:val="both"/>
      </w:pPr>
      <w:r>
        <w:t xml:space="preserve"> </w:t>
      </w:r>
      <w:r w:rsidR="00BC6E14" w:rsidRPr="00BC6E14">
        <w:rPr>
          <w:b/>
        </w:rPr>
        <w:t xml:space="preserve">3) </w:t>
      </w:r>
      <w:r w:rsidR="00BC6E14">
        <w:t xml:space="preserve">que los fondos recibidos bajo la modalidad del acuerdo, serán administrados de acuerdo con las reglas y reglamentos financieros de la UNOPS, y están sujetos a las reglas y procedimientos de auditorías internas y externas de la UNOPS; </w:t>
      </w:r>
    </w:p>
    <w:p w:rsidR="00BC6E14" w:rsidRDefault="005031B8" w:rsidP="005031B8">
      <w:pPr>
        <w:spacing w:line="360" w:lineRule="auto"/>
        <w:ind w:firstLine="2694"/>
        <w:jc w:val="both"/>
      </w:pPr>
      <w:r>
        <w:t xml:space="preserve"> </w:t>
      </w:r>
      <w:r w:rsidR="00BC6E14" w:rsidRPr="00BC6E14">
        <w:rPr>
          <w:b/>
        </w:rPr>
        <w:t>4)</w:t>
      </w:r>
      <w:r w:rsidR="00BC6E14">
        <w:rPr>
          <w:b/>
        </w:rPr>
        <w:t xml:space="preserve"> </w:t>
      </w:r>
      <w:r>
        <w:t>que la duración del A</w:t>
      </w:r>
      <w:r w:rsidR="00BC6E14">
        <w:t xml:space="preserve">cuerdo será de 13 meses, y el calendario de desembolsos será el siguiente: </w:t>
      </w:r>
    </w:p>
    <w:p w:rsidR="00BC6E14" w:rsidRDefault="00BC6E14">
      <w:pPr>
        <w:spacing w:line="360" w:lineRule="auto"/>
        <w:jc w:val="both"/>
      </w:pPr>
      <w:r>
        <w:t>Mayo 2016………. U$S 200.000</w:t>
      </w:r>
    </w:p>
    <w:p w:rsidR="00BC6E14" w:rsidRDefault="00BC6E14">
      <w:pPr>
        <w:spacing w:line="360" w:lineRule="auto"/>
        <w:jc w:val="both"/>
      </w:pPr>
      <w:r>
        <w:t>Agosto 2016………U$S 200.000</w:t>
      </w:r>
    </w:p>
    <w:p w:rsidR="00BC6E14" w:rsidRDefault="00BC6E14">
      <w:pPr>
        <w:spacing w:line="360" w:lineRule="auto"/>
        <w:jc w:val="both"/>
      </w:pPr>
      <w:r>
        <w:t>Noviembre 2016….U$S 200.000</w:t>
      </w:r>
    </w:p>
    <w:p w:rsidR="00BC6E14" w:rsidRDefault="00BC6E14">
      <w:pPr>
        <w:spacing w:line="360" w:lineRule="auto"/>
        <w:jc w:val="both"/>
        <w:rPr>
          <w:b/>
          <w:u w:val="single"/>
        </w:rPr>
      </w:pPr>
      <w:r w:rsidRPr="00BC6E14">
        <w:rPr>
          <w:u w:val="single"/>
        </w:rPr>
        <w:t>Diciembre 2016…</w:t>
      </w:r>
      <w:proofErr w:type="gramStart"/>
      <w:r w:rsidRPr="00BC6E14">
        <w:rPr>
          <w:u w:val="single"/>
        </w:rPr>
        <w:t>..</w:t>
      </w:r>
      <w:proofErr w:type="gramEnd"/>
      <w:r w:rsidRPr="00BC6E14">
        <w:rPr>
          <w:u w:val="single"/>
        </w:rPr>
        <w:t xml:space="preserve"> U$S 176.0</w:t>
      </w:r>
      <w:r w:rsidR="0051132C">
        <w:rPr>
          <w:u w:val="single"/>
        </w:rPr>
        <w:t>34</w:t>
      </w:r>
      <w:r w:rsidRPr="00BC6E14">
        <w:rPr>
          <w:b/>
          <w:u w:val="single"/>
        </w:rPr>
        <w:t xml:space="preserve">  </w:t>
      </w:r>
    </w:p>
    <w:p w:rsidR="0051132C" w:rsidRDefault="00BC6E14">
      <w:pPr>
        <w:spacing w:line="360" w:lineRule="auto"/>
        <w:jc w:val="both"/>
      </w:pPr>
      <w:proofErr w:type="gramStart"/>
      <w:r>
        <w:rPr>
          <w:b/>
          <w:u w:val="single"/>
        </w:rPr>
        <w:t>Total …</w:t>
      </w:r>
      <w:proofErr w:type="gramEnd"/>
      <w:r>
        <w:rPr>
          <w:b/>
          <w:u w:val="single"/>
        </w:rPr>
        <w:t>…………….</w:t>
      </w:r>
      <w:r w:rsidR="0051132C">
        <w:rPr>
          <w:b/>
          <w:u w:val="single"/>
        </w:rPr>
        <w:t>U$S 776.034</w:t>
      </w:r>
      <w:r w:rsidR="0051132C">
        <w:t xml:space="preserve">; </w:t>
      </w:r>
    </w:p>
    <w:p w:rsidR="00C25DBD" w:rsidRPr="0051132C" w:rsidRDefault="005031B8" w:rsidP="005031B8">
      <w:pPr>
        <w:spacing w:line="360" w:lineRule="auto"/>
        <w:ind w:firstLine="2694"/>
        <w:jc w:val="both"/>
        <w:rPr>
          <w:b/>
          <w:u w:val="single"/>
        </w:rPr>
      </w:pPr>
      <w:r>
        <w:rPr>
          <w:b/>
        </w:rPr>
        <w:t xml:space="preserve"> </w:t>
      </w:r>
      <w:r w:rsidR="0051132C" w:rsidRPr="0051132C">
        <w:rPr>
          <w:b/>
        </w:rPr>
        <w:t xml:space="preserve">5) </w:t>
      </w:r>
      <w:r w:rsidR="0051132C">
        <w:t xml:space="preserve">que </w:t>
      </w:r>
      <w:r>
        <w:t xml:space="preserve"> </w:t>
      </w:r>
      <w:r w:rsidR="0051132C">
        <w:t>de acuerdo a nota de la DNA, la suma de U$S 776.034, será atendida con cargo al crédito presupuestal del Inciso 05, Unida</w:t>
      </w:r>
      <w:r>
        <w:t>d  Ejecutora  007,  Programa  489,  P</w:t>
      </w:r>
      <w:r w:rsidR="0051132C">
        <w:t xml:space="preserve">royecto </w:t>
      </w:r>
      <w:r>
        <w:t xml:space="preserve"> </w:t>
      </w:r>
      <w:r w:rsidR="0051132C">
        <w:t>000,</w:t>
      </w:r>
      <w:r>
        <w:t xml:space="preserve"> </w:t>
      </w:r>
      <w:r w:rsidR="0051132C">
        <w:t xml:space="preserve"> </w:t>
      </w:r>
      <w:r>
        <w:t>F</w:t>
      </w:r>
      <w:r w:rsidR="0051132C">
        <w:t>inanciación 1.1</w:t>
      </w:r>
      <w:r>
        <w:t xml:space="preserve">  por $ 15:000.000, y F</w:t>
      </w:r>
      <w:r w:rsidR="0051132C">
        <w:t xml:space="preserve">inanciación 1.2 por $ 11:350.000, una vez que se apruebe la trasposición de crédito solicitada en nota 18/2016;         </w:t>
      </w:r>
      <w:r w:rsidR="0051132C" w:rsidRPr="0051132C">
        <w:rPr>
          <w:b/>
        </w:rPr>
        <w:tab/>
      </w:r>
      <w:r w:rsidR="00435A76" w:rsidRPr="0051132C">
        <w:rPr>
          <w:b/>
          <w:u w:val="single"/>
        </w:rPr>
        <w:t xml:space="preserve">  </w:t>
      </w:r>
      <w:r w:rsidR="00C25DBD" w:rsidRPr="0051132C">
        <w:rPr>
          <w:b/>
          <w:u w:val="single"/>
        </w:rPr>
        <w:t xml:space="preserve">  </w:t>
      </w:r>
    </w:p>
    <w:p w:rsidR="00C25DBD" w:rsidRDefault="005031B8" w:rsidP="00F80E55">
      <w:pPr>
        <w:spacing w:line="360" w:lineRule="auto"/>
        <w:ind w:firstLine="851"/>
        <w:jc w:val="both"/>
      </w:pPr>
      <w:r>
        <w:rPr>
          <w:b/>
          <w:bCs/>
        </w:rPr>
        <w:t xml:space="preserve">CONSIDERANDO: </w:t>
      </w:r>
      <w:r w:rsidR="00C25DBD">
        <w:rPr>
          <w:b/>
          <w:bCs/>
        </w:rPr>
        <w:t>1)</w:t>
      </w:r>
      <w:r w:rsidR="00C25DBD">
        <w:t xml:space="preserve"> que los contratos de obras, adquisiciones o prestación de servicios que otorgan los </w:t>
      </w:r>
      <w:r w:rsidR="001D5F64">
        <w:t>Órganos</w:t>
      </w:r>
      <w:r w:rsidR="00C25DBD">
        <w:t xml:space="preserve"> del Estado</w:t>
      </w:r>
      <w:r w:rsidR="00007ED6">
        <w:t>, Gobiernos Departamentales, entes autónomos y servicios descentralizados,</w:t>
      </w:r>
      <w:r w:rsidR="00C25DBD">
        <w:t xml:space="preserve"> en aplicación de contratos de préstamo con organismos internacionales de crédito de los que el país forma parte quedarán sujetos a las normas de contratación establecidas en el contrato </w:t>
      </w:r>
      <w:r>
        <w:t>conforme a lo dispuesto por el A</w:t>
      </w:r>
      <w:r w:rsidR="00C25DBD">
        <w:t>rtículo 4</w:t>
      </w:r>
      <w:r w:rsidR="00007ED6">
        <w:t>5</w:t>
      </w:r>
      <w:r w:rsidR="00C25DBD">
        <w:t xml:space="preserve"> del TOCAF;</w:t>
      </w:r>
    </w:p>
    <w:p w:rsidR="00C25DBD" w:rsidRDefault="005031B8" w:rsidP="005031B8">
      <w:pPr>
        <w:spacing w:line="360" w:lineRule="auto"/>
        <w:ind w:firstLine="2977"/>
        <w:jc w:val="both"/>
      </w:pPr>
      <w:r>
        <w:t xml:space="preserve">  </w:t>
      </w:r>
      <w:r w:rsidR="00C25DBD">
        <w:rPr>
          <w:b/>
          <w:bCs/>
        </w:rPr>
        <w:t>2)</w:t>
      </w:r>
      <w:r w:rsidR="00C25DBD">
        <w:t xml:space="preserve"> que se determina la asignación presupuestal que se afectará para atender las erogaciones emergentes del Convenio, según lo establec</w:t>
      </w:r>
      <w:r>
        <w:t>e el A</w:t>
      </w:r>
      <w:r w:rsidR="00C25DBD">
        <w:t>rtículo 1</w:t>
      </w:r>
      <w:r w:rsidR="00007ED6">
        <w:t>32</w:t>
      </w:r>
      <w:r w:rsidR="00C25DBD">
        <w:t xml:space="preserve"> del TOCAF,  pero no se precisa la existencia de disponibilidad;</w:t>
      </w:r>
      <w:r w:rsidR="00007ED6">
        <w:t xml:space="preserve">                       </w:t>
      </w:r>
      <w:r w:rsidR="00C25DBD">
        <w:t xml:space="preserve">   </w:t>
      </w:r>
    </w:p>
    <w:p w:rsidR="00C25DBD" w:rsidRDefault="005031B8" w:rsidP="00F80E55">
      <w:pPr>
        <w:spacing w:line="360" w:lineRule="auto"/>
        <w:ind w:firstLine="851"/>
        <w:jc w:val="both"/>
      </w:pPr>
      <w:r>
        <w:rPr>
          <w:b/>
          <w:bCs/>
        </w:rPr>
        <w:t xml:space="preserve">ATENTO: </w:t>
      </w:r>
      <w:r w:rsidRPr="005031B8">
        <w:rPr>
          <w:bCs/>
        </w:rPr>
        <w:t>a</w:t>
      </w:r>
      <w:r w:rsidR="00C25DBD">
        <w:t xml:space="preserve"> lo precedentemente expuesto,</w:t>
      </w:r>
    </w:p>
    <w:p w:rsidR="00C25DBD" w:rsidRDefault="00C25DBD">
      <w:pPr>
        <w:spacing w:line="360" w:lineRule="auto"/>
        <w:jc w:val="both"/>
      </w:pPr>
      <w:r>
        <w:lastRenderedPageBreak/>
        <w:t xml:space="preserve"> </w:t>
      </w:r>
    </w:p>
    <w:p w:rsidR="00C25DBD" w:rsidRDefault="00C25DBD">
      <w:pPr>
        <w:spacing w:line="360" w:lineRule="auto"/>
        <w:jc w:val="center"/>
      </w:pPr>
      <w:r>
        <w:rPr>
          <w:b/>
          <w:bCs/>
        </w:rPr>
        <w:t>EL TRIBUNAL ACUERDA</w:t>
      </w:r>
      <w:r>
        <w:t>:</w:t>
      </w:r>
    </w:p>
    <w:p w:rsidR="00B65BDF" w:rsidRDefault="00B65BDF" w:rsidP="005031B8">
      <w:pPr>
        <w:numPr>
          <w:ilvl w:val="0"/>
          <w:numId w:val="5"/>
        </w:numPr>
        <w:tabs>
          <w:tab w:val="clear" w:pos="2629"/>
          <w:tab w:val="num" w:pos="0"/>
        </w:tabs>
        <w:spacing w:line="360" w:lineRule="auto"/>
        <w:ind w:left="0" w:firstLine="0"/>
        <w:jc w:val="both"/>
      </w:pPr>
      <w:r>
        <w:t xml:space="preserve">No formular observaciones al proyecto de acuerdo entre la Dirección Nacional de Aduanas y la Oficina de las Naciones Unidas de servicios para Proyectos; </w:t>
      </w:r>
    </w:p>
    <w:p w:rsidR="00C25DBD" w:rsidRDefault="00C25DBD" w:rsidP="005031B8">
      <w:pPr>
        <w:numPr>
          <w:ilvl w:val="0"/>
          <w:numId w:val="5"/>
        </w:numPr>
        <w:tabs>
          <w:tab w:val="clear" w:pos="2629"/>
          <w:tab w:val="num" w:pos="0"/>
        </w:tabs>
        <w:spacing w:line="360" w:lineRule="auto"/>
        <w:ind w:left="0" w:firstLine="0"/>
        <w:jc w:val="both"/>
      </w:pPr>
      <w:r>
        <w:t>Cometer a</w:t>
      </w:r>
      <w:r w:rsidR="005031B8">
        <w:t xml:space="preserve"> </w:t>
      </w:r>
      <w:r>
        <w:t>l</w:t>
      </w:r>
      <w:r w:rsidR="005031B8">
        <w:t>a</w:t>
      </w:r>
      <w:r>
        <w:t xml:space="preserve"> Contador</w:t>
      </w:r>
      <w:r w:rsidR="005031B8">
        <w:t>a</w:t>
      </w:r>
      <w:r>
        <w:t xml:space="preserve"> </w:t>
      </w:r>
      <w:r w:rsidR="00007ED6">
        <w:t>Auditor</w:t>
      </w:r>
      <w:r w:rsidR="005031B8">
        <w:t>a</w:t>
      </w:r>
      <w:bookmarkStart w:id="0" w:name="_GoBack"/>
      <w:bookmarkEnd w:id="0"/>
      <w:r w:rsidR="00007ED6">
        <w:t xml:space="preserve"> ante el Ministerio de Economía y Finanzas</w:t>
      </w:r>
      <w:r>
        <w:t xml:space="preserve"> la intervención del gasto por un monto máximo de U$S </w:t>
      </w:r>
      <w:r w:rsidR="00007ED6">
        <w:t>776.034</w:t>
      </w:r>
      <w:r>
        <w:t xml:space="preserve">, previa verificación de su imputación con cargo al grupo adecuado y con disponibilidad suficiente. </w:t>
      </w:r>
    </w:p>
    <w:p w:rsidR="00C25DBD" w:rsidRDefault="00C25DBD" w:rsidP="005031B8">
      <w:pPr>
        <w:numPr>
          <w:ilvl w:val="0"/>
          <w:numId w:val="5"/>
        </w:numPr>
        <w:tabs>
          <w:tab w:val="clear" w:pos="2629"/>
          <w:tab w:val="num" w:pos="0"/>
        </w:tabs>
        <w:spacing w:line="360" w:lineRule="auto"/>
        <w:ind w:left="0" w:firstLine="0"/>
        <w:jc w:val="both"/>
      </w:pPr>
      <w:r>
        <w:t>Devolver las actuaciones a su lugar de origen.</w:t>
      </w:r>
    </w:p>
    <w:p w:rsidR="00C25DBD" w:rsidRDefault="00C25DBD">
      <w:pPr>
        <w:spacing w:line="360" w:lineRule="auto"/>
        <w:jc w:val="both"/>
      </w:pPr>
    </w:p>
    <w:p w:rsidR="00C25DBD" w:rsidRDefault="00C25DBD">
      <w:pPr>
        <w:spacing w:line="360" w:lineRule="auto"/>
        <w:ind w:left="360"/>
        <w:rPr>
          <w:lang w:val="es-MX"/>
        </w:rPr>
      </w:pPr>
    </w:p>
    <w:p w:rsidR="008D4282" w:rsidRDefault="008D4282" w:rsidP="00B65BDF">
      <w:pPr>
        <w:spacing w:line="360" w:lineRule="auto"/>
        <w:ind w:left="360"/>
        <w:jc w:val="right"/>
        <w:rPr>
          <w:lang w:val="es-MX"/>
        </w:rPr>
      </w:pPr>
    </w:p>
    <w:p w:rsidR="008D4282" w:rsidRDefault="008D4282" w:rsidP="00B65BDF">
      <w:pPr>
        <w:spacing w:line="360" w:lineRule="auto"/>
        <w:ind w:left="360"/>
        <w:jc w:val="right"/>
        <w:rPr>
          <w:lang w:val="es-MX"/>
        </w:rPr>
      </w:pPr>
    </w:p>
    <w:p w:rsidR="005031B8" w:rsidRDefault="00F80E55" w:rsidP="005031B8">
      <w:pPr>
        <w:suppressAutoHyphens/>
        <w:spacing w:line="360" w:lineRule="auto"/>
        <w:jc w:val="both"/>
      </w:pPr>
      <w:proofErr w:type="spellStart"/>
      <w:proofErr w:type="gramStart"/>
      <w:r>
        <w:rPr>
          <w:lang w:val="es-MX"/>
        </w:rPr>
        <w:t>mp</w:t>
      </w:r>
      <w:proofErr w:type="spellEnd"/>
      <w:proofErr w:type="gramEnd"/>
      <w:r w:rsidR="00B65BDF">
        <w:rPr>
          <w:lang w:val="es-MX"/>
        </w:rPr>
        <w:t xml:space="preserve"> </w:t>
      </w:r>
    </w:p>
    <w:p w:rsidR="00B65BDF" w:rsidRDefault="00B65BDF">
      <w:pPr>
        <w:spacing w:line="360" w:lineRule="auto"/>
        <w:ind w:left="360"/>
        <w:rPr>
          <w:lang w:val="es-MX"/>
        </w:rPr>
      </w:pPr>
    </w:p>
    <w:sectPr w:rsidR="00B65BDF" w:rsidSect="005031B8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330" w:rsidRDefault="00566330" w:rsidP="00F80E55">
      <w:r>
        <w:separator/>
      </w:r>
    </w:p>
  </w:endnote>
  <w:endnote w:type="continuationSeparator" w:id="0">
    <w:p w:rsidR="00566330" w:rsidRDefault="00566330" w:rsidP="00F8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389532"/>
      <w:docPartObj>
        <w:docPartGallery w:val="Page Numbers (Bottom of Page)"/>
        <w:docPartUnique/>
      </w:docPartObj>
    </w:sdtPr>
    <w:sdtContent>
      <w:p w:rsidR="00566330" w:rsidRDefault="0056633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1B8">
          <w:rPr>
            <w:noProof/>
          </w:rPr>
          <w:t>3</w:t>
        </w:r>
        <w:r>
          <w:fldChar w:fldCharType="end"/>
        </w:r>
      </w:p>
    </w:sdtContent>
  </w:sdt>
  <w:p w:rsidR="00566330" w:rsidRDefault="005663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330" w:rsidRDefault="00566330" w:rsidP="00F80E55">
      <w:r>
        <w:separator/>
      </w:r>
    </w:p>
  </w:footnote>
  <w:footnote w:type="continuationSeparator" w:id="0">
    <w:p w:rsidR="00566330" w:rsidRDefault="00566330" w:rsidP="00F80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E307C"/>
    <w:multiLevelType w:val="singleLevel"/>
    <w:tmpl w:val="CDF2799A"/>
    <w:lvl w:ilvl="0">
      <w:start w:val="2"/>
      <w:numFmt w:val="decimal"/>
      <w:lvlText w:val="%1)"/>
      <w:lvlJc w:val="left"/>
      <w:pPr>
        <w:tabs>
          <w:tab w:val="num" w:pos="2486"/>
        </w:tabs>
        <w:ind w:left="0" w:firstLine="2126"/>
      </w:pPr>
      <w:rPr>
        <w:rFonts w:ascii="Arial" w:hAnsi="Arial" w:hint="default"/>
        <w:b/>
        <w:i w:val="0"/>
        <w:sz w:val="24"/>
      </w:rPr>
    </w:lvl>
  </w:abstractNum>
  <w:abstractNum w:abstractNumId="1">
    <w:nsid w:val="393D0A07"/>
    <w:multiLevelType w:val="hybridMultilevel"/>
    <w:tmpl w:val="2888317C"/>
    <w:lvl w:ilvl="0" w:tplc="6E7CFE4A">
      <w:start w:val="1"/>
      <w:numFmt w:val="decimal"/>
      <w:lvlText w:val="%1)"/>
      <w:lvlJc w:val="left"/>
      <w:pPr>
        <w:tabs>
          <w:tab w:val="num" w:pos="2629"/>
        </w:tabs>
        <w:ind w:left="262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2">
    <w:nsid w:val="4E6B1DCF"/>
    <w:multiLevelType w:val="hybridMultilevel"/>
    <w:tmpl w:val="9310350A"/>
    <w:lvl w:ilvl="0" w:tplc="70BEB9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073204"/>
    <w:multiLevelType w:val="singleLevel"/>
    <w:tmpl w:val="E79007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5F202751"/>
    <w:multiLevelType w:val="singleLevel"/>
    <w:tmpl w:val="B2F26C02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30"/>
    <w:rsid w:val="00007ED6"/>
    <w:rsid w:val="001D5F64"/>
    <w:rsid w:val="00435A76"/>
    <w:rsid w:val="005031B8"/>
    <w:rsid w:val="0051132C"/>
    <w:rsid w:val="00566330"/>
    <w:rsid w:val="005A2351"/>
    <w:rsid w:val="008A1609"/>
    <w:rsid w:val="008D4282"/>
    <w:rsid w:val="00B65BDF"/>
    <w:rsid w:val="00BA74BD"/>
    <w:rsid w:val="00BC6E14"/>
    <w:rsid w:val="00BF4930"/>
    <w:rsid w:val="00C25DBD"/>
    <w:rsid w:val="00F8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cs="Arial"/>
      <w:b/>
      <w:caps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spacing w:line="360" w:lineRule="auto"/>
      <w:ind w:left="360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F80E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0E55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80E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E55"/>
    <w:rPr>
      <w:rFonts w:ascii="Arial" w:hAnsi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cs="Arial"/>
      <w:b/>
      <w:caps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spacing w:line="360" w:lineRule="auto"/>
      <w:ind w:left="360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F80E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0E55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80E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E55"/>
    <w:rPr>
      <w:rFonts w:ascii="Arial" w:hAnsi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555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195596</vt:lpstr>
    </vt:vector>
  </TitlesOfParts>
  <Company>TCR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195596</dc:title>
  <dc:creator>Departamento Juridíco</dc:creator>
  <cp:lastModifiedBy>Tribunal1</cp:lastModifiedBy>
  <cp:revision>3</cp:revision>
  <cp:lastPrinted>2005-02-21T14:10:00Z</cp:lastPrinted>
  <dcterms:created xsi:type="dcterms:W3CDTF">2016-04-14T13:13:00Z</dcterms:created>
  <dcterms:modified xsi:type="dcterms:W3CDTF">2016-04-14T13:40:00Z</dcterms:modified>
</cp:coreProperties>
</file>