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F5D" w:rsidRPr="00786EEB" w:rsidRDefault="00644F5D" w:rsidP="00644F5D">
      <w:pPr>
        <w:tabs>
          <w:tab w:val="center" w:pos="4253"/>
        </w:tabs>
        <w:suppressAutoHyphens/>
        <w:jc w:val="right"/>
        <w:rPr>
          <w:rFonts w:cs="Arial"/>
          <w:b/>
          <w:sz w:val="28"/>
          <w:szCs w:val="28"/>
          <w:lang w:val="es-ES_tradnl"/>
        </w:rPr>
      </w:pPr>
      <w:bookmarkStart w:id="0" w:name="_GoBack"/>
      <w:bookmarkEnd w:id="0"/>
      <w:r w:rsidRPr="00786EEB">
        <w:rPr>
          <w:rFonts w:cs="Arial"/>
          <w:b/>
          <w:sz w:val="28"/>
          <w:szCs w:val="28"/>
          <w:lang w:val="es-ES_tradnl"/>
        </w:rPr>
        <w:t xml:space="preserve">RES. </w:t>
      </w:r>
      <w:r>
        <w:rPr>
          <w:rFonts w:cs="Arial"/>
          <w:b/>
          <w:sz w:val="28"/>
          <w:szCs w:val="28"/>
          <w:lang w:val="es-ES_tradnl"/>
        </w:rPr>
        <w:t>1199</w:t>
      </w:r>
      <w:r w:rsidRPr="00786EEB">
        <w:rPr>
          <w:rFonts w:cs="Arial"/>
          <w:b/>
          <w:sz w:val="28"/>
          <w:szCs w:val="28"/>
          <w:lang w:val="es-ES_tradnl"/>
        </w:rPr>
        <w:t>/16</w:t>
      </w:r>
    </w:p>
    <w:p w:rsidR="00644F5D" w:rsidRDefault="00644F5D" w:rsidP="00786EEB">
      <w:pPr>
        <w:tabs>
          <w:tab w:val="center" w:pos="4253"/>
        </w:tabs>
        <w:suppressAutoHyphens/>
        <w:jc w:val="right"/>
        <w:rPr>
          <w:rFonts w:cs="Arial"/>
          <w:b/>
          <w:lang w:val="es-ES_tradnl"/>
        </w:rPr>
      </w:pPr>
    </w:p>
    <w:p w:rsidR="00644F5D" w:rsidRPr="00644F5D" w:rsidRDefault="00644F5D">
      <w:pPr>
        <w:tabs>
          <w:tab w:val="center" w:pos="4253"/>
        </w:tabs>
        <w:suppressAutoHyphens/>
        <w:jc w:val="center"/>
        <w:rPr>
          <w:rFonts w:cs="Arial"/>
          <w:b/>
          <w:lang w:val="es-ES_tradnl"/>
        </w:rPr>
      </w:pPr>
      <w:r w:rsidRPr="00644F5D">
        <w:rPr>
          <w:rFonts w:cs="Arial"/>
          <w:b/>
          <w:lang w:val="es-ES_tradnl"/>
        </w:rPr>
        <w:t>RESOLUCION ADOPTADA POR EL</w:t>
      </w:r>
    </w:p>
    <w:p w:rsidR="00644F5D" w:rsidRPr="00644F5D" w:rsidRDefault="00644F5D">
      <w:pPr>
        <w:tabs>
          <w:tab w:val="left" w:pos="-720"/>
        </w:tabs>
        <w:suppressAutoHyphens/>
        <w:jc w:val="center"/>
        <w:rPr>
          <w:rFonts w:cs="Arial"/>
          <w:b/>
          <w:lang w:val="es-ES_tradnl"/>
        </w:rPr>
      </w:pPr>
    </w:p>
    <w:p w:rsidR="00644F5D" w:rsidRPr="00644F5D" w:rsidRDefault="00644F5D">
      <w:pPr>
        <w:tabs>
          <w:tab w:val="center" w:pos="4253"/>
        </w:tabs>
        <w:suppressAutoHyphens/>
        <w:jc w:val="center"/>
        <w:rPr>
          <w:rFonts w:cs="Arial"/>
          <w:b/>
          <w:lang w:val="es-ES_tradnl"/>
        </w:rPr>
      </w:pPr>
      <w:r w:rsidRPr="00644F5D">
        <w:rPr>
          <w:rFonts w:cs="Arial"/>
          <w:b/>
          <w:lang w:val="es-ES_tradnl"/>
        </w:rPr>
        <w:t>TRIBUNAL DE CUENTAS</w:t>
      </w:r>
    </w:p>
    <w:p w:rsidR="00644F5D" w:rsidRPr="00644F5D" w:rsidRDefault="00644F5D">
      <w:pPr>
        <w:tabs>
          <w:tab w:val="left" w:pos="-720"/>
        </w:tabs>
        <w:suppressAutoHyphens/>
        <w:jc w:val="center"/>
        <w:rPr>
          <w:rFonts w:cs="Arial"/>
          <w:b/>
          <w:lang w:val="es-ES_tradnl"/>
        </w:rPr>
      </w:pPr>
    </w:p>
    <w:p w:rsidR="00644F5D" w:rsidRPr="00644F5D" w:rsidRDefault="00644F5D">
      <w:pPr>
        <w:tabs>
          <w:tab w:val="center" w:pos="4253"/>
        </w:tabs>
        <w:suppressAutoHyphens/>
        <w:jc w:val="center"/>
        <w:rPr>
          <w:rFonts w:cs="Arial"/>
          <w:b/>
          <w:lang w:val="es-ES_tradnl"/>
        </w:rPr>
      </w:pPr>
      <w:r w:rsidRPr="00644F5D">
        <w:rPr>
          <w:rFonts w:cs="Arial"/>
          <w:b/>
          <w:lang w:val="es-ES_tradnl"/>
        </w:rPr>
        <w:t>EN SESION DE FECHA 20 DE ABRIL DE 2016</w:t>
      </w:r>
    </w:p>
    <w:p w:rsidR="00644F5D" w:rsidRPr="00644F5D" w:rsidRDefault="00644F5D">
      <w:pPr>
        <w:tabs>
          <w:tab w:val="center" w:pos="4253"/>
        </w:tabs>
        <w:suppressAutoHyphens/>
        <w:jc w:val="center"/>
        <w:rPr>
          <w:rFonts w:cs="Arial"/>
          <w:b/>
          <w:lang w:val="es-ES_tradnl"/>
        </w:rPr>
      </w:pPr>
    </w:p>
    <w:p w:rsidR="00644F5D" w:rsidRPr="00E2399F" w:rsidRDefault="00644F5D">
      <w:pPr>
        <w:tabs>
          <w:tab w:val="center" w:pos="4253"/>
        </w:tabs>
        <w:suppressAutoHyphens/>
        <w:jc w:val="center"/>
        <w:rPr>
          <w:rFonts w:cs="Arial"/>
          <w:b/>
          <w:lang w:val="es-UY"/>
        </w:rPr>
      </w:pPr>
      <w:r w:rsidRPr="00E2399F">
        <w:rPr>
          <w:rFonts w:cs="Arial"/>
          <w:b/>
          <w:lang w:val="es-UY"/>
        </w:rPr>
        <w:t xml:space="preserve">(E. E. Nº </w:t>
      </w:r>
      <w:r w:rsidRPr="00644F5D">
        <w:rPr>
          <w:rFonts w:cs="Arial"/>
          <w:b/>
          <w:bCs/>
        </w:rPr>
        <w:t>2016-17-1-0002049</w:t>
      </w:r>
      <w:r w:rsidRPr="00E2399F">
        <w:rPr>
          <w:rFonts w:cs="Arial"/>
          <w:b/>
          <w:lang w:val="es-UY"/>
        </w:rPr>
        <w:t xml:space="preserve">, </w:t>
      </w:r>
      <w:proofErr w:type="spellStart"/>
      <w:r w:rsidRPr="00E2399F">
        <w:rPr>
          <w:rFonts w:cs="Arial"/>
          <w:b/>
          <w:lang w:val="es-UY"/>
        </w:rPr>
        <w:t>Ent</w:t>
      </w:r>
      <w:proofErr w:type="spellEnd"/>
      <w:r w:rsidRPr="00E2399F">
        <w:rPr>
          <w:rFonts w:cs="Arial"/>
          <w:b/>
          <w:lang w:val="es-UY"/>
        </w:rPr>
        <w:t xml:space="preserve">. N° </w:t>
      </w:r>
      <w:r w:rsidRPr="00644F5D">
        <w:rPr>
          <w:rFonts w:cs="Arial"/>
          <w:b/>
          <w:bCs/>
        </w:rPr>
        <w:t>1602/16</w:t>
      </w:r>
      <w:r w:rsidRPr="00E2399F">
        <w:rPr>
          <w:rFonts w:cs="Arial"/>
          <w:b/>
          <w:lang w:val="es-UY"/>
        </w:rPr>
        <w:t>)</w:t>
      </w:r>
    </w:p>
    <w:p w:rsidR="00644F5D" w:rsidRPr="00E2399F" w:rsidRDefault="00644F5D" w:rsidP="00644F5D">
      <w:pPr>
        <w:tabs>
          <w:tab w:val="center" w:pos="4253"/>
        </w:tabs>
        <w:suppressAutoHyphens/>
        <w:spacing w:line="360" w:lineRule="auto"/>
        <w:jc w:val="both"/>
        <w:rPr>
          <w:spacing w:val="-3"/>
          <w:lang w:val="es-UY"/>
        </w:rPr>
      </w:pPr>
    </w:p>
    <w:p w:rsidR="0076246A" w:rsidRDefault="0076246A" w:rsidP="00644F5D">
      <w:pPr>
        <w:pStyle w:val="Textoindependiente"/>
        <w:ind w:firstLine="851"/>
      </w:pPr>
      <w:r>
        <w:rPr>
          <w:b/>
        </w:rPr>
        <w:t>VISTO:</w:t>
      </w:r>
      <w:r>
        <w:t xml:space="preserve"> el Proyecto de Presupuesto Quinquenal de la </w:t>
      </w:r>
      <w:r w:rsidR="00A83F04">
        <w:t>Junta</w:t>
      </w:r>
      <w:r>
        <w:t xml:space="preserve"> </w:t>
      </w:r>
      <w:r w:rsidR="00641B79">
        <w:t xml:space="preserve">Departamental </w:t>
      </w:r>
      <w:r>
        <w:t xml:space="preserve">de Rivera para los </w:t>
      </w:r>
      <w:r w:rsidR="00644F5D">
        <w:t>E</w:t>
      </w:r>
      <w:r>
        <w:t>jercicios 2016 -2020;</w:t>
      </w:r>
    </w:p>
    <w:p w:rsidR="00641B79" w:rsidRDefault="0076246A" w:rsidP="00644F5D">
      <w:pPr>
        <w:pStyle w:val="Textoindependiente"/>
        <w:ind w:firstLine="851"/>
        <w:rPr>
          <w:bCs/>
        </w:rPr>
      </w:pPr>
      <w:r>
        <w:rPr>
          <w:b/>
        </w:rPr>
        <w:t>CONSIDERANDO:</w:t>
      </w:r>
      <w:r>
        <w:t xml:space="preserve"> </w:t>
      </w:r>
      <w:r>
        <w:rPr>
          <w:b/>
        </w:rPr>
        <w:t xml:space="preserve">1) </w:t>
      </w:r>
      <w:r w:rsidR="00641B79">
        <w:rPr>
          <w:bCs/>
        </w:rPr>
        <w:t>que se ha dado cumplimiento a lo establecido en los Artículos 273 N</w:t>
      </w:r>
      <w:r w:rsidR="00644F5D">
        <w:rPr>
          <w:bCs/>
        </w:rPr>
        <w:t>ume</w:t>
      </w:r>
      <w:r w:rsidR="00641B79">
        <w:rPr>
          <w:bCs/>
        </w:rPr>
        <w:t>ral 6° de la Constitución de la Repúb</w:t>
      </w:r>
      <w:r w:rsidR="00F96731">
        <w:rPr>
          <w:bCs/>
        </w:rPr>
        <w:t>lica y 483 de la Ley N° 17.296;</w:t>
      </w:r>
    </w:p>
    <w:p w:rsidR="00641B79" w:rsidRPr="00644F5D" w:rsidRDefault="0076246A" w:rsidP="00644F5D">
      <w:pPr>
        <w:pStyle w:val="Textoindependiente"/>
        <w:ind w:firstLine="2977"/>
      </w:pPr>
      <w:r>
        <w:rPr>
          <w:b/>
          <w:bCs/>
        </w:rPr>
        <w:t>2)</w:t>
      </w:r>
      <w:r>
        <w:t xml:space="preserve"> que las conclusiones y evidencias obtenidas son las que se expresan en el Dictamen que se adjunta</w:t>
      </w:r>
      <w:r w:rsidR="00641B79">
        <w:t>;</w:t>
      </w:r>
    </w:p>
    <w:p w:rsidR="00641B79" w:rsidRPr="00644F5D" w:rsidRDefault="0076246A" w:rsidP="00644F5D">
      <w:pPr>
        <w:pStyle w:val="Textoindependiente"/>
        <w:ind w:firstLine="851"/>
      </w:pPr>
      <w:r>
        <w:rPr>
          <w:b/>
        </w:rPr>
        <w:t>ATENTO:</w:t>
      </w:r>
      <w:r>
        <w:t xml:space="preserve"> a lo dispuesto por los Artículos 211 </w:t>
      </w:r>
      <w:r w:rsidR="00644F5D">
        <w:t>L</w:t>
      </w:r>
      <w:r>
        <w:t>iteral A) y 225 de la Constitución de la República</w:t>
      </w:r>
      <w:r w:rsidR="00641B79">
        <w:t xml:space="preserve"> y Artículo 483 de la Ley N° 17.296;</w:t>
      </w:r>
    </w:p>
    <w:p w:rsidR="0076246A" w:rsidRDefault="0076246A" w:rsidP="00644F5D">
      <w:pPr>
        <w:pStyle w:val="Textoindependiente"/>
        <w:jc w:val="center"/>
        <w:rPr>
          <w:b/>
          <w:highlight w:val="yellow"/>
        </w:rPr>
      </w:pPr>
      <w:r>
        <w:rPr>
          <w:b/>
        </w:rPr>
        <w:t>EL TRIBUNAL ACUERDA</w:t>
      </w:r>
    </w:p>
    <w:p w:rsidR="00641B79" w:rsidRDefault="00641B79" w:rsidP="00644F5D">
      <w:pPr>
        <w:pStyle w:val="Textoindependiente"/>
        <w:numPr>
          <w:ilvl w:val="0"/>
          <w:numId w:val="1"/>
        </w:numPr>
        <w:tabs>
          <w:tab w:val="clear" w:pos="720"/>
          <w:tab w:val="num" w:pos="284"/>
        </w:tabs>
        <w:ind w:left="284" w:hanging="284"/>
      </w:pPr>
      <w:r>
        <w:t>Emitir su pronunciamiento respecto al Proyecto de Presupuesto Quinquenal de la Junta Departamental de Rivera correspondiente al período 201</w:t>
      </w:r>
      <w:r w:rsidR="007C7B9A">
        <w:t>6</w:t>
      </w:r>
      <w:r>
        <w:t>-20</w:t>
      </w:r>
      <w:r w:rsidR="007C7B9A">
        <w:t>20</w:t>
      </w:r>
      <w:r>
        <w:t>, en los términos del Dictamen que se adjunta</w:t>
      </w:r>
      <w:r w:rsidR="00644F5D">
        <w:t>;</w:t>
      </w:r>
    </w:p>
    <w:p w:rsidR="00641B79" w:rsidRPr="00641B79" w:rsidRDefault="0076246A" w:rsidP="00644F5D">
      <w:pPr>
        <w:pStyle w:val="Textoindependiente"/>
        <w:numPr>
          <w:ilvl w:val="0"/>
          <w:numId w:val="1"/>
        </w:numPr>
        <w:tabs>
          <w:tab w:val="clear" w:pos="720"/>
          <w:tab w:val="num" w:pos="284"/>
        </w:tabs>
        <w:ind w:left="284" w:hanging="284"/>
      </w:pPr>
      <w:r>
        <w:t xml:space="preserve">Observar el referido documento por lo expresado en </w:t>
      </w:r>
      <w:r w:rsidR="00641B79">
        <w:t>e</w:t>
      </w:r>
      <w:r>
        <w:t xml:space="preserve">l </w:t>
      </w:r>
      <w:r w:rsidR="00644F5D">
        <w:t>P</w:t>
      </w:r>
      <w:r>
        <w:t xml:space="preserve">árrafo </w:t>
      </w:r>
      <w:r w:rsidR="00641B79">
        <w:t>3</w:t>
      </w:r>
      <w:r>
        <w:t>.</w:t>
      </w:r>
      <w:r w:rsidR="00641B79">
        <w:t>4</w:t>
      </w:r>
      <w:r>
        <w:t>) del Dictamen</w:t>
      </w:r>
      <w:r w:rsidR="00644F5D">
        <w:t>;</w:t>
      </w:r>
    </w:p>
    <w:p w:rsidR="00DE75A2" w:rsidRPr="00641B79" w:rsidRDefault="0076246A" w:rsidP="00644F5D">
      <w:pPr>
        <w:pStyle w:val="Textoindependiente"/>
        <w:numPr>
          <w:ilvl w:val="0"/>
          <w:numId w:val="1"/>
        </w:numPr>
        <w:tabs>
          <w:tab w:val="clear" w:pos="720"/>
          <w:tab w:val="num" w:pos="284"/>
        </w:tabs>
        <w:ind w:left="284" w:hanging="284"/>
      </w:pPr>
      <w:r w:rsidRPr="00641B79">
        <w:t xml:space="preserve">Téngase presente lo establecido en los </w:t>
      </w:r>
      <w:r w:rsidR="00644F5D">
        <w:t>P</w:t>
      </w:r>
      <w:r w:rsidRPr="00641B79">
        <w:t xml:space="preserve">árrafos </w:t>
      </w:r>
      <w:r w:rsidR="00641B79" w:rsidRPr="00641B79">
        <w:t>3</w:t>
      </w:r>
      <w:r w:rsidRPr="00641B79">
        <w:t>.</w:t>
      </w:r>
      <w:r w:rsidR="00641B79" w:rsidRPr="00641B79">
        <w:t>2</w:t>
      </w:r>
      <w:r w:rsidRPr="00641B79">
        <w:t xml:space="preserve">), </w:t>
      </w:r>
      <w:r w:rsidR="00641B79" w:rsidRPr="00641B79">
        <w:t>3</w:t>
      </w:r>
      <w:r w:rsidRPr="00641B79">
        <w:t>.</w:t>
      </w:r>
      <w:r w:rsidR="00641B79" w:rsidRPr="00641B79">
        <w:t>3</w:t>
      </w:r>
      <w:r w:rsidRPr="00641B79">
        <w:t xml:space="preserve">) y </w:t>
      </w:r>
      <w:r w:rsidR="00641B79" w:rsidRPr="00641B79">
        <w:t>3</w:t>
      </w:r>
      <w:r w:rsidRPr="00641B79">
        <w:t>.</w:t>
      </w:r>
      <w:r w:rsidR="00641B79" w:rsidRPr="00641B79">
        <w:t>5</w:t>
      </w:r>
      <w:r w:rsidRPr="00641B79">
        <w:t xml:space="preserve">) del </w:t>
      </w:r>
      <w:r>
        <w:t>Dictamen</w:t>
      </w:r>
      <w:r w:rsidR="00644F5D">
        <w:t>;</w:t>
      </w:r>
    </w:p>
    <w:p w:rsidR="00DE75A2" w:rsidRDefault="00DE75A2" w:rsidP="00644F5D">
      <w:pPr>
        <w:pStyle w:val="Textoindependiente"/>
        <w:numPr>
          <w:ilvl w:val="0"/>
          <w:numId w:val="1"/>
        </w:numPr>
        <w:tabs>
          <w:tab w:val="clear" w:pos="720"/>
          <w:tab w:val="num" w:pos="284"/>
        </w:tabs>
        <w:ind w:left="284" w:hanging="284"/>
      </w:pPr>
      <w:r>
        <w:t>Señalar que las asignaciones presupuestales proyectadas deberán ser financiadas por la Intendencia de Rivera</w:t>
      </w:r>
      <w:r w:rsidR="00644F5D">
        <w:t>;</w:t>
      </w:r>
    </w:p>
    <w:p w:rsidR="00DE75A2" w:rsidRDefault="00DE75A2" w:rsidP="00644F5D">
      <w:pPr>
        <w:pStyle w:val="Textoindependiente"/>
        <w:numPr>
          <w:ilvl w:val="0"/>
          <w:numId w:val="1"/>
        </w:numPr>
        <w:tabs>
          <w:tab w:val="clear" w:pos="720"/>
          <w:tab w:val="num" w:pos="284"/>
        </w:tabs>
        <w:ind w:left="0" w:firstLine="0"/>
      </w:pPr>
      <w:r>
        <w:t>Comunicar la presente Resolución a la Intendencia de Rivera</w:t>
      </w:r>
      <w:r w:rsidR="00644F5D">
        <w:t>;</w:t>
      </w:r>
    </w:p>
    <w:p w:rsidR="00DE75A2" w:rsidRDefault="00DE75A2" w:rsidP="00644F5D">
      <w:pPr>
        <w:pStyle w:val="Textoindependiente"/>
        <w:numPr>
          <w:ilvl w:val="0"/>
          <w:numId w:val="1"/>
        </w:numPr>
        <w:tabs>
          <w:tab w:val="clear" w:pos="720"/>
          <w:tab w:val="num" w:pos="360"/>
        </w:tabs>
        <w:ind w:left="0" w:firstLine="0"/>
      </w:pPr>
      <w:r>
        <w:t>Devolver los antecedentes a la Junta Departamental de Rivera.</w:t>
      </w:r>
    </w:p>
    <w:p w:rsidR="00E2399F" w:rsidRDefault="00E2399F" w:rsidP="00E2399F">
      <w:pPr>
        <w:pStyle w:val="Textoindependiente"/>
      </w:pPr>
    </w:p>
    <w:p w:rsidR="00E2399F" w:rsidRDefault="00E2399F" w:rsidP="0026030A">
      <w:pPr>
        <w:pStyle w:val="Ttulo1"/>
        <w:spacing w:line="360" w:lineRule="auto"/>
      </w:pPr>
      <w:r>
        <w:lastRenderedPageBreak/>
        <w:t>DICTAMEN</w:t>
      </w:r>
    </w:p>
    <w:p w:rsidR="00E2399F" w:rsidRDefault="00E2399F">
      <w:pPr>
        <w:pStyle w:val="Ttulo2"/>
        <w:tabs>
          <w:tab w:val="left" w:pos="7080"/>
        </w:tabs>
      </w:pPr>
    </w:p>
    <w:p w:rsidR="00E2399F" w:rsidRDefault="00E2399F">
      <w:pPr>
        <w:rPr>
          <w:b/>
        </w:rPr>
      </w:pPr>
    </w:p>
    <w:p w:rsidR="00E2399F" w:rsidRDefault="00E2399F" w:rsidP="0026030A">
      <w:pPr>
        <w:spacing w:line="360" w:lineRule="auto"/>
        <w:ind w:firstLine="851"/>
        <w:jc w:val="both"/>
        <w:rPr>
          <w:highlight w:val="yellow"/>
        </w:rPr>
      </w:pPr>
      <w:r>
        <w:t>El Tribunal de Cuentas ha examinado el Proyecto de Presupuesto Quinquenal para el período 2016-2020 de la Junta Departamental de Rivera. Toda la  información incluida en el referido Proyecto y los supuestos sobre los que se basa, son responsabilidad del Organismo que los emite. La responsabilidad del Tribunal de Cuentas es expresar una opinión sobre dicho Proyecto de Presupuesto, de acuerdo a lo dispuesto por los Artículos 211 Literal A) y 225 de la Constitución de la República y Artículo 483 de la Ley        N° 17.296 y establecer, en caso que corresponda, los hallazgos realizados en relación con el cumplimiento de las normas constitucionales, legales y reglamentarias que res</w:t>
      </w:r>
      <w:r w:rsidR="00F96731">
        <w:t>ulten aplicables.</w:t>
      </w:r>
    </w:p>
    <w:p w:rsidR="00E2399F" w:rsidRDefault="00E2399F" w:rsidP="0026030A">
      <w:pPr>
        <w:spacing w:line="360" w:lineRule="auto"/>
        <w:jc w:val="both"/>
        <w:rPr>
          <w:b/>
        </w:rPr>
      </w:pPr>
    </w:p>
    <w:p w:rsidR="00E2399F" w:rsidRDefault="00F96731" w:rsidP="00E2399F">
      <w:pPr>
        <w:numPr>
          <w:ilvl w:val="0"/>
          <w:numId w:val="2"/>
        </w:numPr>
        <w:spacing w:line="360" w:lineRule="auto"/>
        <w:ind w:left="0" w:firstLine="0"/>
        <w:jc w:val="both"/>
        <w:rPr>
          <w:rFonts w:cs="Arial"/>
          <w:b/>
        </w:rPr>
      </w:pPr>
      <w:r>
        <w:rPr>
          <w:rFonts w:cs="Arial"/>
          <w:b/>
        </w:rPr>
        <w:t>Antecedentes</w:t>
      </w:r>
    </w:p>
    <w:p w:rsidR="00E2399F" w:rsidRDefault="00E2399F" w:rsidP="0026030A">
      <w:pPr>
        <w:spacing w:line="360" w:lineRule="auto"/>
        <w:jc w:val="both"/>
        <w:rPr>
          <w:rFonts w:cs="Arial"/>
          <w:b/>
        </w:rPr>
      </w:pPr>
    </w:p>
    <w:p w:rsidR="00E2399F" w:rsidRDefault="00E2399F" w:rsidP="0026030A">
      <w:pPr>
        <w:pStyle w:val="Textoindependiente2"/>
        <w:rPr>
          <w:rFonts w:ascii="Arial" w:hAnsi="Arial" w:cs="Arial"/>
        </w:rPr>
      </w:pPr>
      <w:r w:rsidRPr="0026030A">
        <w:rPr>
          <w:rFonts w:ascii="Arial" w:hAnsi="Arial" w:cs="Arial"/>
          <w:b/>
        </w:rPr>
        <w:t>1.1)</w:t>
      </w:r>
      <w:r>
        <w:rPr>
          <w:rFonts w:ascii="Arial" w:hAnsi="Arial" w:cs="Arial"/>
        </w:rPr>
        <w:t xml:space="preserve"> El Legislativo Departamental, en Sesión ordinaria de fecha 31/03/16, aprobó en general, con el voto de 30 Ediles en 31 presentes en Sala, y en particular, por las mayorías que se expresan, el Proyecto de Presupuesto Quinquenal de la Junta a regir a partir del primer mes siguiente al de su sanción definitiva.</w:t>
      </w:r>
    </w:p>
    <w:p w:rsidR="00E2399F" w:rsidRDefault="00E2399F" w:rsidP="0026030A">
      <w:pPr>
        <w:pStyle w:val="Textoindependiente2"/>
        <w:rPr>
          <w:rFonts w:ascii="Arial" w:hAnsi="Arial" w:cs="Arial"/>
        </w:rPr>
      </w:pPr>
      <w:r w:rsidRPr="0026030A">
        <w:rPr>
          <w:rFonts w:ascii="Arial" w:hAnsi="Arial" w:cs="Arial"/>
          <w:b/>
        </w:rPr>
        <w:t>1.2)</w:t>
      </w:r>
      <w:r>
        <w:rPr>
          <w:rFonts w:ascii="Arial" w:hAnsi="Arial" w:cs="Arial"/>
        </w:rPr>
        <w:t xml:space="preserve"> Por Oficio N° 172/16 de fecha 01/04/16 la Junta Departamental de Rivera remitió las actuaciones a efectos de recabar el dictamen de este Tribunal, ingresando las mismas oficialmente en Sesión de 06/04/16 (Ordenanzas Nro. 51 de fecha 22/11/72 y 69 de 20/07/94).</w:t>
      </w:r>
    </w:p>
    <w:p w:rsidR="00E2399F" w:rsidRDefault="00E2399F" w:rsidP="0026030A">
      <w:pPr>
        <w:spacing w:line="360" w:lineRule="auto"/>
        <w:jc w:val="both"/>
        <w:rPr>
          <w:b/>
          <w:lang w:val="es-ES_tradnl"/>
        </w:rPr>
      </w:pPr>
    </w:p>
    <w:p w:rsidR="00E2399F" w:rsidRDefault="00E2399F" w:rsidP="00E2399F">
      <w:pPr>
        <w:numPr>
          <w:ilvl w:val="0"/>
          <w:numId w:val="2"/>
        </w:numPr>
        <w:spacing w:line="360" w:lineRule="auto"/>
        <w:ind w:left="0" w:firstLine="0"/>
        <w:jc w:val="both"/>
        <w:rPr>
          <w:b/>
        </w:rPr>
      </w:pPr>
      <w:r>
        <w:rPr>
          <w:b/>
        </w:rPr>
        <w:t>Análisis de las asignaciones presupuestales proyectadas</w:t>
      </w:r>
    </w:p>
    <w:p w:rsidR="00E2399F" w:rsidRDefault="00E2399F" w:rsidP="0026030A">
      <w:pPr>
        <w:spacing w:line="360" w:lineRule="auto"/>
        <w:ind w:left="720"/>
        <w:jc w:val="both"/>
        <w:rPr>
          <w:b/>
        </w:rPr>
      </w:pPr>
    </w:p>
    <w:p w:rsidR="00E2399F" w:rsidRDefault="00E2399F" w:rsidP="0026030A">
      <w:pPr>
        <w:pStyle w:val="Textoindependiente"/>
        <w:rPr>
          <w:b/>
        </w:rPr>
      </w:pPr>
      <w:r w:rsidRPr="0026030A">
        <w:rPr>
          <w:b/>
        </w:rPr>
        <w:t>2.1)</w:t>
      </w:r>
      <w:r w:rsidRPr="00142A06">
        <w:t xml:space="preserve"> Las asignaciones proyectadas se exponen  a nivel de objeto. Su resumen, expresado en pesos uruguayos, se ajusta al siguiente detalle:</w:t>
      </w:r>
    </w:p>
    <w:p w:rsidR="00E2399F" w:rsidRPr="00142A06" w:rsidRDefault="00E2399F" w:rsidP="0026030A">
      <w:pPr>
        <w:pStyle w:val="Textoindependiente"/>
        <w:rPr>
          <w:b/>
        </w:rPr>
      </w:pPr>
    </w:p>
    <w:tbl>
      <w:tblPr>
        <w:tblW w:w="9424" w:type="dxa"/>
        <w:jc w:val="center"/>
        <w:tblCellMar>
          <w:left w:w="0" w:type="dxa"/>
          <w:right w:w="0" w:type="dxa"/>
        </w:tblCellMar>
        <w:tblLook w:val="0000" w:firstRow="0" w:lastRow="0" w:firstColumn="0" w:lastColumn="0" w:noHBand="0" w:noVBand="0"/>
      </w:tblPr>
      <w:tblGrid>
        <w:gridCol w:w="2832"/>
        <w:gridCol w:w="1309"/>
        <w:gridCol w:w="1812"/>
        <w:gridCol w:w="1200"/>
        <w:gridCol w:w="1200"/>
        <w:gridCol w:w="1220"/>
      </w:tblGrid>
      <w:tr w:rsidR="00E2399F" w:rsidRPr="00E806F2" w:rsidTr="00B941AE">
        <w:trPr>
          <w:trHeight w:val="300"/>
          <w:jc w:val="center"/>
        </w:trPr>
        <w:tc>
          <w:tcPr>
            <w:tcW w:w="2832" w:type="dxa"/>
            <w:tcBorders>
              <w:top w:val="nil"/>
              <w:left w:val="nil"/>
              <w:bottom w:val="nil"/>
              <w:right w:val="nil"/>
            </w:tcBorders>
            <w:noWrap/>
            <w:tcMar>
              <w:top w:w="15" w:type="dxa"/>
              <w:left w:w="15" w:type="dxa"/>
              <w:bottom w:w="0" w:type="dxa"/>
              <w:right w:w="15" w:type="dxa"/>
            </w:tcMar>
            <w:vAlign w:val="bottom"/>
          </w:tcPr>
          <w:p w:rsidR="00E2399F" w:rsidRPr="00E806F2" w:rsidRDefault="00E2399F">
            <w:pPr>
              <w:rPr>
                <w:rFonts w:eastAsia="Arial Unicode MS" w:cs="Arial"/>
              </w:rPr>
            </w:pPr>
          </w:p>
        </w:tc>
        <w:tc>
          <w:tcPr>
            <w:tcW w:w="1160" w:type="dxa"/>
            <w:tcBorders>
              <w:top w:val="nil"/>
              <w:left w:val="nil"/>
              <w:bottom w:val="nil"/>
              <w:right w:val="nil"/>
            </w:tcBorders>
            <w:noWrap/>
            <w:tcMar>
              <w:top w:w="15" w:type="dxa"/>
              <w:left w:w="15" w:type="dxa"/>
              <w:bottom w:w="0" w:type="dxa"/>
              <w:right w:w="15" w:type="dxa"/>
            </w:tcMar>
            <w:vAlign w:val="bottom"/>
          </w:tcPr>
          <w:p w:rsidR="00E2399F" w:rsidRPr="00E806F2" w:rsidRDefault="00E2399F">
            <w:pPr>
              <w:jc w:val="center"/>
              <w:rPr>
                <w:rFonts w:eastAsia="Arial Unicode MS" w:cs="Arial"/>
                <w:b/>
                <w:bCs/>
                <w:sz w:val="20"/>
                <w:szCs w:val="20"/>
              </w:rPr>
            </w:pPr>
            <w:r>
              <w:rPr>
                <w:rFonts w:cs="Arial"/>
                <w:b/>
                <w:bCs/>
                <w:sz w:val="20"/>
                <w:szCs w:val="20"/>
              </w:rPr>
              <w:t>Vigente</w:t>
            </w:r>
          </w:p>
        </w:tc>
        <w:tc>
          <w:tcPr>
            <w:tcW w:w="1812" w:type="dxa"/>
            <w:tcBorders>
              <w:top w:val="nil"/>
              <w:left w:val="nil"/>
              <w:bottom w:val="nil"/>
              <w:right w:val="nil"/>
            </w:tcBorders>
            <w:noWrap/>
            <w:tcMar>
              <w:top w:w="15" w:type="dxa"/>
              <w:left w:w="15" w:type="dxa"/>
              <w:bottom w:w="0" w:type="dxa"/>
              <w:right w:w="15" w:type="dxa"/>
            </w:tcMar>
            <w:vAlign w:val="bottom"/>
          </w:tcPr>
          <w:p w:rsidR="00E2399F" w:rsidRPr="00E806F2" w:rsidRDefault="00E2399F">
            <w:pPr>
              <w:jc w:val="center"/>
              <w:rPr>
                <w:rFonts w:eastAsia="Arial Unicode MS" w:cs="Arial"/>
                <w:b/>
                <w:bCs/>
                <w:sz w:val="20"/>
                <w:szCs w:val="20"/>
              </w:rPr>
            </w:pPr>
            <w:r w:rsidRPr="00E806F2">
              <w:rPr>
                <w:rFonts w:cs="Arial"/>
                <w:b/>
                <w:bCs/>
                <w:sz w:val="20"/>
                <w:szCs w:val="20"/>
              </w:rPr>
              <w:t>Proyectado</w:t>
            </w:r>
            <w:r>
              <w:rPr>
                <w:rFonts w:cs="Arial"/>
                <w:b/>
                <w:bCs/>
                <w:sz w:val="20"/>
                <w:szCs w:val="20"/>
              </w:rPr>
              <w:t xml:space="preserve"> Anual</w:t>
            </w:r>
          </w:p>
        </w:tc>
        <w:tc>
          <w:tcPr>
            <w:tcW w:w="1200" w:type="dxa"/>
            <w:tcBorders>
              <w:top w:val="nil"/>
              <w:left w:val="nil"/>
              <w:bottom w:val="nil"/>
              <w:right w:val="nil"/>
            </w:tcBorders>
            <w:noWrap/>
            <w:tcMar>
              <w:top w:w="15" w:type="dxa"/>
              <w:left w:w="15" w:type="dxa"/>
              <w:bottom w:w="0" w:type="dxa"/>
              <w:right w:w="15" w:type="dxa"/>
            </w:tcMar>
            <w:vAlign w:val="bottom"/>
          </w:tcPr>
          <w:p w:rsidR="00E2399F" w:rsidRPr="00E806F2" w:rsidRDefault="00E2399F">
            <w:pPr>
              <w:jc w:val="center"/>
              <w:rPr>
                <w:rFonts w:eastAsia="Arial Unicode MS" w:cs="Arial"/>
                <w:b/>
                <w:bCs/>
                <w:sz w:val="20"/>
                <w:szCs w:val="20"/>
              </w:rPr>
            </w:pPr>
          </w:p>
        </w:tc>
        <w:tc>
          <w:tcPr>
            <w:tcW w:w="1200" w:type="dxa"/>
            <w:tcBorders>
              <w:top w:val="nil"/>
              <w:left w:val="nil"/>
              <w:bottom w:val="nil"/>
              <w:right w:val="nil"/>
            </w:tcBorders>
            <w:noWrap/>
            <w:tcMar>
              <w:top w:w="15" w:type="dxa"/>
              <w:left w:w="15" w:type="dxa"/>
              <w:bottom w:w="0" w:type="dxa"/>
              <w:right w:w="15" w:type="dxa"/>
            </w:tcMar>
            <w:vAlign w:val="bottom"/>
          </w:tcPr>
          <w:p w:rsidR="00E2399F" w:rsidRPr="00E806F2" w:rsidRDefault="00E2399F">
            <w:pPr>
              <w:jc w:val="center"/>
              <w:rPr>
                <w:rFonts w:eastAsia="Arial Unicode MS" w:cs="Arial"/>
                <w:b/>
                <w:bCs/>
                <w:sz w:val="20"/>
                <w:szCs w:val="20"/>
              </w:rPr>
            </w:pPr>
          </w:p>
        </w:tc>
        <w:tc>
          <w:tcPr>
            <w:tcW w:w="1220" w:type="dxa"/>
            <w:tcBorders>
              <w:top w:val="nil"/>
              <w:left w:val="nil"/>
              <w:bottom w:val="nil"/>
              <w:right w:val="nil"/>
            </w:tcBorders>
            <w:noWrap/>
            <w:tcMar>
              <w:top w:w="15" w:type="dxa"/>
              <w:left w:w="15" w:type="dxa"/>
              <w:bottom w:w="0" w:type="dxa"/>
              <w:right w:w="15" w:type="dxa"/>
            </w:tcMar>
            <w:vAlign w:val="bottom"/>
          </w:tcPr>
          <w:p w:rsidR="00E2399F" w:rsidRPr="00E806F2" w:rsidRDefault="00E2399F">
            <w:pPr>
              <w:jc w:val="center"/>
              <w:rPr>
                <w:rFonts w:eastAsia="Arial Unicode MS" w:cs="Arial"/>
                <w:b/>
                <w:bCs/>
                <w:sz w:val="20"/>
                <w:szCs w:val="20"/>
              </w:rPr>
            </w:pPr>
          </w:p>
        </w:tc>
      </w:tr>
      <w:tr w:rsidR="00E2399F" w:rsidRPr="00E806F2" w:rsidTr="00B941AE">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rsidR="00E2399F" w:rsidRPr="00E806F2" w:rsidRDefault="00E2399F">
            <w:pPr>
              <w:jc w:val="center"/>
              <w:rPr>
                <w:rFonts w:eastAsia="Arial Unicode MS" w:cs="Arial"/>
                <w:b/>
                <w:bCs/>
                <w:sz w:val="20"/>
                <w:szCs w:val="20"/>
              </w:rPr>
            </w:pPr>
            <w:r w:rsidRPr="00E806F2">
              <w:rPr>
                <w:rFonts w:cs="Arial"/>
                <w:b/>
                <w:bCs/>
                <w:sz w:val="20"/>
                <w:szCs w:val="20"/>
              </w:rPr>
              <w:t>Grupo</w:t>
            </w:r>
          </w:p>
        </w:tc>
        <w:tc>
          <w:tcPr>
            <w:tcW w:w="0" w:type="auto"/>
            <w:tcBorders>
              <w:top w:val="nil"/>
              <w:left w:val="nil"/>
              <w:bottom w:val="nil"/>
              <w:right w:val="nil"/>
            </w:tcBorders>
            <w:noWrap/>
            <w:tcMar>
              <w:top w:w="15" w:type="dxa"/>
              <w:left w:w="15" w:type="dxa"/>
              <w:bottom w:w="0" w:type="dxa"/>
              <w:right w:w="15" w:type="dxa"/>
            </w:tcMar>
            <w:vAlign w:val="bottom"/>
          </w:tcPr>
          <w:p w:rsidR="00E2399F" w:rsidRPr="00E806F2" w:rsidRDefault="00E2399F" w:rsidP="00A66ACA">
            <w:pPr>
              <w:jc w:val="center"/>
              <w:rPr>
                <w:rFonts w:eastAsia="Arial Unicode MS" w:cs="Arial"/>
                <w:b/>
                <w:bCs/>
                <w:sz w:val="20"/>
                <w:szCs w:val="20"/>
              </w:rPr>
            </w:pPr>
          </w:p>
        </w:tc>
        <w:tc>
          <w:tcPr>
            <w:tcW w:w="1812" w:type="dxa"/>
            <w:tcBorders>
              <w:top w:val="nil"/>
              <w:left w:val="nil"/>
              <w:bottom w:val="nil"/>
              <w:right w:val="nil"/>
            </w:tcBorders>
            <w:noWrap/>
            <w:tcMar>
              <w:top w:w="15" w:type="dxa"/>
              <w:left w:w="15" w:type="dxa"/>
              <w:bottom w:w="0" w:type="dxa"/>
              <w:right w:w="15" w:type="dxa"/>
            </w:tcMar>
            <w:vAlign w:val="bottom"/>
          </w:tcPr>
          <w:p w:rsidR="00E2399F" w:rsidRPr="00E806F2" w:rsidRDefault="00E2399F" w:rsidP="00A8441E">
            <w:pPr>
              <w:jc w:val="center"/>
              <w:rPr>
                <w:rFonts w:eastAsia="Arial Unicode MS" w:cs="Arial"/>
                <w:b/>
                <w:bCs/>
                <w:sz w:val="20"/>
                <w:szCs w:val="20"/>
              </w:rPr>
            </w:pPr>
            <w:r w:rsidRPr="00E806F2">
              <w:rPr>
                <w:rFonts w:cs="Arial"/>
                <w:b/>
                <w:bCs/>
                <w:sz w:val="20"/>
                <w:szCs w:val="20"/>
              </w:rPr>
              <w:t>201</w:t>
            </w:r>
            <w:r>
              <w:rPr>
                <w:rFonts w:cs="Arial"/>
                <w:b/>
                <w:bCs/>
                <w:sz w:val="20"/>
                <w:szCs w:val="20"/>
              </w:rPr>
              <w:t>6-2020</w:t>
            </w:r>
          </w:p>
        </w:tc>
        <w:tc>
          <w:tcPr>
            <w:tcW w:w="0" w:type="auto"/>
            <w:tcBorders>
              <w:top w:val="nil"/>
              <w:left w:val="nil"/>
              <w:bottom w:val="nil"/>
              <w:right w:val="nil"/>
            </w:tcBorders>
            <w:noWrap/>
            <w:tcMar>
              <w:top w:w="15" w:type="dxa"/>
              <w:left w:w="15" w:type="dxa"/>
              <w:bottom w:w="0" w:type="dxa"/>
              <w:right w:w="15" w:type="dxa"/>
            </w:tcMar>
            <w:vAlign w:val="bottom"/>
          </w:tcPr>
          <w:p w:rsidR="00E2399F" w:rsidRPr="00E806F2" w:rsidRDefault="00E2399F" w:rsidP="00A66ACA">
            <w:pPr>
              <w:jc w:val="center"/>
              <w:rPr>
                <w:rFonts w:eastAsia="Arial Unicode MS" w:cs="Arial"/>
                <w:b/>
                <w:bC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E2399F" w:rsidRPr="00E806F2" w:rsidRDefault="00E2399F" w:rsidP="00A66ACA">
            <w:pPr>
              <w:jc w:val="center"/>
              <w:rPr>
                <w:rFonts w:eastAsia="Arial Unicode MS" w:cs="Arial"/>
                <w:b/>
                <w:bC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E2399F" w:rsidRPr="00E806F2" w:rsidRDefault="00E2399F" w:rsidP="00A66ACA">
            <w:pPr>
              <w:jc w:val="center"/>
              <w:rPr>
                <w:rFonts w:eastAsia="Arial Unicode MS" w:cs="Arial"/>
                <w:b/>
                <w:bCs/>
                <w:sz w:val="20"/>
                <w:szCs w:val="20"/>
              </w:rPr>
            </w:pPr>
          </w:p>
        </w:tc>
      </w:tr>
      <w:tr w:rsidR="00E2399F" w:rsidRPr="00E806F2" w:rsidTr="00B941AE">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rsidR="00E2399F" w:rsidRPr="00E806F2" w:rsidRDefault="00E2399F" w:rsidP="00E806F2">
            <w:pPr>
              <w:rPr>
                <w:rFonts w:eastAsia="Arial Unicode MS" w:cs="Arial"/>
                <w:sz w:val="20"/>
                <w:szCs w:val="20"/>
              </w:rPr>
            </w:pPr>
            <w:r w:rsidRPr="00E806F2">
              <w:rPr>
                <w:rFonts w:cs="Arial"/>
                <w:sz w:val="20"/>
                <w:szCs w:val="20"/>
              </w:rPr>
              <w:t xml:space="preserve">0 - </w:t>
            </w:r>
            <w:proofErr w:type="spellStart"/>
            <w:r w:rsidRPr="00E806F2">
              <w:rPr>
                <w:rFonts w:cs="Arial"/>
                <w:sz w:val="20"/>
                <w:szCs w:val="20"/>
              </w:rPr>
              <w:t>Retrib</w:t>
            </w:r>
            <w:proofErr w:type="spellEnd"/>
            <w:r w:rsidRPr="00E806F2">
              <w:rPr>
                <w:rFonts w:cs="Arial"/>
                <w:sz w:val="20"/>
                <w:szCs w:val="20"/>
              </w:rPr>
              <w:t>. Servicios Personales</w:t>
            </w:r>
          </w:p>
        </w:tc>
        <w:tc>
          <w:tcPr>
            <w:tcW w:w="0" w:type="auto"/>
            <w:tcBorders>
              <w:top w:val="nil"/>
              <w:left w:val="nil"/>
              <w:bottom w:val="nil"/>
              <w:right w:val="nil"/>
            </w:tcBorders>
            <w:noWrap/>
            <w:tcMar>
              <w:top w:w="15" w:type="dxa"/>
              <w:left w:w="15" w:type="dxa"/>
              <w:bottom w:w="0" w:type="dxa"/>
              <w:right w:w="15" w:type="dxa"/>
            </w:tcMar>
            <w:vAlign w:val="bottom"/>
          </w:tcPr>
          <w:p w:rsidR="00E2399F" w:rsidRPr="00E806F2" w:rsidRDefault="00E2399F" w:rsidP="00A66ACA">
            <w:pPr>
              <w:jc w:val="right"/>
              <w:rPr>
                <w:rFonts w:eastAsia="Arial Unicode MS" w:cs="Arial"/>
                <w:sz w:val="20"/>
                <w:szCs w:val="20"/>
              </w:rPr>
            </w:pPr>
            <w:r>
              <w:rPr>
                <w:rFonts w:eastAsia="Arial Unicode MS" w:cs="Arial"/>
                <w:sz w:val="20"/>
                <w:szCs w:val="20"/>
              </w:rPr>
              <w:t>27.733.877</w:t>
            </w:r>
          </w:p>
        </w:tc>
        <w:tc>
          <w:tcPr>
            <w:tcW w:w="1812" w:type="dxa"/>
            <w:tcBorders>
              <w:top w:val="nil"/>
              <w:left w:val="nil"/>
              <w:bottom w:val="nil"/>
              <w:right w:val="nil"/>
            </w:tcBorders>
            <w:noWrap/>
            <w:tcMar>
              <w:top w:w="15" w:type="dxa"/>
              <w:left w:w="15" w:type="dxa"/>
              <w:bottom w:w="0" w:type="dxa"/>
              <w:right w:w="15" w:type="dxa"/>
            </w:tcMar>
            <w:vAlign w:val="bottom"/>
          </w:tcPr>
          <w:p w:rsidR="00E2399F" w:rsidRPr="00E806F2" w:rsidRDefault="00E2399F" w:rsidP="00B941AE">
            <w:pPr>
              <w:jc w:val="center"/>
              <w:rPr>
                <w:rFonts w:eastAsia="Arial Unicode MS" w:cs="Arial"/>
                <w:sz w:val="20"/>
                <w:szCs w:val="20"/>
              </w:rPr>
            </w:pPr>
            <w:r w:rsidRPr="00E806F2">
              <w:rPr>
                <w:rFonts w:eastAsia="Arial Unicode MS" w:cs="Arial"/>
                <w:sz w:val="20"/>
                <w:szCs w:val="20"/>
              </w:rPr>
              <w:t>30.082.294</w:t>
            </w:r>
          </w:p>
        </w:tc>
        <w:tc>
          <w:tcPr>
            <w:tcW w:w="0" w:type="auto"/>
            <w:tcBorders>
              <w:top w:val="nil"/>
              <w:left w:val="nil"/>
              <w:bottom w:val="nil"/>
              <w:right w:val="nil"/>
            </w:tcBorders>
            <w:noWrap/>
            <w:tcMar>
              <w:top w:w="15" w:type="dxa"/>
              <w:left w:w="15" w:type="dxa"/>
              <w:bottom w:w="0" w:type="dxa"/>
              <w:right w:w="15" w:type="dxa"/>
            </w:tcMar>
            <w:vAlign w:val="bottom"/>
          </w:tcPr>
          <w:p w:rsidR="00E2399F" w:rsidRPr="00E806F2" w:rsidRDefault="00E2399F" w:rsidP="00A66ACA">
            <w:pPr>
              <w:jc w:val="right"/>
              <w:rPr>
                <w:rFonts w:eastAsia="Arial Unicode MS"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E2399F" w:rsidRPr="00E806F2" w:rsidRDefault="00E2399F" w:rsidP="00A66ACA">
            <w:pPr>
              <w:jc w:val="right"/>
              <w:rPr>
                <w:rFonts w:eastAsia="Arial Unicode MS"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E2399F" w:rsidRPr="00E806F2" w:rsidRDefault="00E2399F" w:rsidP="00A66ACA">
            <w:pPr>
              <w:jc w:val="right"/>
              <w:rPr>
                <w:rFonts w:eastAsia="Arial Unicode MS" w:cs="Arial"/>
                <w:sz w:val="20"/>
                <w:szCs w:val="20"/>
              </w:rPr>
            </w:pPr>
          </w:p>
        </w:tc>
      </w:tr>
      <w:tr w:rsidR="00E2399F" w:rsidRPr="00E806F2" w:rsidTr="00B941AE">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rsidR="00E2399F" w:rsidRPr="00E806F2" w:rsidRDefault="00E2399F" w:rsidP="00E806F2">
            <w:pPr>
              <w:rPr>
                <w:rFonts w:eastAsia="Arial Unicode MS" w:cs="Arial"/>
                <w:sz w:val="20"/>
                <w:szCs w:val="20"/>
              </w:rPr>
            </w:pPr>
            <w:r w:rsidRPr="00E806F2">
              <w:rPr>
                <w:rFonts w:cs="Arial"/>
                <w:sz w:val="20"/>
                <w:szCs w:val="20"/>
              </w:rPr>
              <w:t>1 - Bienes de Consumo</w:t>
            </w:r>
          </w:p>
        </w:tc>
        <w:tc>
          <w:tcPr>
            <w:tcW w:w="0" w:type="auto"/>
            <w:tcBorders>
              <w:top w:val="nil"/>
              <w:left w:val="nil"/>
              <w:bottom w:val="nil"/>
              <w:right w:val="nil"/>
            </w:tcBorders>
            <w:noWrap/>
            <w:tcMar>
              <w:top w:w="15" w:type="dxa"/>
              <w:left w:w="15" w:type="dxa"/>
              <w:bottom w:w="0" w:type="dxa"/>
              <w:right w:w="15" w:type="dxa"/>
            </w:tcMar>
            <w:vAlign w:val="bottom"/>
          </w:tcPr>
          <w:p w:rsidR="00E2399F" w:rsidRPr="00E806F2" w:rsidRDefault="00E2399F" w:rsidP="00A66ACA">
            <w:pPr>
              <w:jc w:val="right"/>
              <w:rPr>
                <w:rFonts w:eastAsia="Arial Unicode MS" w:cs="Arial"/>
                <w:sz w:val="20"/>
                <w:szCs w:val="20"/>
              </w:rPr>
            </w:pPr>
            <w:r>
              <w:rPr>
                <w:rFonts w:eastAsia="Arial Unicode MS" w:cs="Arial"/>
                <w:sz w:val="20"/>
                <w:szCs w:val="20"/>
              </w:rPr>
              <w:t>12.386.260</w:t>
            </w:r>
          </w:p>
        </w:tc>
        <w:tc>
          <w:tcPr>
            <w:tcW w:w="1812" w:type="dxa"/>
            <w:tcBorders>
              <w:top w:val="nil"/>
              <w:left w:val="nil"/>
              <w:bottom w:val="nil"/>
              <w:right w:val="nil"/>
            </w:tcBorders>
            <w:noWrap/>
            <w:tcMar>
              <w:top w:w="15" w:type="dxa"/>
              <w:left w:w="15" w:type="dxa"/>
              <w:bottom w:w="0" w:type="dxa"/>
              <w:right w:w="15" w:type="dxa"/>
            </w:tcMar>
            <w:vAlign w:val="bottom"/>
          </w:tcPr>
          <w:p w:rsidR="00E2399F" w:rsidRPr="00E806F2" w:rsidRDefault="00E2399F" w:rsidP="00B941AE">
            <w:pPr>
              <w:jc w:val="center"/>
              <w:rPr>
                <w:rFonts w:eastAsia="Arial Unicode MS" w:cs="Arial"/>
                <w:sz w:val="20"/>
                <w:szCs w:val="20"/>
              </w:rPr>
            </w:pPr>
            <w:r w:rsidRPr="00E806F2">
              <w:rPr>
                <w:rFonts w:eastAsia="Arial Unicode MS" w:cs="Arial"/>
                <w:sz w:val="20"/>
                <w:szCs w:val="20"/>
              </w:rPr>
              <w:t>13.697.529</w:t>
            </w:r>
          </w:p>
        </w:tc>
        <w:tc>
          <w:tcPr>
            <w:tcW w:w="0" w:type="auto"/>
            <w:tcBorders>
              <w:top w:val="nil"/>
              <w:left w:val="nil"/>
              <w:bottom w:val="nil"/>
              <w:right w:val="nil"/>
            </w:tcBorders>
            <w:noWrap/>
            <w:tcMar>
              <w:top w:w="15" w:type="dxa"/>
              <w:left w:w="15" w:type="dxa"/>
              <w:bottom w:w="0" w:type="dxa"/>
              <w:right w:w="15" w:type="dxa"/>
            </w:tcMar>
            <w:vAlign w:val="bottom"/>
          </w:tcPr>
          <w:p w:rsidR="00E2399F" w:rsidRPr="00E806F2" w:rsidRDefault="00E2399F" w:rsidP="00A66ACA">
            <w:pPr>
              <w:jc w:val="right"/>
              <w:rPr>
                <w:rFonts w:eastAsia="Arial Unicode MS"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E2399F" w:rsidRPr="00E806F2" w:rsidRDefault="00E2399F" w:rsidP="00A66ACA">
            <w:pPr>
              <w:jc w:val="right"/>
              <w:rPr>
                <w:rFonts w:eastAsia="Arial Unicode MS"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E2399F" w:rsidRPr="00E806F2" w:rsidRDefault="00E2399F" w:rsidP="00A66ACA">
            <w:pPr>
              <w:jc w:val="right"/>
              <w:rPr>
                <w:rFonts w:eastAsia="Arial Unicode MS" w:cs="Arial"/>
                <w:sz w:val="20"/>
                <w:szCs w:val="20"/>
              </w:rPr>
            </w:pPr>
          </w:p>
        </w:tc>
      </w:tr>
      <w:tr w:rsidR="00E2399F" w:rsidRPr="00E806F2" w:rsidTr="00B941AE">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rsidR="00E2399F" w:rsidRPr="00E806F2" w:rsidRDefault="00E2399F" w:rsidP="00E806F2">
            <w:pPr>
              <w:rPr>
                <w:rFonts w:eastAsia="Arial Unicode MS" w:cs="Arial"/>
                <w:sz w:val="20"/>
                <w:szCs w:val="20"/>
              </w:rPr>
            </w:pPr>
            <w:r w:rsidRPr="00E806F2">
              <w:rPr>
                <w:rFonts w:cs="Arial"/>
                <w:sz w:val="20"/>
                <w:szCs w:val="20"/>
              </w:rPr>
              <w:t>2 - Servicios No Personales</w:t>
            </w:r>
          </w:p>
        </w:tc>
        <w:tc>
          <w:tcPr>
            <w:tcW w:w="0" w:type="auto"/>
            <w:tcBorders>
              <w:top w:val="nil"/>
              <w:left w:val="nil"/>
              <w:bottom w:val="nil"/>
              <w:right w:val="nil"/>
            </w:tcBorders>
            <w:noWrap/>
            <w:tcMar>
              <w:top w:w="15" w:type="dxa"/>
              <w:left w:w="15" w:type="dxa"/>
              <w:bottom w:w="0" w:type="dxa"/>
              <w:right w:w="15" w:type="dxa"/>
            </w:tcMar>
            <w:vAlign w:val="bottom"/>
          </w:tcPr>
          <w:p w:rsidR="00E2399F" w:rsidRPr="00E806F2" w:rsidRDefault="00E2399F" w:rsidP="00A66ACA">
            <w:pPr>
              <w:jc w:val="right"/>
              <w:rPr>
                <w:rFonts w:eastAsia="Arial Unicode MS" w:cs="Arial"/>
                <w:sz w:val="20"/>
                <w:szCs w:val="20"/>
              </w:rPr>
            </w:pPr>
            <w:r>
              <w:rPr>
                <w:rFonts w:eastAsia="Arial Unicode MS" w:cs="Arial"/>
                <w:sz w:val="20"/>
                <w:szCs w:val="20"/>
              </w:rPr>
              <w:t>5.947.930</w:t>
            </w:r>
          </w:p>
        </w:tc>
        <w:tc>
          <w:tcPr>
            <w:tcW w:w="1812" w:type="dxa"/>
            <w:tcBorders>
              <w:top w:val="nil"/>
              <w:left w:val="nil"/>
              <w:bottom w:val="nil"/>
              <w:right w:val="nil"/>
            </w:tcBorders>
            <w:noWrap/>
            <w:tcMar>
              <w:top w:w="15" w:type="dxa"/>
              <w:left w:w="15" w:type="dxa"/>
              <w:bottom w:w="0" w:type="dxa"/>
              <w:right w:w="15" w:type="dxa"/>
            </w:tcMar>
            <w:vAlign w:val="bottom"/>
          </w:tcPr>
          <w:p w:rsidR="00E2399F" w:rsidRPr="00E806F2" w:rsidRDefault="00E2399F" w:rsidP="00B941AE">
            <w:pPr>
              <w:jc w:val="center"/>
              <w:rPr>
                <w:rFonts w:eastAsia="Arial Unicode MS" w:cs="Arial"/>
                <w:sz w:val="20"/>
                <w:szCs w:val="20"/>
              </w:rPr>
            </w:pPr>
            <w:r>
              <w:rPr>
                <w:rFonts w:eastAsia="Arial Unicode MS" w:cs="Arial"/>
                <w:sz w:val="20"/>
                <w:szCs w:val="20"/>
              </w:rPr>
              <w:t xml:space="preserve">  </w:t>
            </w:r>
            <w:r w:rsidRPr="00E806F2">
              <w:rPr>
                <w:rFonts w:eastAsia="Arial Unicode MS" w:cs="Arial"/>
                <w:sz w:val="20"/>
                <w:szCs w:val="20"/>
              </w:rPr>
              <w:t>5.722.930</w:t>
            </w:r>
          </w:p>
        </w:tc>
        <w:tc>
          <w:tcPr>
            <w:tcW w:w="0" w:type="auto"/>
            <w:tcBorders>
              <w:top w:val="nil"/>
              <w:left w:val="nil"/>
              <w:bottom w:val="nil"/>
              <w:right w:val="nil"/>
            </w:tcBorders>
            <w:noWrap/>
            <w:tcMar>
              <w:top w:w="15" w:type="dxa"/>
              <w:left w:w="15" w:type="dxa"/>
              <w:bottom w:w="0" w:type="dxa"/>
              <w:right w:w="15" w:type="dxa"/>
            </w:tcMar>
            <w:vAlign w:val="bottom"/>
          </w:tcPr>
          <w:p w:rsidR="00E2399F" w:rsidRPr="00E806F2" w:rsidRDefault="00E2399F" w:rsidP="00A66ACA">
            <w:pPr>
              <w:jc w:val="right"/>
              <w:rPr>
                <w:rFonts w:eastAsia="Arial Unicode MS"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E2399F" w:rsidRPr="00E806F2" w:rsidRDefault="00E2399F" w:rsidP="00A66ACA">
            <w:pPr>
              <w:jc w:val="right"/>
              <w:rPr>
                <w:rFonts w:eastAsia="Arial Unicode MS"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E2399F" w:rsidRPr="00E806F2" w:rsidRDefault="00E2399F" w:rsidP="00A66ACA">
            <w:pPr>
              <w:jc w:val="right"/>
              <w:rPr>
                <w:rFonts w:eastAsia="Arial Unicode MS" w:cs="Arial"/>
                <w:sz w:val="20"/>
                <w:szCs w:val="20"/>
              </w:rPr>
            </w:pPr>
          </w:p>
        </w:tc>
      </w:tr>
      <w:tr w:rsidR="00E2399F" w:rsidRPr="00E806F2" w:rsidTr="00B941AE">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rsidR="00E2399F" w:rsidRPr="00E806F2" w:rsidRDefault="00E2399F" w:rsidP="00E806F2">
            <w:pPr>
              <w:rPr>
                <w:rFonts w:eastAsia="Arial Unicode MS" w:cs="Arial"/>
                <w:sz w:val="20"/>
                <w:szCs w:val="20"/>
              </w:rPr>
            </w:pPr>
            <w:r w:rsidRPr="00E806F2">
              <w:rPr>
                <w:rFonts w:cs="Arial"/>
                <w:sz w:val="20"/>
                <w:szCs w:val="20"/>
              </w:rPr>
              <w:t>3 - Bienes de Uso</w:t>
            </w:r>
          </w:p>
        </w:tc>
        <w:tc>
          <w:tcPr>
            <w:tcW w:w="0" w:type="auto"/>
            <w:tcBorders>
              <w:top w:val="nil"/>
              <w:left w:val="nil"/>
              <w:bottom w:val="nil"/>
              <w:right w:val="nil"/>
            </w:tcBorders>
            <w:noWrap/>
            <w:tcMar>
              <w:top w:w="15" w:type="dxa"/>
              <w:left w:w="15" w:type="dxa"/>
              <w:bottom w:w="0" w:type="dxa"/>
              <w:right w:w="15" w:type="dxa"/>
            </w:tcMar>
            <w:vAlign w:val="bottom"/>
          </w:tcPr>
          <w:p w:rsidR="00E2399F" w:rsidRPr="00E806F2" w:rsidRDefault="00E2399F" w:rsidP="00A66ACA">
            <w:pPr>
              <w:jc w:val="right"/>
              <w:rPr>
                <w:rFonts w:eastAsia="Arial Unicode MS" w:cs="Arial"/>
                <w:sz w:val="20"/>
                <w:szCs w:val="20"/>
              </w:rPr>
            </w:pPr>
            <w:r w:rsidRPr="00E806F2">
              <w:rPr>
                <w:rFonts w:eastAsia="Arial Unicode MS" w:cs="Arial"/>
                <w:sz w:val="20"/>
                <w:szCs w:val="20"/>
              </w:rPr>
              <w:t>994.136</w:t>
            </w:r>
          </w:p>
        </w:tc>
        <w:tc>
          <w:tcPr>
            <w:tcW w:w="1812" w:type="dxa"/>
            <w:tcBorders>
              <w:top w:val="nil"/>
              <w:left w:val="nil"/>
              <w:bottom w:val="nil"/>
              <w:right w:val="nil"/>
            </w:tcBorders>
            <w:noWrap/>
            <w:tcMar>
              <w:top w:w="15" w:type="dxa"/>
              <w:left w:w="15" w:type="dxa"/>
              <w:bottom w:w="0" w:type="dxa"/>
              <w:right w:w="15" w:type="dxa"/>
            </w:tcMar>
            <w:vAlign w:val="bottom"/>
          </w:tcPr>
          <w:p w:rsidR="00E2399F" w:rsidRPr="00E806F2" w:rsidRDefault="00E2399F" w:rsidP="00B941AE">
            <w:pPr>
              <w:jc w:val="center"/>
              <w:rPr>
                <w:rFonts w:eastAsia="Arial Unicode MS" w:cs="Arial"/>
                <w:sz w:val="20"/>
                <w:szCs w:val="20"/>
              </w:rPr>
            </w:pPr>
            <w:r>
              <w:rPr>
                <w:rFonts w:eastAsia="Arial Unicode MS" w:cs="Arial"/>
                <w:sz w:val="20"/>
                <w:szCs w:val="20"/>
              </w:rPr>
              <w:t xml:space="preserve">     </w:t>
            </w:r>
            <w:r w:rsidRPr="00E806F2">
              <w:rPr>
                <w:rFonts w:eastAsia="Arial Unicode MS" w:cs="Arial"/>
                <w:sz w:val="20"/>
                <w:szCs w:val="20"/>
              </w:rPr>
              <w:t>994.136</w:t>
            </w:r>
          </w:p>
        </w:tc>
        <w:tc>
          <w:tcPr>
            <w:tcW w:w="0" w:type="auto"/>
            <w:tcBorders>
              <w:top w:val="nil"/>
              <w:left w:val="nil"/>
              <w:bottom w:val="nil"/>
              <w:right w:val="nil"/>
            </w:tcBorders>
            <w:noWrap/>
            <w:tcMar>
              <w:top w:w="15" w:type="dxa"/>
              <w:left w:w="15" w:type="dxa"/>
              <w:bottom w:w="0" w:type="dxa"/>
              <w:right w:w="15" w:type="dxa"/>
            </w:tcMar>
            <w:vAlign w:val="bottom"/>
          </w:tcPr>
          <w:p w:rsidR="00E2399F" w:rsidRPr="00E806F2" w:rsidRDefault="00E2399F" w:rsidP="00A66ACA">
            <w:pPr>
              <w:jc w:val="right"/>
              <w:rPr>
                <w:rFonts w:eastAsia="Arial Unicode MS"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E2399F" w:rsidRPr="00E806F2" w:rsidRDefault="00E2399F" w:rsidP="00A66ACA">
            <w:pPr>
              <w:jc w:val="right"/>
              <w:rPr>
                <w:rFonts w:eastAsia="Arial Unicode MS"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E2399F" w:rsidRPr="00E806F2" w:rsidRDefault="00E2399F" w:rsidP="00A66ACA">
            <w:pPr>
              <w:jc w:val="right"/>
              <w:rPr>
                <w:rFonts w:eastAsia="Arial Unicode MS" w:cs="Arial"/>
                <w:sz w:val="20"/>
                <w:szCs w:val="20"/>
              </w:rPr>
            </w:pPr>
          </w:p>
        </w:tc>
      </w:tr>
      <w:tr w:rsidR="00E2399F" w:rsidRPr="00E806F2" w:rsidTr="00B941AE">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rsidR="00E2399F" w:rsidRPr="00E806F2" w:rsidRDefault="00E2399F" w:rsidP="00E806F2">
            <w:pPr>
              <w:rPr>
                <w:rFonts w:eastAsia="Arial Unicode MS" w:cs="Arial"/>
                <w:sz w:val="20"/>
                <w:szCs w:val="20"/>
              </w:rPr>
            </w:pPr>
            <w:r w:rsidRPr="00E806F2">
              <w:rPr>
                <w:rFonts w:cs="Arial"/>
                <w:sz w:val="20"/>
                <w:szCs w:val="20"/>
              </w:rPr>
              <w:t>5 - Transferencias</w:t>
            </w:r>
          </w:p>
        </w:tc>
        <w:tc>
          <w:tcPr>
            <w:tcW w:w="0" w:type="auto"/>
            <w:tcBorders>
              <w:top w:val="nil"/>
              <w:left w:val="nil"/>
              <w:right w:val="nil"/>
            </w:tcBorders>
            <w:noWrap/>
            <w:tcMar>
              <w:top w:w="15" w:type="dxa"/>
              <w:left w:w="15" w:type="dxa"/>
              <w:bottom w:w="0" w:type="dxa"/>
              <w:right w:w="15" w:type="dxa"/>
            </w:tcMar>
            <w:vAlign w:val="bottom"/>
          </w:tcPr>
          <w:p w:rsidR="00E2399F" w:rsidRPr="00E806F2" w:rsidRDefault="00E2399F" w:rsidP="00C362EF">
            <w:pPr>
              <w:jc w:val="right"/>
              <w:rPr>
                <w:rFonts w:eastAsia="Arial Unicode MS" w:cs="Arial"/>
                <w:sz w:val="20"/>
                <w:szCs w:val="20"/>
              </w:rPr>
            </w:pPr>
            <w:r w:rsidRPr="00E806F2">
              <w:rPr>
                <w:rFonts w:eastAsia="Arial Unicode MS" w:cs="Arial"/>
                <w:sz w:val="20"/>
                <w:szCs w:val="20"/>
              </w:rPr>
              <w:t>925.514</w:t>
            </w:r>
          </w:p>
        </w:tc>
        <w:tc>
          <w:tcPr>
            <w:tcW w:w="1812" w:type="dxa"/>
            <w:tcBorders>
              <w:top w:val="nil"/>
              <w:left w:val="nil"/>
              <w:right w:val="nil"/>
            </w:tcBorders>
            <w:noWrap/>
            <w:tcMar>
              <w:top w:w="15" w:type="dxa"/>
              <w:left w:w="15" w:type="dxa"/>
              <w:bottom w:w="0" w:type="dxa"/>
              <w:right w:w="15" w:type="dxa"/>
            </w:tcMar>
            <w:vAlign w:val="bottom"/>
          </w:tcPr>
          <w:p w:rsidR="00E2399F" w:rsidRPr="00E806F2" w:rsidRDefault="00E2399F" w:rsidP="00B941AE">
            <w:pPr>
              <w:jc w:val="center"/>
              <w:rPr>
                <w:rFonts w:eastAsia="Arial Unicode MS" w:cs="Arial"/>
                <w:sz w:val="20"/>
                <w:szCs w:val="20"/>
              </w:rPr>
            </w:pPr>
            <w:r>
              <w:rPr>
                <w:rFonts w:eastAsia="Arial Unicode MS" w:cs="Arial"/>
                <w:sz w:val="20"/>
                <w:szCs w:val="20"/>
              </w:rPr>
              <w:t xml:space="preserve">     </w:t>
            </w:r>
            <w:r w:rsidRPr="00E806F2">
              <w:rPr>
                <w:rFonts w:eastAsia="Arial Unicode MS" w:cs="Arial"/>
                <w:sz w:val="20"/>
                <w:szCs w:val="20"/>
              </w:rPr>
              <w:t>925.514</w:t>
            </w:r>
          </w:p>
        </w:tc>
        <w:tc>
          <w:tcPr>
            <w:tcW w:w="0" w:type="auto"/>
            <w:tcBorders>
              <w:top w:val="nil"/>
              <w:left w:val="nil"/>
              <w:right w:val="nil"/>
            </w:tcBorders>
            <w:noWrap/>
            <w:tcMar>
              <w:top w:w="15" w:type="dxa"/>
              <w:left w:w="15" w:type="dxa"/>
              <w:bottom w:w="0" w:type="dxa"/>
              <w:right w:w="15" w:type="dxa"/>
            </w:tcMar>
            <w:vAlign w:val="bottom"/>
          </w:tcPr>
          <w:p w:rsidR="00E2399F" w:rsidRPr="00E806F2" w:rsidRDefault="00E2399F" w:rsidP="00C362EF">
            <w:pPr>
              <w:jc w:val="right"/>
              <w:rPr>
                <w:rFonts w:eastAsia="Arial Unicode MS" w:cs="Arial"/>
                <w:sz w:val="20"/>
                <w:szCs w:val="20"/>
              </w:rPr>
            </w:pPr>
          </w:p>
        </w:tc>
        <w:tc>
          <w:tcPr>
            <w:tcW w:w="0" w:type="auto"/>
            <w:tcBorders>
              <w:top w:val="nil"/>
              <w:left w:val="nil"/>
              <w:right w:val="nil"/>
            </w:tcBorders>
            <w:noWrap/>
            <w:tcMar>
              <w:top w:w="15" w:type="dxa"/>
              <w:left w:w="15" w:type="dxa"/>
              <w:bottom w:w="0" w:type="dxa"/>
              <w:right w:w="15" w:type="dxa"/>
            </w:tcMar>
            <w:vAlign w:val="bottom"/>
          </w:tcPr>
          <w:p w:rsidR="00E2399F" w:rsidRPr="00E806F2" w:rsidRDefault="00E2399F" w:rsidP="00C362EF">
            <w:pPr>
              <w:jc w:val="right"/>
              <w:rPr>
                <w:rFonts w:eastAsia="Arial Unicode MS" w:cs="Arial"/>
                <w:sz w:val="20"/>
                <w:szCs w:val="20"/>
              </w:rPr>
            </w:pPr>
          </w:p>
        </w:tc>
        <w:tc>
          <w:tcPr>
            <w:tcW w:w="0" w:type="auto"/>
            <w:tcBorders>
              <w:top w:val="nil"/>
              <w:left w:val="nil"/>
              <w:right w:val="nil"/>
            </w:tcBorders>
            <w:noWrap/>
            <w:tcMar>
              <w:top w:w="15" w:type="dxa"/>
              <w:left w:w="15" w:type="dxa"/>
              <w:bottom w:w="0" w:type="dxa"/>
              <w:right w:w="15" w:type="dxa"/>
            </w:tcMar>
            <w:vAlign w:val="bottom"/>
          </w:tcPr>
          <w:p w:rsidR="00E2399F" w:rsidRPr="00E806F2" w:rsidRDefault="00E2399F" w:rsidP="00C362EF">
            <w:pPr>
              <w:jc w:val="right"/>
              <w:rPr>
                <w:rFonts w:eastAsia="Arial Unicode MS" w:cs="Arial"/>
                <w:sz w:val="20"/>
                <w:szCs w:val="20"/>
              </w:rPr>
            </w:pPr>
          </w:p>
        </w:tc>
      </w:tr>
      <w:tr w:rsidR="00E2399F" w:rsidRPr="00E806F2" w:rsidTr="00B941AE">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rsidR="00E2399F" w:rsidRPr="00E806F2" w:rsidRDefault="00E2399F">
            <w:pPr>
              <w:rPr>
                <w:rFonts w:cs="Arial"/>
                <w:sz w:val="20"/>
                <w:szCs w:val="20"/>
              </w:rPr>
            </w:pPr>
            <w:r w:rsidRPr="00E806F2">
              <w:rPr>
                <w:rFonts w:cs="Arial"/>
                <w:sz w:val="20"/>
                <w:szCs w:val="20"/>
              </w:rPr>
              <w:t>7 – Asignaciones Globales</w:t>
            </w:r>
          </w:p>
        </w:tc>
        <w:tc>
          <w:tcPr>
            <w:tcW w:w="0" w:type="auto"/>
            <w:tcBorders>
              <w:top w:val="nil"/>
              <w:left w:val="nil"/>
              <w:right w:val="nil"/>
            </w:tcBorders>
            <w:noWrap/>
            <w:tcMar>
              <w:top w:w="15" w:type="dxa"/>
              <w:left w:w="15" w:type="dxa"/>
              <w:bottom w:w="0" w:type="dxa"/>
              <w:right w:w="15" w:type="dxa"/>
            </w:tcMar>
            <w:vAlign w:val="bottom"/>
          </w:tcPr>
          <w:p w:rsidR="00E2399F" w:rsidRPr="00E806F2" w:rsidRDefault="00E2399F" w:rsidP="00B941AE">
            <w:pPr>
              <w:jc w:val="center"/>
              <w:rPr>
                <w:rFonts w:eastAsia="Arial Unicode MS" w:cs="Arial"/>
                <w:sz w:val="20"/>
                <w:szCs w:val="20"/>
              </w:rPr>
            </w:pPr>
            <w:r>
              <w:rPr>
                <w:rFonts w:eastAsia="Arial Unicode MS" w:cs="Arial"/>
                <w:sz w:val="20"/>
                <w:szCs w:val="20"/>
              </w:rPr>
              <w:t xml:space="preserve">       1.203.376</w:t>
            </w:r>
          </w:p>
        </w:tc>
        <w:tc>
          <w:tcPr>
            <w:tcW w:w="1812" w:type="dxa"/>
            <w:tcBorders>
              <w:top w:val="nil"/>
              <w:left w:val="nil"/>
              <w:right w:val="nil"/>
            </w:tcBorders>
            <w:noWrap/>
            <w:tcMar>
              <w:top w:w="15" w:type="dxa"/>
              <w:left w:w="15" w:type="dxa"/>
              <w:bottom w:w="0" w:type="dxa"/>
              <w:right w:w="15" w:type="dxa"/>
            </w:tcMar>
            <w:vAlign w:val="bottom"/>
          </w:tcPr>
          <w:p w:rsidR="00E2399F" w:rsidRPr="00E806F2" w:rsidRDefault="00E2399F" w:rsidP="00B941AE">
            <w:pPr>
              <w:jc w:val="center"/>
              <w:rPr>
                <w:rFonts w:eastAsia="Arial Unicode MS" w:cs="Arial"/>
                <w:sz w:val="20"/>
                <w:szCs w:val="20"/>
              </w:rPr>
            </w:pPr>
            <w:r>
              <w:rPr>
                <w:rFonts w:eastAsia="Arial Unicode MS" w:cs="Arial"/>
                <w:sz w:val="20"/>
                <w:szCs w:val="20"/>
              </w:rPr>
              <w:t xml:space="preserve">     </w:t>
            </w:r>
            <w:r w:rsidRPr="00E806F2">
              <w:rPr>
                <w:rFonts w:eastAsia="Arial Unicode MS" w:cs="Arial"/>
                <w:sz w:val="20"/>
                <w:szCs w:val="20"/>
              </w:rPr>
              <w:t>597.969</w:t>
            </w:r>
          </w:p>
        </w:tc>
        <w:tc>
          <w:tcPr>
            <w:tcW w:w="0" w:type="auto"/>
            <w:tcBorders>
              <w:top w:val="nil"/>
              <w:left w:val="nil"/>
              <w:right w:val="nil"/>
            </w:tcBorders>
            <w:noWrap/>
            <w:tcMar>
              <w:top w:w="15" w:type="dxa"/>
              <w:left w:w="15" w:type="dxa"/>
              <w:bottom w:w="0" w:type="dxa"/>
              <w:right w:w="15" w:type="dxa"/>
            </w:tcMar>
            <w:vAlign w:val="bottom"/>
          </w:tcPr>
          <w:p w:rsidR="00E2399F" w:rsidRPr="00E806F2" w:rsidRDefault="00E2399F" w:rsidP="00C362EF">
            <w:pPr>
              <w:jc w:val="right"/>
              <w:rPr>
                <w:rFonts w:eastAsia="Arial Unicode MS" w:cs="Arial"/>
                <w:sz w:val="20"/>
                <w:szCs w:val="20"/>
              </w:rPr>
            </w:pPr>
          </w:p>
        </w:tc>
        <w:tc>
          <w:tcPr>
            <w:tcW w:w="0" w:type="auto"/>
            <w:tcBorders>
              <w:top w:val="nil"/>
              <w:left w:val="nil"/>
              <w:right w:val="nil"/>
            </w:tcBorders>
            <w:noWrap/>
            <w:tcMar>
              <w:top w:w="15" w:type="dxa"/>
              <w:left w:w="15" w:type="dxa"/>
              <w:bottom w:w="0" w:type="dxa"/>
              <w:right w:w="15" w:type="dxa"/>
            </w:tcMar>
            <w:vAlign w:val="bottom"/>
          </w:tcPr>
          <w:p w:rsidR="00E2399F" w:rsidRPr="00E806F2" w:rsidRDefault="00E2399F" w:rsidP="00C362EF">
            <w:pPr>
              <w:jc w:val="right"/>
              <w:rPr>
                <w:rFonts w:eastAsia="Arial Unicode MS" w:cs="Arial"/>
                <w:sz w:val="20"/>
                <w:szCs w:val="20"/>
              </w:rPr>
            </w:pPr>
          </w:p>
        </w:tc>
        <w:tc>
          <w:tcPr>
            <w:tcW w:w="0" w:type="auto"/>
            <w:tcBorders>
              <w:top w:val="nil"/>
              <w:left w:val="nil"/>
              <w:right w:val="nil"/>
            </w:tcBorders>
            <w:noWrap/>
            <w:tcMar>
              <w:top w:w="15" w:type="dxa"/>
              <w:left w:w="15" w:type="dxa"/>
              <w:bottom w:w="0" w:type="dxa"/>
              <w:right w:w="15" w:type="dxa"/>
            </w:tcMar>
            <w:vAlign w:val="bottom"/>
          </w:tcPr>
          <w:p w:rsidR="00E2399F" w:rsidRPr="00E806F2" w:rsidRDefault="00E2399F" w:rsidP="003F6E94">
            <w:pPr>
              <w:jc w:val="right"/>
              <w:rPr>
                <w:rFonts w:eastAsia="Arial Unicode MS" w:cs="Arial"/>
                <w:sz w:val="20"/>
                <w:szCs w:val="20"/>
              </w:rPr>
            </w:pPr>
          </w:p>
        </w:tc>
      </w:tr>
      <w:tr w:rsidR="00E2399F" w:rsidRPr="00E806F2" w:rsidTr="00B941AE">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rsidR="00E2399F" w:rsidRPr="00E806F2" w:rsidRDefault="00E2399F">
            <w:pPr>
              <w:rPr>
                <w:rFonts w:cs="Arial"/>
                <w:sz w:val="20"/>
                <w:szCs w:val="20"/>
              </w:rPr>
            </w:pPr>
          </w:p>
          <w:p w:rsidR="00E2399F" w:rsidRPr="00E806F2" w:rsidRDefault="00E2399F">
            <w:pPr>
              <w:rPr>
                <w:rFonts w:cs="Arial"/>
                <w:b/>
                <w:sz w:val="20"/>
                <w:szCs w:val="20"/>
              </w:rPr>
            </w:pPr>
            <w:r w:rsidRPr="00E806F2">
              <w:rPr>
                <w:rFonts w:cs="Arial"/>
                <w:b/>
                <w:sz w:val="20"/>
                <w:szCs w:val="20"/>
              </w:rPr>
              <w:t>Totales</w:t>
            </w:r>
          </w:p>
        </w:tc>
        <w:tc>
          <w:tcPr>
            <w:tcW w:w="0" w:type="auto"/>
            <w:tcBorders>
              <w:top w:val="nil"/>
              <w:left w:val="nil"/>
              <w:right w:val="nil"/>
            </w:tcBorders>
            <w:noWrap/>
            <w:tcMar>
              <w:top w:w="15" w:type="dxa"/>
              <w:left w:w="15" w:type="dxa"/>
              <w:bottom w:w="0" w:type="dxa"/>
              <w:right w:w="15" w:type="dxa"/>
            </w:tcMar>
            <w:vAlign w:val="bottom"/>
          </w:tcPr>
          <w:p w:rsidR="00E2399F" w:rsidRPr="00E806F2" w:rsidRDefault="00E2399F" w:rsidP="00B941AE">
            <w:pPr>
              <w:jc w:val="right"/>
              <w:rPr>
                <w:rFonts w:eastAsia="Arial Unicode MS" w:cs="Arial"/>
                <w:sz w:val="20"/>
                <w:szCs w:val="20"/>
              </w:rPr>
            </w:pPr>
            <w:r>
              <w:rPr>
                <w:rFonts w:eastAsia="Arial Unicode MS" w:cs="Arial"/>
                <w:sz w:val="20"/>
                <w:szCs w:val="20"/>
              </w:rPr>
              <w:t>49</w:t>
            </w:r>
            <w:r w:rsidRPr="00E806F2">
              <w:rPr>
                <w:rFonts w:eastAsia="Arial Unicode MS" w:cs="Arial"/>
                <w:sz w:val="20"/>
                <w:szCs w:val="20"/>
              </w:rPr>
              <w:t>.</w:t>
            </w:r>
            <w:r>
              <w:rPr>
                <w:rFonts w:eastAsia="Arial Unicode MS" w:cs="Arial"/>
                <w:sz w:val="20"/>
                <w:szCs w:val="20"/>
              </w:rPr>
              <w:t>191</w:t>
            </w:r>
            <w:r w:rsidRPr="00E806F2">
              <w:rPr>
                <w:rFonts w:eastAsia="Arial Unicode MS" w:cs="Arial"/>
                <w:sz w:val="20"/>
                <w:szCs w:val="20"/>
              </w:rPr>
              <w:t>.</w:t>
            </w:r>
            <w:r>
              <w:rPr>
                <w:rFonts w:eastAsia="Arial Unicode MS" w:cs="Arial"/>
                <w:sz w:val="20"/>
                <w:szCs w:val="20"/>
              </w:rPr>
              <w:t>093</w:t>
            </w:r>
          </w:p>
        </w:tc>
        <w:tc>
          <w:tcPr>
            <w:tcW w:w="1812" w:type="dxa"/>
            <w:tcBorders>
              <w:top w:val="nil"/>
              <w:left w:val="nil"/>
              <w:right w:val="nil"/>
            </w:tcBorders>
            <w:noWrap/>
            <w:tcMar>
              <w:top w:w="15" w:type="dxa"/>
              <w:left w:w="15" w:type="dxa"/>
              <w:bottom w:w="0" w:type="dxa"/>
              <w:right w:w="15" w:type="dxa"/>
            </w:tcMar>
            <w:vAlign w:val="bottom"/>
          </w:tcPr>
          <w:p w:rsidR="00E2399F" w:rsidRPr="00E806F2" w:rsidRDefault="00E2399F" w:rsidP="00B941AE">
            <w:pPr>
              <w:jc w:val="center"/>
              <w:rPr>
                <w:rFonts w:eastAsia="Arial Unicode MS" w:cs="Arial"/>
                <w:sz w:val="20"/>
                <w:szCs w:val="20"/>
              </w:rPr>
            </w:pPr>
            <w:r>
              <w:rPr>
                <w:rFonts w:eastAsia="Arial Unicode MS" w:cs="Arial"/>
                <w:sz w:val="20"/>
                <w:szCs w:val="20"/>
              </w:rPr>
              <w:t xml:space="preserve">  </w:t>
            </w:r>
            <w:r w:rsidRPr="00E806F2">
              <w:rPr>
                <w:rFonts w:eastAsia="Arial Unicode MS" w:cs="Arial"/>
                <w:sz w:val="20"/>
                <w:szCs w:val="20"/>
              </w:rPr>
              <w:t>52.020.372</w:t>
            </w:r>
          </w:p>
        </w:tc>
        <w:tc>
          <w:tcPr>
            <w:tcW w:w="0" w:type="auto"/>
            <w:tcBorders>
              <w:top w:val="nil"/>
              <w:left w:val="nil"/>
              <w:right w:val="nil"/>
            </w:tcBorders>
            <w:noWrap/>
            <w:tcMar>
              <w:top w:w="15" w:type="dxa"/>
              <w:left w:w="15" w:type="dxa"/>
              <w:bottom w:w="0" w:type="dxa"/>
              <w:right w:w="15" w:type="dxa"/>
            </w:tcMar>
            <w:vAlign w:val="bottom"/>
          </w:tcPr>
          <w:p w:rsidR="00E2399F" w:rsidRPr="00E806F2" w:rsidRDefault="00E2399F" w:rsidP="00C362EF">
            <w:pPr>
              <w:jc w:val="right"/>
              <w:rPr>
                <w:rFonts w:eastAsia="Arial Unicode MS" w:cs="Arial"/>
                <w:sz w:val="20"/>
                <w:szCs w:val="20"/>
              </w:rPr>
            </w:pPr>
          </w:p>
        </w:tc>
        <w:tc>
          <w:tcPr>
            <w:tcW w:w="0" w:type="auto"/>
            <w:tcBorders>
              <w:top w:val="nil"/>
              <w:left w:val="nil"/>
              <w:right w:val="nil"/>
            </w:tcBorders>
            <w:noWrap/>
            <w:tcMar>
              <w:top w:w="15" w:type="dxa"/>
              <w:left w:w="15" w:type="dxa"/>
              <w:bottom w:w="0" w:type="dxa"/>
              <w:right w:w="15" w:type="dxa"/>
            </w:tcMar>
            <w:vAlign w:val="bottom"/>
          </w:tcPr>
          <w:p w:rsidR="00E2399F" w:rsidRPr="00E806F2" w:rsidRDefault="00E2399F" w:rsidP="003F6E94">
            <w:pPr>
              <w:jc w:val="right"/>
              <w:rPr>
                <w:rFonts w:eastAsia="Arial Unicode MS" w:cs="Arial"/>
                <w:sz w:val="20"/>
                <w:szCs w:val="20"/>
              </w:rPr>
            </w:pPr>
          </w:p>
        </w:tc>
        <w:tc>
          <w:tcPr>
            <w:tcW w:w="0" w:type="auto"/>
            <w:tcBorders>
              <w:top w:val="nil"/>
              <w:left w:val="nil"/>
              <w:right w:val="nil"/>
            </w:tcBorders>
            <w:noWrap/>
            <w:tcMar>
              <w:top w:w="15" w:type="dxa"/>
              <w:left w:w="15" w:type="dxa"/>
              <w:bottom w:w="0" w:type="dxa"/>
              <w:right w:w="15" w:type="dxa"/>
            </w:tcMar>
            <w:vAlign w:val="bottom"/>
          </w:tcPr>
          <w:p w:rsidR="00E2399F" w:rsidRPr="00E806F2" w:rsidRDefault="00E2399F" w:rsidP="00C362EF">
            <w:pPr>
              <w:jc w:val="right"/>
              <w:rPr>
                <w:rFonts w:eastAsia="Arial Unicode MS" w:cs="Arial"/>
                <w:sz w:val="20"/>
                <w:szCs w:val="20"/>
              </w:rPr>
            </w:pPr>
          </w:p>
        </w:tc>
      </w:tr>
    </w:tbl>
    <w:p w:rsidR="00E2399F" w:rsidRPr="004865CC" w:rsidRDefault="00E2399F" w:rsidP="0026030A">
      <w:pPr>
        <w:pStyle w:val="Piedepgina"/>
        <w:widowControl w:val="0"/>
        <w:tabs>
          <w:tab w:val="clear" w:pos="4252"/>
          <w:tab w:val="clear" w:pos="8504"/>
        </w:tabs>
        <w:spacing w:line="360" w:lineRule="auto"/>
        <w:jc w:val="both"/>
      </w:pPr>
      <w:r w:rsidRPr="004865CC">
        <w:t>Los créditos presupuestales establecidos están cuantificados a valores de diciembre de 2015.</w:t>
      </w:r>
    </w:p>
    <w:p w:rsidR="00E2399F" w:rsidRDefault="00E2399F" w:rsidP="0026030A">
      <w:pPr>
        <w:tabs>
          <w:tab w:val="left" w:pos="360"/>
        </w:tabs>
        <w:spacing w:line="360" w:lineRule="auto"/>
        <w:jc w:val="both"/>
        <w:rPr>
          <w:b/>
          <w:bCs/>
        </w:rPr>
      </w:pPr>
    </w:p>
    <w:p w:rsidR="00E2399F" w:rsidRDefault="00E2399F" w:rsidP="00E2399F">
      <w:pPr>
        <w:numPr>
          <w:ilvl w:val="0"/>
          <w:numId w:val="2"/>
        </w:numPr>
        <w:tabs>
          <w:tab w:val="left" w:pos="360"/>
        </w:tabs>
        <w:spacing w:line="360" w:lineRule="auto"/>
        <w:ind w:left="0" w:firstLine="0"/>
        <w:jc w:val="both"/>
        <w:rPr>
          <w:b/>
          <w:bCs/>
        </w:rPr>
      </w:pPr>
      <w:r>
        <w:rPr>
          <w:b/>
          <w:bCs/>
        </w:rPr>
        <w:t>Cumplimiento de normas constitucionales, legales y reglamentarias</w:t>
      </w:r>
    </w:p>
    <w:p w:rsidR="00E2399F" w:rsidRDefault="00E2399F" w:rsidP="0026030A">
      <w:pPr>
        <w:tabs>
          <w:tab w:val="left" w:pos="360"/>
        </w:tabs>
        <w:spacing w:line="360" w:lineRule="auto"/>
        <w:ind w:left="720"/>
        <w:jc w:val="both"/>
        <w:rPr>
          <w:rFonts w:cs="Arial"/>
          <w:b/>
          <w:bCs/>
        </w:rPr>
      </w:pPr>
    </w:p>
    <w:p w:rsidR="00E2399F" w:rsidRDefault="00E2399F" w:rsidP="0026030A">
      <w:pPr>
        <w:pStyle w:val="Sangradetextonormal"/>
        <w:ind w:firstLine="0"/>
        <w:rPr>
          <w:rFonts w:ascii="Arial" w:hAnsi="Arial" w:cs="Arial"/>
        </w:rPr>
      </w:pPr>
      <w:r>
        <w:rPr>
          <w:rFonts w:ascii="Arial" w:hAnsi="Arial" w:cs="Arial"/>
          <w:b/>
        </w:rPr>
        <w:t>3.1)</w:t>
      </w:r>
      <w:r>
        <w:rPr>
          <w:rFonts w:ascii="Arial" w:hAnsi="Arial" w:cs="Arial"/>
        </w:rPr>
        <w:t xml:space="preserve"> Se ha dado cumplimiento con las disposiciones constitucionales vigentes con relación a plazos y mayorías (Artículos 225 y 273 Numeral 6) de la Constitución de la República y 483 de la Ley No. 17.296).</w:t>
      </w:r>
    </w:p>
    <w:p w:rsidR="00E2399F" w:rsidRDefault="00E2399F" w:rsidP="0026030A">
      <w:pPr>
        <w:pStyle w:val="Sangradetextonormal"/>
        <w:ind w:firstLine="0"/>
        <w:rPr>
          <w:rFonts w:ascii="Arial" w:hAnsi="Arial" w:cs="Arial"/>
        </w:rPr>
      </w:pPr>
      <w:r>
        <w:rPr>
          <w:rFonts w:ascii="Arial" w:hAnsi="Arial" w:cs="Arial"/>
          <w:b/>
        </w:rPr>
        <w:t xml:space="preserve">3.2) </w:t>
      </w:r>
      <w:r>
        <w:rPr>
          <w:rFonts w:ascii="Arial" w:hAnsi="Arial" w:cs="Arial"/>
        </w:rPr>
        <w:t>Las designaciones de funcionarios contenidas en los Artículos 14º y 15º del Presupuesto en trámite de aprobación, correspondía fueran realizadas mediante acto a</w:t>
      </w:r>
      <w:r w:rsidR="00F96731">
        <w:rPr>
          <w:rFonts w:ascii="Arial" w:hAnsi="Arial" w:cs="Arial"/>
        </w:rPr>
        <w:t>dministrativo y no legislativo.</w:t>
      </w:r>
    </w:p>
    <w:p w:rsidR="00E2399F" w:rsidRDefault="00E2399F" w:rsidP="0026030A">
      <w:pPr>
        <w:pStyle w:val="Sangradetextonormal"/>
        <w:ind w:firstLine="0"/>
        <w:rPr>
          <w:rFonts w:ascii="Arial" w:hAnsi="Arial" w:cs="Arial"/>
        </w:rPr>
      </w:pPr>
      <w:r w:rsidRPr="00455FF1">
        <w:rPr>
          <w:rFonts w:ascii="Arial" w:hAnsi="Arial" w:cs="Arial"/>
          <w:b/>
        </w:rPr>
        <w:t xml:space="preserve">3.3) </w:t>
      </w:r>
      <w:r>
        <w:rPr>
          <w:rFonts w:ascii="Arial" w:hAnsi="Arial" w:cs="Arial"/>
        </w:rPr>
        <w:t>Se deberá tener presente que los montos presupuestados en el objeto 7.9.9005 “Homenajes y reconocimientos” del Grupo 7 - Asignaciones Globales, no podrán en ningún caso implicar donaciones, por carecer el Legislativo Departamental de competencia par</w:t>
      </w:r>
      <w:r w:rsidR="00F96731">
        <w:rPr>
          <w:rFonts w:ascii="Arial" w:hAnsi="Arial" w:cs="Arial"/>
        </w:rPr>
        <w:t>a la realización de las mismas.</w:t>
      </w:r>
    </w:p>
    <w:p w:rsidR="00E2399F" w:rsidRDefault="00E2399F" w:rsidP="0026030A">
      <w:pPr>
        <w:pStyle w:val="Sangradetextonormal"/>
        <w:ind w:firstLine="0"/>
        <w:rPr>
          <w:rFonts w:ascii="Arial" w:hAnsi="Arial" w:cs="Arial"/>
          <w:spacing w:val="0"/>
        </w:rPr>
      </w:pPr>
      <w:r w:rsidRPr="00051467">
        <w:rPr>
          <w:rFonts w:ascii="Arial" w:hAnsi="Arial" w:cs="Arial"/>
          <w:b/>
        </w:rPr>
        <w:t>3.4)</w:t>
      </w:r>
      <w:r>
        <w:rPr>
          <w:rFonts w:ascii="Arial" w:hAnsi="Arial" w:cs="Arial"/>
          <w:b/>
        </w:rPr>
        <w:t xml:space="preserve"> </w:t>
      </w:r>
      <w:r w:rsidRPr="00076523">
        <w:rPr>
          <w:rFonts w:ascii="Arial" w:hAnsi="Arial" w:cs="Arial"/>
        </w:rPr>
        <w:t xml:space="preserve">El reintegro de gastos de combustible previsto en </w:t>
      </w:r>
      <w:r>
        <w:rPr>
          <w:rFonts w:ascii="Arial" w:hAnsi="Arial" w:cs="Arial"/>
        </w:rPr>
        <w:t>el Artículo 21º y la reglamentación a la que se remite, aprobada por Modificación Presupuestal   2012-2015 (observada en carpeta de este Tribunal Nº 237.201), contraviene el Artículo 295 de la Constitución y la Resolución del Tribunal de Cuentas de fecha 22/12/10.</w:t>
      </w:r>
    </w:p>
    <w:p w:rsidR="00E2399F" w:rsidRPr="00DD4D48" w:rsidRDefault="00E2399F" w:rsidP="0026030A">
      <w:pPr>
        <w:pStyle w:val="Sangradetextonormal"/>
        <w:ind w:firstLine="0"/>
        <w:rPr>
          <w:rFonts w:ascii="Arial" w:hAnsi="Arial" w:cs="Arial"/>
          <w:spacing w:val="0"/>
        </w:rPr>
      </w:pPr>
      <w:r w:rsidRPr="001B6AFB">
        <w:rPr>
          <w:rFonts w:ascii="Arial" w:hAnsi="Arial" w:cs="Arial"/>
          <w:b/>
          <w:spacing w:val="0"/>
        </w:rPr>
        <w:t>3.5)</w:t>
      </w:r>
      <w:r>
        <w:rPr>
          <w:rFonts w:ascii="Arial" w:hAnsi="Arial" w:cs="Arial"/>
          <w:b/>
          <w:spacing w:val="0"/>
        </w:rPr>
        <w:t xml:space="preserve"> </w:t>
      </w:r>
      <w:r>
        <w:rPr>
          <w:rFonts w:ascii="Arial" w:hAnsi="Arial" w:cs="Arial"/>
          <w:spacing w:val="0"/>
        </w:rPr>
        <w:t>El Artículo 22º exime a los funcionarios que reciban viáticos para el cumplimiento de tareas de chofer de presentar la rendición de cuentas de la partida recibida, para lo cual se deberá tener presente lo establecido en el Artículo 157 de la Ley 16.713 y en el Artículo 32 del Título 7 del Texto Ordenado de la Dirección General Impositiva, en la re</w:t>
      </w:r>
      <w:r w:rsidR="00F96731">
        <w:rPr>
          <w:rFonts w:ascii="Arial" w:hAnsi="Arial" w:cs="Arial"/>
          <w:spacing w:val="0"/>
        </w:rPr>
        <w:t>dacción dada por la Ley 18.341.</w:t>
      </w:r>
    </w:p>
    <w:p w:rsidR="00E2399F" w:rsidRPr="00FD29C1" w:rsidRDefault="00E2399F" w:rsidP="0026030A">
      <w:pPr>
        <w:pStyle w:val="Sangradetextonormal"/>
        <w:ind w:firstLine="0"/>
        <w:rPr>
          <w:rFonts w:ascii="Arial" w:hAnsi="Arial" w:cs="Arial"/>
        </w:rPr>
      </w:pPr>
    </w:p>
    <w:p w:rsidR="00E2399F" w:rsidRDefault="00F96731" w:rsidP="00E2399F">
      <w:pPr>
        <w:widowControl w:val="0"/>
        <w:numPr>
          <w:ilvl w:val="0"/>
          <w:numId w:val="2"/>
        </w:numPr>
        <w:spacing w:line="360" w:lineRule="auto"/>
        <w:ind w:left="0" w:firstLine="0"/>
        <w:jc w:val="both"/>
        <w:rPr>
          <w:rFonts w:cs="Arial"/>
          <w:b/>
          <w:snapToGrid w:val="0"/>
        </w:rPr>
      </w:pPr>
      <w:r>
        <w:rPr>
          <w:rFonts w:cs="Arial"/>
          <w:b/>
          <w:snapToGrid w:val="0"/>
        </w:rPr>
        <w:t>Opinión</w:t>
      </w:r>
    </w:p>
    <w:p w:rsidR="00E2399F" w:rsidRPr="005217A6" w:rsidRDefault="00E2399F" w:rsidP="0026030A">
      <w:pPr>
        <w:widowControl w:val="0"/>
        <w:spacing w:line="360" w:lineRule="auto"/>
        <w:ind w:left="720"/>
        <w:jc w:val="both"/>
        <w:rPr>
          <w:rFonts w:cs="Arial"/>
          <w:b/>
          <w:snapToGrid w:val="0"/>
        </w:rPr>
      </w:pPr>
    </w:p>
    <w:p w:rsidR="00E2399F" w:rsidRDefault="00E2399F" w:rsidP="0026030A">
      <w:pPr>
        <w:widowControl w:val="0"/>
        <w:spacing w:line="360" w:lineRule="auto"/>
        <w:ind w:firstLine="851"/>
        <w:jc w:val="both"/>
        <w:rPr>
          <w:rFonts w:cs="Arial"/>
          <w:snapToGrid w:val="0"/>
        </w:rPr>
      </w:pPr>
      <w:r w:rsidRPr="005217A6">
        <w:rPr>
          <w:rFonts w:cs="Arial"/>
          <w:snapToGrid w:val="0"/>
        </w:rPr>
        <w:t>En opinión del Tribunal de Cuentas, el Proyecto de</w:t>
      </w:r>
      <w:r>
        <w:rPr>
          <w:rFonts w:cs="Arial"/>
          <w:snapToGrid w:val="0"/>
        </w:rPr>
        <w:t xml:space="preserve"> Presupuesto de la Junta Departamental de Rivera para </w:t>
      </w:r>
      <w:r w:rsidRPr="005217A6">
        <w:rPr>
          <w:rFonts w:cs="Arial"/>
          <w:snapToGrid w:val="0"/>
        </w:rPr>
        <w:t>el período 201</w:t>
      </w:r>
      <w:r>
        <w:rPr>
          <w:rFonts w:cs="Arial"/>
          <w:snapToGrid w:val="0"/>
        </w:rPr>
        <w:t>6</w:t>
      </w:r>
      <w:r w:rsidRPr="005217A6">
        <w:rPr>
          <w:rFonts w:cs="Arial"/>
          <w:snapToGrid w:val="0"/>
        </w:rPr>
        <w:t>-20</w:t>
      </w:r>
      <w:r>
        <w:rPr>
          <w:rFonts w:cs="Arial"/>
          <w:snapToGrid w:val="0"/>
        </w:rPr>
        <w:t>20</w:t>
      </w:r>
      <w:r w:rsidRPr="005217A6">
        <w:rPr>
          <w:rFonts w:cs="Arial"/>
          <w:snapToGrid w:val="0"/>
        </w:rPr>
        <w:t xml:space="preserve"> ha sido preparado en forma razonable de acuerdo a los supues</w:t>
      </w:r>
      <w:r>
        <w:rPr>
          <w:rFonts w:cs="Arial"/>
          <w:snapToGrid w:val="0"/>
        </w:rPr>
        <w:t>tos efectuados por el Organismo y</w:t>
      </w:r>
      <w:r w:rsidRPr="005217A6">
        <w:rPr>
          <w:rFonts w:cs="Arial"/>
          <w:snapToGrid w:val="0"/>
        </w:rPr>
        <w:t xml:space="preserve"> se presenta de conformidad con las disposiciones constitucionales, legales y reglamentarias vigentes</w:t>
      </w:r>
      <w:r>
        <w:rPr>
          <w:rFonts w:cs="Arial"/>
          <w:snapToGrid w:val="0"/>
        </w:rPr>
        <w:t>, excepto por lo establecido en el párrafo 3.4).</w:t>
      </w:r>
      <w:r w:rsidRPr="005217A6">
        <w:rPr>
          <w:rFonts w:cs="Arial"/>
          <w:snapToGrid w:val="0"/>
        </w:rPr>
        <w:t xml:space="preserve"> </w:t>
      </w:r>
    </w:p>
    <w:p w:rsidR="00E2399F" w:rsidRDefault="00E2399F" w:rsidP="0026030A">
      <w:pPr>
        <w:spacing w:line="360" w:lineRule="auto"/>
        <w:jc w:val="right"/>
      </w:pPr>
      <w:r w:rsidRPr="00F251DB">
        <w:t xml:space="preserve"> M</w:t>
      </w:r>
      <w:r w:rsidR="00F96731">
        <w:t>ontevideo, 14 de abril de 2016</w:t>
      </w:r>
    </w:p>
    <w:p w:rsidR="00E2399F" w:rsidRDefault="00E2399F" w:rsidP="00E2399F">
      <w:proofErr w:type="spellStart"/>
      <w:proofErr w:type="gramStart"/>
      <w:r>
        <w:t>bf</w:t>
      </w:r>
      <w:proofErr w:type="spellEnd"/>
      <w:proofErr w:type="gramEnd"/>
    </w:p>
    <w:sectPr w:rsidR="00E2399F" w:rsidSect="00644F5D">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166E9"/>
    <w:multiLevelType w:val="hybridMultilevel"/>
    <w:tmpl w:val="741E47CC"/>
    <w:lvl w:ilvl="0" w:tplc="EFC85EF4">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59A011BD"/>
    <w:multiLevelType w:val="hybridMultilevel"/>
    <w:tmpl w:val="45820E10"/>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46A"/>
    <w:rsid w:val="00641B79"/>
    <w:rsid w:val="00644F5D"/>
    <w:rsid w:val="0076246A"/>
    <w:rsid w:val="007C7B9A"/>
    <w:rsid w:val="00A83F04"/>
    <w:rsid w:val="00AF7D40"/>
    <w:rsid w:val="00C556D7"/>
    <w:rsid w:val="00DE75A2"/>
    <w:rsid w:val="00E2399F"/>
    <w:rsid w:val="00EE4D37"/>
    <w:rsid w:val="00F9673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46A"/>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E2399F"/>
    <w:pPr>
      <w:keepNext/>
      <w:jc w:val="center"/>
      <w:outlineLvl w:val="0"/>
    </w:pPr>
    <w:rPr>
      <w:b/>
    </w:rPr>
  </w:style>
  <w:style w:type="paragraph" w:styleId="Ttulo2">
    <w:name w:val="heading 2"/>
    <w:basedOn w:val="Normal"/>
    <w:next w:val="Normal"/>
    <w:link w:val="Ttulo2Car"/>
    <w:qFormat/>
    <w:rsid w:val="00E2399F"/>
    <w:pPr>
      <w:keepNext/>
      <w:jc w:val="right"/>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76246A"/>
    <w:pPr>
      <w:spacing w:line="360" w:lineRule="auto"/>
      <w:jc w:val="both"/>
    </w:pPr>
  </w:style>
  <w:style w:type="character" w:customStyle="1" w:styleId="TextoindependienteCar">
    <w:name w:val="Texto independiente Car"/>
    <w:basedOn w:val="Fuentedeprrafopredeter"/>
    <w:link w:val="Textoindependiente"/>
    <w:semiHidden/>
    <w:rsid w:val="0076246A"/>
    <w:rPr>
      <w:rFonts w:ascii="Arial" w:eastAsia="Times New Roman" w:hAnsi="Arial" w:cs="Times New Roman"/>
      <w:sz w:val="24"/>
      <w:szCs w:val="24"/>
      <w:lang w:val="es-ES" w:eastAsia="es-ES"/>
    </w:rPr>
  </w:style>
  <w:style w:type="paragraph" w:styleId="Prrafodelista">
    <w:name w:val="List Paragraph"/>
    <w:basedOn w:val="Normal"/>
    <w:uiPriority w:val="34"/>
    <w:qFormat/>
    <w:rsid w:val="00641B79"/>
    <w:pPr>
      <w:ind w:left="720"/>
      <w:contextualSpacing/>
    </w:pPr>
  </w:style>
  <w:style w:type="character" w:customStyle="1" w:styleId="Ttulo1Car">
    <w:name w:val="Título 1 Car"/>
    <w:basedOn w:val="Fuentedeprrafopredeter"/>
    <w:link w:val="Ttulo1"/>
    <w:rsid w:val="00E2399F"/>
    <w:rPr>
      <w:rFonts w:ascii="Arial" w:eastAsia="Times New Roman" w:hAnsi="Arial" w:cs="Times New Roman"/>
      <w:b/>
      <w:sz w:val="24"/>
      <w:szCs w:val="24"/>
      <w:lang w:val="es-ES" w:eastAsia="es-ES"/>
    </w:rPr>
  </w:style>
  <w:style w:type="character" w:customStyle="1" w:styleId="Ttulo2Car">
    <w:name w:val="Título 2 Car"/>
    <w:basedOn w:val="Fuentedeprrafopredeter"/>
    <w:link w:val="Ttulo2"/>
    <w:rsid w:val="00E2399F"/>
    <w:rPr>
      <w:rFonts w:ascii="Arial" w:eastAsia="Times New Roman" w:hAnsi="Arial" w:cs="Times New Roman"/>
      <w:b/>
      <w:sz w:val="24"/>
      <w:szCs w:val="24"/>
      <w:lang w:val="es-ES" w:eastAsia="es-ES"/>
    </w:rPr>
  </w:style>
  <w:style w:type="paragraph" w:styleId="Piedepgina">
    <w:name w:val="footer"/>
    <w:basedOn w:val="Normal"/>
    <w:link w:val="PiedepginaCar"/>
    <w:semiHidden/>
    <w:rsid w:val="00E2399F"/>
    <w:pPr>
      <w:tabs>
        <w:tab w:val="center" w:pos="4252"/>
        <w:tab w:val="right" w:pos="8504"/>
      </w:tabs>
    </w:pPr>
  </w:style>
  <w:style w:type="character" w:customStyle="1" w:styleId="PiedepginaCar">
    <w:name w:val="Pie de página Car"/>
    <w:basedOn w:val="Fuentedeprrafopredeter"/>
    <w:link w:val="Piedepgina"/>
    <w:semiHidden/>
    <w:rsid w:val="00E2399F"/>
    <w:rPr>
      <w:rFonts w:ascii="Arial" w:eastAsia="Times New Roman" w:hAnsi="Arial" w:cs="Times New Roman"/>
      <w:sz w:val="24"/>
      <w:szCs w:val="24"/>
      <w:lang w:val="es-ES" w:eastAsia="es-ES"/>
    </w:rPr>
  </w:style>
  <w:style w:type="paragraph" w:styleId="Sangradetextonormal">
    <w:name w:val="Body Text Indent"/>
    <w:basedOn w:val="Normal"/>
    <w:link w:val="SangradetextonormalCar"/>
    <w:semiHidden/>
    <w:rsid w:val="00E2399F"/>
    <w:pPr>
      <w:widowControl w:val="0"/>
      <w:tabs>
        <w:tab w:val="left" w:pos="0"/>
      </w:tabs>
      <w:suppressAutoHyphens/>
      <w:spacing w:line="360" w:lineRule="auto"/>
      <w:ind w:firstLine="1134"/>
      <w:jc w:val="both"/>
    </w:pPr>
    <w:rPr>
      <w:rFonts w:ascii="Bookman Old Style" w:hAnsi="Bookman Old Style"/>
      <w:snapToGrid w:val="0"/>
      <w:spacing w:val="-3"/>
      <w:szCs w:val="20"/>
      <w:lang w:val="es-ES_tradnl"/>
    </w:rPr>
  </w:style>
  <w:style w:type="character" w:customStyle="1" w:styleId="SangradetextonormalCar">
    <w:name w:val="Sangría de texto normal Car"/>
    <w:basedOn w:val="Fuentedeprrafopredeter"/>
    <w:link w:val="Sangradetextonormal"/>
    <w:semiHidden/>
    <w:rsid w:val="00E2399F"/>
    <w:rPr>
      <w:rFonts w:ascii="Bookman Old Style" w:eastAsia="Times New Roman" w:hAnsi="Bookman Old Style" w:cs="Times New Roman"/>
      <w:snapToGrid w:val="0"/>
      <w:spacing w:val="-3"/>
      <w:sz w:val="24"/>
      <w:szCs w:val="20"/>
      <w:lang w:val="es-ES_tradnl" w:eastAsia="es-ES"/>
    </w:rPr>
  </w:style>
  <w:style w:type="paragraph" w:styleId="Textoindependiente2">
    <w:name w:val="Body Text 2"/>
    <w:basedOn w:val="Normal"/>
    <w:link w:val="Textoindependiente2Car"/>
    <w:semiHidden/>
    <w:rsid w:val="00E2399F"/>
    <w:pPr>
      <w:widowControl w:val="0"/>
      <w:tabs>
        <w:tab w:val="left" w:pos="0"/>
      </w:tabs>
      <w:suppressAutoHyphens/>
      <w:spacing w:line="360" w:lineRule="auto"/>
      <w:jc w:val="both"/>
    </w:pPr>
    <w:rPr>
      <w:rFonts w:ascii="Bookman Old Style" w:hAnsi="Bookman Old Style"/>
      <w:snapToGrid w:val="0"/>
      <w:spacing w:val="-3"/>
      <w:szCs w:val="20"/>
      <w:lang w:val="es-ES_tradnl"/>
    </w:rPr>
  </w:style>
  <w:style w:type="character" w:customStyle="1" w:styleId="Textoindependiente2Car">
    <w:name w:val="Texto independiente 2 Car"/>
    <w:basedOn w:val="Fuentedeprrafopredeter"/>
    <w:link w:val="Textoindependiente2"/>
    <w:semiHidden/>
    <w:rsid w:val="00E2399F"/>
    <w:rPr>
      <w:rFonts w:ascii="Bookman Old Style" w:eastAsia="Times New Roman" w:hAnsi="Bookman Old Style" w:cs="Times New Roman"/>
      <w:snapToGrid w:val="0"/>
      <w:spacing w:val="-3"/>
      <w:sz w:val="24"/>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46A"/>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E2399F"/>
    <w:pPr>
      <w:keepNext/>
      <w:jc w:val="center"/>
      <w:outlineLvl w:val="0"/>
    </w:pPr>
    <w:rPr>
      <w:b/>
    </w:rPr>
  </w:style>
  <w:style w:type="paragraph" w:styleId="Ttulo2">
    <w:name w:val="heading 2"/>
    <w:basedOn w:val="Normal"/>
    <w:next w:val="Normal"/>
    <w:link w:val="Ttulo2Car"/>
    <w:qFormat/>
    <w:rsid w:val="00E2399F"/>
    <w:pPr>
      <w:keepNext/>
      <w:jc w:val="right"/>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76246A"/>
    <w:pPr>
      <w:spacing w:line="360" w:lineRule="auto"/>
      <w:jc w:val="both"/>
    </w:pPr>
  </w:style>
  <w:style w:type="character" w:customStyle="1" w:styleId="TextoindependienteCar">
    <w:name w:val="Texto independiente Car"/>
    <w:basedOn w:val="Fuentedeprrafopredeter"/>
    <w:link w:val="Textoindependiente"/>
    <w:semiHidden/>
    <w:rsid w:val="0076246A"/>
    <w:rPr>
      <w:rFonts w:ascii="Arial" w:eastAsia="Times New Roman" w:hAnsi="Arial" w:cs="Times New Roman"/>
      <w:sz w:val="24"/>
      <w:szCs w:val="24"/>
      <w:lang w:val="es-ES" w:eastAsia="es-ES"/>
    </w:rPr>
  </w:style>
  <w:style w:type="paragraph" w:styleId="Prrafodelista">
    <w:name w:val="List Paragraph"/>
    <w:basedOn w:val="Normal"/>
    <w:uiPriority w:val="34"/>
    <w:qFormat/>
    <w:rsid w:val="00641B79"/>
    <w:pPr>
      <w:ind w:left="720"/>
      <w:contextualSpacing/>
    </w:pPr>
  </w:style>
  <w:style w:type="character" w:customStyle="1" w:styleId="Ttulo1Car">
    <w:name w:val="Título 1 Car"/>
    <w:basedOn w:val="Fuentedeprrafopredeter"/>
    <w:link w:val="Ttulo1"/>
    <w:rsid w:val="00E2399F"/>
    <w:rPr>
      <w:rFonts w:ascii="Arial" w:eastAsia="Times New Roman" w:hAnsi="Arial" w:cs="Times New Roman"/>
      <w:b/>
      <w:sz w:val="24"/>
      <w:szCs w:val="24"/>
      <w:lang w:val="es-ES" w:eastAsia="es-ES"/>
    </w:rPr>
  </w:style>
  <w:style w:type="character" w:customStyle="1" w:styleId="Ttulo2Car">
    <w:name w:val="Título 2 Car"/>
    <w:basedOn w:val="Fuentedeprrafopredeter"/>
    <w:link w:val="Ttulo2"/>
    <w:rsid w:val="00E2399F"/>
    <w:rPr>
      <w:rFonts w:ascii="Arial" w:eastAsia="Times New Roman" w:hAnsi="Arial" w:cs="Times New Roman"/>
      <w:b/>
      <w:sz w:val="24"/>
      <w:szCs w:val="24"/>
      <w:lang w:val="es-ES" w:eastAsia="es-ES"/>
    </w:rPr>
  </w:style>
  <w:style w:type="paragraph" w:styleId="Piedepgina">
    <w:name w:val="footer"/>
    <w:basedOn w:val="Normal"/>
    <w:link w:val="PiedepginaCar"/>
    <w:semiHidden/>
    <w:rsid w:val="00E2399F"/>
    <w:pPr>
      <w:tabs>
        <w:tab w:val="center" w:pos="4252"/>
        <w:tab w:val="right" w:pos="8504"/>
      </w:tabs>
    </w:pPr>
  </w:style>
  <w:style w:type="character" w:customStyle="1" w:styleId="PiedepginaCar">
    <w:name w:val="Pie de página Car"/>
    <w:basedOn w:val="Fuentedeprrafopredeter"/>
    <w:link w:val="Piedepgina"/>
    <w:semiHidden/>
    <w:rsid w:val="00E2399F"/>
    <w:rPr>
      <w:rFonts w:ascii="Arial" w:eastAsia="Times New Roman" w:hAnsi="Arial" w:cs="Times New Roman"/>
      <w:sz w:val="24"/>
      <w:szCs w:val="24"/>
      <w:lang w:val="es-ES" w:eastAsia="es-ES"/>
    </w:rPr>
  </w:style>
  <w:style w:type="paragraph" w:styleId="Sangradetextonormal">
    <w:name w:val="Body Text Indent"/>
    <w:basedOn w:val="Normal"/>
    <w:link w:val="SangradetextonormalCar"/>
    <w:semiHidden/>
    <w:rsid w:val="00E2399F"/>
    <w:pPr>
      <w:widowControl w:val="0"/>
      <w:tabs>
        <w:tab w:val="left" w:pos="0"/>
      </w:tabs>
      <w:suppressAutoHyphens/>
      <w:spacing w:line="360" w:lineRule="auto"/>
      <w:ind w:firstLine="1134"/>
      <w:jc w:val="both"/>
    </w:pPr>
    <w:rPr>
      <w:rFonts w:ascii="Bookman Old Style" w:hAnsi="Bookman Old Style"/>
      <w:snapToGrid w:val="0"/>
      <w:spacing w:val="-3"/>
      <w:szCs w:val="20"/>
      <w:lang w:val="es-ES_tradnl"/>
    </w:rPr>
  </w:style>
  <w:style w:type="character" w:customStyle="1" w:styleId="SangradetextonormalCar">
    <w:name w:val="Sangría de texto normal Car"/>
    <w:basedOn w:val="Fuentedeprrafopredeter"/>
    <w:link w:val="Sangradetextonormal"/>
    <w:semiHidden/>
    <w:rsid w:val="00E2399F"/>
    <w:rPr>
      <w:rFonts w:ascii="Bookman Old Style" w:eastAsia="Times New Roman" w:hAnsi="Bookman Old Style" w:cs="Times New Roman"/>
      <w:snapToGrid w:val="0"/>
      <w:spacing w:val="-3"/>
      <w:sz w:val="24"/>
      <w:szCs w:val="20"/>
      <w:lang w:val="es-ES_tradnl" w:eastAsia="es-ES"/>
    </w:rPr>
  </w:style>
  <w:style w:type="paragraph" w:styleId="Textoindependiente2">
    <w:name w:val="Body Text 2"/>
    <w:basedOn w:val="Normal"/>
    <w:link w:val="Textoindependiente2Car"/>
    <w:semiHidden/>
    <w:rsid w:val="00E2399F"/>
    <w:pPr>
      <w:widowControl w:val="0"/>
      <w:tabs>
        <w:tab w:val="left" w:pos="0"/>
      </w:tabs>
      <w:suppressAutoHyphens/>
      <w:spacing w:line="360" w:lineRule="auto"/>
      <w:jc w:val="both"/>
    </w:pPr>
    <w:rPr>
      <w:rFonts w:ascii="Bookman Old Style" w:hAnsi="Bookman Old Style"/>
      <w:snapToGrid w:val="0"/>
      <w:spacing w:val="-3"/>
      <w:szCs w:val="20"/>
      <w:lang w:val="es-ES_tradnl"/>
    </w:rPr>
  </w:style>
  <w:style w:type="character" w:customStyle="1" w:styleId="Textoindependiente2Car">
    <w:name w:val="Texto independiente 2 Car"/>
    <w:basedOn w:val="Fuentedeprrafopredeter"/>
    <w:link w:val="Textoindependiente2"/>
    <w:semiHidden/>
    <w:rsid w:val="00E2399F"/>
    <w:rPr>
      <w:rFonts w:ascii="Bookman Old Style" w:eastAsia="Times New Roman" w:hAnsi="Bookman Old Style" w:cs="Times New Roman"/>
      <w:snapToGrid w:val="0"/>
      <w:spacing w:val="-3"/>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9F8D9-CCAB-4401-A13F-B302234E2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790</Words>
  <Characters>4346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Caredio</dc:creator>
  <cp:lastModifiedBy> </cp:lastModifiedBy>
  <cp:revision>4</cp:revision>
  <cp:lastPrinted>2016-04-14T21:03:00Z</cp:lastPrinted>
  <dcterms:created xsi:type="dcterms:W3CDTF">2016-04-21T16:55:00Z</dcterms:created>
  <dcterms:modified xsi:type="dcterms:W3CDTF">2016-06-14T21:11:00Z</dcterms:modified>
</cp:coreProperties>
</file>