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8F" w:rsidRPr="00786EEB" w:rsidRDefault="00A6548F" w:rsidP="00A6548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1575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6548F" w:rsidRDefault="00A654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6548F" w:rsidRPr="00A6548F" w:rsidRDefault="00A6548F" w:rsidP="00A654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6548F">
        <w:rPr>
          <w:rFonts w:ascii="Arial" w:hAnsi="Arial" w:cs="Arial"/>
          <w:b/>
          <w:lang w:val="es-ES_tradnl"/>
        </w:rPr>
        <w:t>RESOLUCION ADOPTADA POR EL</w:t>
      </w:r>
    </w:p>
    <w:p w:rsidR="00A6548F" w:rsidRPr="00A6548F" w:rsidRDefault="00A6548F" w:rsidP="00A6548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6548F" w:rsidRPr="00A6548F" w:rsidRDefault="00A6548F" w:rsidP="00A654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6548F">
        <w:rPr>
          <w:rFonts w:ascii="Arial" w:hAnsi="Arial" w:cs="Arial"/>
          <w:b/>
          <w:lang w:val="es-ES_tradnl"/>
        </w:rPr>
        <w:t>TRIBUNAL DE CUENTAS</w:t>
      </w:r>
    </w:p>
    <w:p w:rsidR="00A6548F" w:rsidRPr="00A6548F" w:rsidRDefault="00A6548F" w:rsidP="00A6548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6548F" w:rsidRPr="00A6548F" w:rsidRDefault="00A6548F" w:rsidP="00A654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6548F">
        <w:rPr>
          <w:rFonts w:ascii="Arial" w:hAnsi="Arial" w:cs="Arial"/>
          <w:b/>
          <w:lang w:val="es-ES_tradnl"/>
        </w:rPr>
        <w:t>EN SESION DE FECHA 11 DE MAYO DE 2016</w:t>
      </w:r>
    </w:p>
    <w:p w:rsidR="00A6548F" w:rsidRPr="00A6548F" w:rsidRDefault="00A6548F" w:rsidP="00A654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6548F" w:rsidRPr="00F85EA8" w:rsidRDefault="00A6548F" w:rsidP="00A654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F85EA8">
        <w:rPr>
          <w:rFonts w:ascii="Arial" w:hAnsi="Arial" w:cs="Arial"/>
          <w:b/>
          <w:lang w:val="es-UY"/>
        </w:rPr>
        <w:t xml:space="preserve">(E. E. Nº </w:t>
      </w:r>
      <w:r w:rsidRPr="00A6548F">
        <w:rPr>
          <w:rFonts w:ascii="Arial" w:hAnsi="Arial" w:cs="Arial"/>
          <w:b/>
          <w:bCs/>
        </w:rPr>
        <w:t>2014-17-1-0004756</w:t>
      </w:r>
      <w:r w:rsidRPr="00F85EA8">
        <w:rPr>
          <w:rFonts w:ascii="Arial" w:hAnsi="Arial" w:cs="Arial"/>
          <w:b/>
          <w:lang w:val="es-UY"/>
        </w:rPr>
        <w:t xml:space="preserve">, Ent. N° </w:t>
      </w:r>
      <w:r w:rsidRPr="00A6548F">
        <w:rPr>
          <w:rFonts w:ascii="Arial" w:hAnsi="Arial" w:cs="Arial"/>
          <w:b/>
          <w:bCs/>
        </w:rPr>
        <w:t>2060/16</w:t>
      </w:r>
      <w:r w:rsidRPr="00F85EA8">
        <w:rPr>
          <w:rFonts w:ascii="Arial" w:hAnsi="Arial" w:cs="Arial"/>
          <w:b/>
          <w:lang w:val="es-UY"/>
        </w:rPr>
        <w:t>)</w:t>
      </w:r>
    </w:p>
    <w:p w:rsidR="00A6548F" w:rsidRPr="00F85EA8" w:rsidRDefault="00A6548F" w:rsidP="00A654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A6548F" w:rsidRPr="00F85EA8" w:rsidRDefault="00A6548F" w:rsidP="00A6548F">
      <w:pPr>
        <w:tabs>
          <w:tab w:val="center" w:pos="4253"/>
        </w:tabs>
        <w:suppressAutoHyphens/>
        <w:jc w:val="center"/>
        <w:rPr>
          <w:rFonts w:ascii="Arial" w:hAnsi="Arial" w:cs="Arial"/>
          <w:b/>
          <w:spacing w:val="-3"/>
          <w:lang w:val="es-UY"/>
        </w:rPr>
      </w:pPr>
    </w:p>
    <w:p w:rsidR="00743F14" w:rsidRDefault="0021183F" w:rsidP="00A6548F">
      <w:pPr>
        <w:spacing w:line="360" w:lineRule="auto"/>
        <w:ind w:firstLine="851"/>
        <w:jc w:val="both"/>
        <w:rPr>
          <w:rFonts w:ascii="Arial" w:hAnsi="Arial" w:cs="Arial"/>
        </w:rPr>
      </w:pPr>
      <w:r w:rsidRPr="0021183F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e</w:t>
      </w:r>
      <w:r w:rsidR="00743F14" w:rsidRPr="002E5195">
        <w:rPr>
          <w:rFonts w:ascii="Arial" w:hAnsi="Arial" w:cs="Arial"/>
        </w:rPr>
        <w:t>l Ministerio de Transporte y Obras Públicas</w:t>
      </w:r>
      <w:r w:rsidR="00F85EA8">
        <w:rPr>
          <w:rFonts w:ascii="Arial" w:hAnsi="Arial" w:cs="Arial"/>
        </w:rPr>
        <w:t xml:space="preserve"> (MTOP)</w:t>
      </w:r>
      <w:r w:rsidR="00743F14" w:rsidRPr="002E5195">
        <w:rPr>
          <w:rFonts w:ascii="Arial" w:hAnsi="Arial" w:cs="Arial"/>
        </w:rPr>
        <w:t xml:space="preserve"> relacionadas con</w:t>
      </w:r>
      <w:r w:rsidR="00743F14">
        <w:rPr>
          <w:rFonts w:ascii="Arial" w:hAnsi="Arial" w:cs="Arial"/>
        </w:rPr>
        <w:t xml:space="preserve"> el Contrato de Concesión de Obras Públicas “Ruta Nº 5, Accesos a Montevideo – Mendoza (progresivas 11k300 y 69k000)” adjudicada a la firma Hernández y González S.A., según el Llamado a Licitación Pública Internacio</w:t>
      </w:r>
      <w:r>
        <w:rPr>
          <w:rFonts w:ascii="Arial" w:hAnsi="Arial" w:cs="Arial"/>
        </w:rPr>
        <w:t xml:space="preserve">nal Nº 78/998; </w:t>
      </w:r>
    </w:p>
    <w:p w:rsidR="0021183F" w:rsidRDefault="0021183F" w:rsidP="00A6548F">
      <w:pPr>
        <w:spacing w:line="360" w:lineRule="auto"/>
        <w:ind w:firstLine="851"/>
        <w:jc w:val="both"/>
        <w:rPr>
          <w:rFonts w:ascii="Arial" w:hAnsi="Arial" w:cs="Arial"/>
        </w:rPr>
      </w:pPr>
      <w:r w:rsidRPr="0021183F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</w:t>
      </w:r>
      <w:r w:rsidR="00ED5522">
        <w:rPr>
          <w:rFonts w:ascii="Arial" w:hAnsi="Arial" w:cs="Arial"/>
        </w:rPr>
        <w:t>c</w:t>
      </w:r>
      <w:r w:rsidR="00743F14">
        <w:rPr>
          <w:rFonts w:ascii="Arial" w:hAnsi="Arial" w:cs="Arial"/>
        </w:rPr>
        <w:t>on fecha 29 de setiembre de 1999, el Poder Ejecutivo dictó la Resolución de adjudicación correspondiente, de la cual este Tribunal</w:t>
      </w:r>
      <w:r w:rsidR="00D25C76">
        <w:rPr>
          <w:rFonts w:ascii="Arial" w:hAnsi="Arial" w:cs="Arial"/>
        </w:rPr>
        <w:t xml:space="preserve"> de Cuentas</w:t>
      </w:r>
      <w:r w:rsidR="00743F14">
        <w:rPr>
          <w:rFonts w:ascii="Arial" w:hAnsi="Arial" w:cs="Arial"/>
        </w:rPr>
        <w:t xml:space="preserve"> tomó conocimiento el 15 de octubre de 1999; </w:t>
      </w:r>
    </w:p>
    <w:p w:rsidR="00743F14" w:rsidRDefault="0021183F" w:rsidP="008E7635">
      <w:pPr>
        <w:spacing w:line="360" w:lineRule="auto"/>
        <w:ind w:firstLine="2835"/>
        <w:jc w:val="both"/>
        <w:rPr>
          <w:rFonts w:ascii="Arial" w:hAnsi="Arial" w:cs="Arial"/>
        </w:rPr>
      </w:pPr>
      <w:r w:rsidRPr="0021183F">
        <w:rPr>
          <w:rFonts w:ascii="Arial" w:hAnsi="Arial" w:cs="Arial"/>
          <w:b/>
        </w:rPr>
        <w:t xml:space="preserve"> 2)</w:t>
      </w:r>
      <w:r>
        <w:rPr>
          <w:rFonts w:ascii="Arial" w:hAnsi="Arial" w:cs="Arial"/>
        </w:rPr>
        <w:t xml:space="preserve"> que p</w:t>
      </w:r>
      <w:r w:rsidR="00743F14">
        <w:rPr>
          <w:rFonts w:ascii="Arial" w:hAnsi="Arial" w:cs="Arial"/>
        </w:rPr>
        <w:t xml:space="preserve">osteriormente, volvieron las actuaciones, en virtud de que la empresa adjudicataria, solicitó modificar las garantías otorgadas, a lo cual este Tribunal en </w:t>
      </w:r>
      <w:r w:rsidR="00743F14" w:rsidRPr="0021183F">
        <w:rPr>
          <w:rFonts w:ascii="Arial" w:hAnsi="Arial" w:cs="Arial"/>
        </w:rPr>
        <w:t>Sesión de fecha 20 de mayo de 2004</w:t>
      </w:r>
      <w:r w:rsidR="00743F14">
        <w:rPr>
          <w:rFonts w:ascii="Arial" w:hAnsi="Arial" w:cs="Arial"/>
        </w:rPr>
        <w:t>, no formuló observaciones;</w:t>
      </w:r>
    </w:p>
    <w:p w:rsidR="008E7635" w:rsidRDefault="00AF1131" w:rsidP="008E7635">
      <w:pPr>
        <w:pStyle w:val="Prrafodelista"/>
        <w:tabs>
          <w:tab w:val="left" w:pos="2835"/>
        </w:tabs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21183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="00743F14">
        <w:rPr>
          <w:rFonts w:ascii="Arial" w:hAnsi="Arial" w:cs="Arial"/>
        </w:rPr>
        <w:t xml:space="preserve">volvieron las actuaciones a la intervención de este Tribunal, </w:t>
      </w:r>
      <w:r w:rsidR="00ED5522">
        <w:rPr>
          <w:rFonts w:ascii="Arial" w:hAnsi="Arial" w:cs="Arial"/>
        </w:rPr>
        <w:t>con</w:t>
      </w:r>
      <w:r w:rsidR="00743F14">
        <w:rPr>
          <w:rFonts w:ascii="Arial" w:hAnsi="Arial" w:cs="Arial"/>
        </w:rPr>
        <w:t xml:space="preserve"> modificaciones efectuadas el cont</w:t>
      </w:r>
      <w:r>
        <w:rPr>
          <w:rFonts w:ascii="Arial" w:hAnsi="Arial" w:cs="Arial"/>
        </w:rPr>
        <w:t>rato de concesión (</w:t>
      </w:r>
      <w:r w:rsidR="00743F14">
        <w:rPr>
          <w:rFonts w:ascii="Arial" w:hAnsi="Arial" w:cs="Arial"/>
        </w:rPr>
        <w:t>Adecuación del cronograma de obras;</w:t>
      </w:r>
      <w:r>
        <w:rPr>
          <w:rFonts w:ascii="Arial" w:hAnsi="Arial" w:cs="Arial"/>
        </w:rPr>
        <w:t xml:space="preserve"> </w:t>
      </w:r>
      <w:r w:rsidR="00743F14">
        <w:rPr>
          <w:rFonts w:ascii="Arial" w:hAnsi="Arial" w:cs="Arial"/>
        </w:rPr>
        <w:t>Modificación de las garantías;</w:t>
      </w:r>
      <w:r>
        <w:rPr>
          <w:rFonts w:ascii="Arial" w:hAnsi="Arial" w:cs="Arial"/>
        </w:rPr>
        <w:t xml:space="preserve"> </w:t>
      </w:r>
      <w:r w:rsidR="00743F14">
        <w:rPr>
          <w:rFonts w:ascii="Arial" w:hAnsi="Arial" w:cs="Arial"/>
        </w:rPr>
        <w:t>Rebaja del Valor Presente de lo</w:t>
      </w:r>
      <w:r>
        <w:rPr>
          <w:rFonts w:ascii="Arial" w:hAnsi="Arial" w:cs="Arial"/>
        </w:rPr>
        <w:t xml:space="preserve">s Ingresos de la Concesionaria) </w:t>
      </w:r>
      <w:r w:rsidR="00ED5522">
        <w:rPr>
          <w:rFonts w:ascii="Arial" w:hAnsi="Arial" w:cs="Arial"/>
        </w:rPr>
        <w:t xml:space="preserve">y este Tribunal </w:t>
      </w:r>
      <w:r>
        <w:rPr>
          <w:rFonts w:ascii="Arial" w:hAnsi="Arial" w:cs="Arial"/>
        </w:rPr>
        <w:t>no formul</w:t>
      </w:r>
      <w:r w:rsidR="00ED5522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</w:t>
      </w:r>
      <w:r w:rsidR="00743F14">
        <w:rPr>
          <w:rFonts w:ascii="Arial" w:hAnsi="Arial" w:cs="Arial"/>
        </w:rPr>
        <w:t xml:space="preserve">observaciones en acuerdo de 30 de junio de 2004, el que fue aprobado por Resolución del Poder Ejecutivo el 14 de julio de 2004; </w:t>
      </w:r>
    </w:p>
    <w:p w:rsidR="00AF1131" w:rsidRDefault="00AF1131" w:rsidP="008E7635">
      <w:pPr>
        <w:pStyle w:val="Prrafodelista"/>
        <w:tabs>
          <w:tab w:val="left" w:pos="2835"/>
        </w:tabs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21183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e</w:t>
      </w:r>
      <w:r w:rsidR="00743F14">
        <w:rPr>
          <w:rFonts w:ascii="Arial" w:hAnsi="Arial" w:cs="Arial"/>
        </w:rPr>
        <w:t>ste Tribunal</w:t>
      </w:r>
      <w:r w:rsidR="00ED5522">
        <w:rPr>
          <w:rFonts w:ascii="Arial" w:hAnsi="Arial" w:cs="Arial"/>
        </w:rPr>
        <w:t>,</w:t>
      </w:r>
      <w:r w:rsidR="00743F14">
        <w:rPr>
          <w:rFonts w:ascii="Arial" w:hAnsi="Arial" w:cs="Arial"/>
        </w:rPr>
        <w:t xml:space="preserve"> en </w:t>
      </w:r>
      <w:r w:rsidR="00743F14" w:rsidRPr="00AF1131">
        <w:rPr>
          <w:rFonts w:ascii="Arial" w:hAnsi="Arial" w:cs="Arial"/>
        </w:rPr>
        <w:t>Sesión de fecha 23 de marzo de 2010</w:t>
      </w:r>
      <w:r w:rsidR="00743F14">
        <w:rPr>
          <w:rFonts w:ascii="Arial" w:hAnsi="Arial" w:cs="Arial"/>
        </w:rPr>
        <w:t>, acordó no formular observaciones a la revisión del convenio oportunamente remitido, ad referéndum del</w:t>
      </w:r>
      <w:r>
        <w:rPr>
          <w:rFonts w:ascii="Arial" w:hAnsi="Arial" w:cs="Arial"/>
        </w:rPr>
        <w:t xml:space="preserve"> Tribunal</w:t>
      </w:r>
      <w:r w:rsidR="00D25C76">
        <w:rPr>
          <w:rFonts w:ascii="Arial" w:hAnsi="Arial" w:cs="Arial"/>
        </w:rPr>
        <w:t xml:space="preserve"> de Cuentas</w:t>
      </w:r>
      <w:r>
        <w:rPr>
          <w:rFonts w:ascii="Arial" w:hAnsi="Arial" w:cs="Arial"/>
        </w:rPr>
        <w:t xml:space="preserve"> y del Poder Ejecutivo; </w:t>
      </w:r>
    </w:p>
    <w:p w:rsidR="008E7635" w:rsidRDefault="00AF1131" w:rsidP="008E7635">
      <w:pPr>
        <w:pStyle w:val="Prrafodelista"/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Pr="0021183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</w:t>
      </w:r>
      <w:r w:rsidR="00ED55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</w:t>
      </w:r>
      <w:r w:rsidR="00743F14">
        <w:rPr>
          <w:rFonts w:ascii="Arial" w:hAnsi="Arial" w:cs="Arial"/>
        </w:rPr>
        <w:t xml:space="preserve">n </w:t>
      </w:r>
      <w:r w:rsidR="00743F14" w:rsidRPr="00AF1131">
        <w:rPr>
          <w:rFonts w:ascii="Arial" w:hAnsi="Arial" w:cs="Arial"/>
        </w:rPr>
        <w:t>Sesión de fecha 11 de agosto de 2010,</w:t>
      </w:r>
      <w:r w:rsidR="00743F14">
        <w:rPr>
          <w:rFonts w:ascii="Arial" w:hAnsi="Arial" w:cs="Arial"/>
        </w:rPr>
        <w:t xml:space="preserve"> este Tribunal acordó no formular observaciones a la modificación de la Cláusula 60.3 de la Sección 1 del Pliego Particular</w:t>
      </w:r>
      <w:r>
        <w:rPr>
          <w:rFonts w:ascii="Arial" w:hAnsi="Arial" w:cs="Arial"/>
        </w:rPr>
        <w:t xml:space="preserve">; </w:t>
      </w:r>
    </w:p>
    <w:p w:rsidR="00F85EA8" w:rsidRDefault="00AF1131" w:rsidP="008E7635">
      <w:pPr>
        <w:pStyle w:val="Prrafodelista"/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21183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e</w:t>
      </w:r>
      <w:r w:rsidR="00743F14">
        <w:rPr>
          <w:rFonts w:ascii="Arial" w:hAnsi="Arial" w:cs="Arial"/>
        </w:rPr>
        <w:t xml:space="preserve">n </w:t>
      </w:r>
      <w:r w:rsidR="00743F14" w:rsidRPr="00AF1131">
        <w:rPr>
          <w:rFonts w:ascii="Arial" w:hAnsi="Arial" w:cs="Arial"/>
        </w:rPr>
        <w:t>Sesión de fecha 9 de julio de 2014</w:t>
      </w:r>
      <w:r w:rsidR="00743F14">
        <w:rPr>
          <w:rFonts w:ascii="Arial" w:hAnsi="Arial" w:cs="Arial"/>
        </w:rPr>
        <w:t xml:space="preserve"> este Tribunal acordó: </w:t>
      </w:r>
    </w:p>
    <w:p w:rsidR="00F85EA8" w:rsidRDefault="00743F14" w:rsidP="00F85EA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333906">
        <w:rPr>
          <w:rFonts w:ascii="Arial" w:hAnsi="Arial" w:cs="Arial"/>
        </w:rPr>
        <w:t>“</w:t>
      </w:r>
      <w:r w:rsidRPr="00F85EA8">
        <w:rPr>
          <w:rFonts w:ascii="Arial" w:hAnsi="Arial" w:cs="Arial"/>
          <w:b/>
        </w:rPr>
        <w:t>1)</w:t>
      </w:r>
      <w:r w:rsidRPr="00333906">
        <w:rPr>
          <w:rFonts w:ascii="Arial" w:hAnsi="Arial" w:cs="Arial"/>
        </w:rPr>
        <w:t xml:space="preserve"> Una vez suscrito el Convenio y dictada la Resolución por el Ordenador competente, cométese a la Contadora Auditora destacada ante el Ministerio de Transporte y Obras Públicas la intervención de la suma de U$S  5:253.759 con IVA y Leyes Sociales incluidos, a favor de la firma Hernández y González S.A., correspondiente al subsidio para la realización de obras complementarias a llevarse a cabo en el marco de la Concesión de referencia, previo control de su imputación en el grupo adecuado con disponibilidad suficiente; </w:t>
      </w:r>
    </w:p>
    <w:p w:rsidR="008E7635" w:rsidRDefault="00743F14" w:rsidP="00F85EA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F85EA8">
        <w:rPr>
          <w:rFonts w:ascii="Arial" w:hAnsi="Arial" w:cs="Arial"/>
          <w:b/>
        </w:rPr>
        <w:t>2)</w:t>
      </w:r>
      <w:r w:rsidRPr="00333906">
        <w:rPr>
          <w:rFonts w:ascii="Arial" w:hAnsi="Arial" w:cs="Arial"/>
        </w:rPr>
        <w:t xml:space="preserve"> Cométese a la Contadora Auditora el control de la efectiva versión del Canon acordado con</w:t>
      </w:r>
      <w:r w:rsidR="007B2642">
        <w:rPr>
          <w:rFonts w:ascii="Arial" w:hAnsi="Arial" w:cs="Arial"/>
        </w:rPr>
        <w:t xml:space="preserve"> la empresa adjudicataria</w:t>
      </w:r>
      <w:r w:rsidR="00333906">
        <w:rPr>
          <w:rFonts w:ascii="Arial" w:hAnsi="Arial" w:cs="Arial"/>
        </w:rPr>
        <w:t xml:space="preserve"> (…)”; </w:t>
      </w:r>
    </w:p>
    <w:p w:rsidR="008E7635" w:rsidRDefault="00333906" w:rsidP="008E7635">
      <w:pPr>
        <w:pStyle w:val="Prrafodelista"/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21183F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e</w:t>
      </w:r>
      <w:r w:rsidR="00743F14">
        <w:rPr>
          <w:rFonts w:ascii="Arial" w:hAnsi="Arial" w:cs="Arial"/>
        </w:rPr>
        <w:t>ste Tribunal</w:t>
      </w:r>
      <w:r w:rsidR="00ED5522">
        <w:rPr>
          <w:rFonts w:ascii="Arial" w:hAnsi="Arial" w:cs="Arial"/>
        </w:rPr>
        <w:t>,</w:t>
      </w:r>
      <w:r w:rsidR="00743F14">
        <w:rPr>
          <w:rFonts w:ascii="Arial" w:hAnsi="Arial" w:cs="Arial"/>
        </w:rPr>
        <w:t xml:space="preserve"> por la Mesa, con fecha</w:t>
      </w:r>
      <w:r w:rsidR="00ED5522">
        <w:rPr>
          <w:rFonts w:ascii="Arial" w:hAnsi="Arial" w:cs="Arial"/>
        </w:rPr>
        <w:t xml:space="preserve"> </w:t>
      </w:r>
      <w:r w:rsidR="00743F14">
        <w:rPr>
          <w:rFonts w:ascii="Arial" w:hAnsi="Arial" w:cs="Arial"/>
        </w:rPr>
        <w:t>16 de setiembre de 2014, acordó estar a lo resuelto en Acuerdo de fecha 9 de julio de 2014</w:t>
      </w:r>
      <w:r>
        <w:rPr>
          <w:rFonts w:ascii="Arial" w:hAnsi="Arial" w:cs="Arial"/>
        </w:rPr>
        <w:t xml:space="preserve">; </w:t>
      </w:r>
    </w:p>
    <w:p w:rsidR="00F85EA8" w:rsidRDefault="00333906" w:rsidP="008E7635">
      <w:pPr>
        <w:pStyle w:val="Prrafodelista"/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333906">
        <w:rPr>
          <w:rFonts w:ascii="Arial" w:hAnsi="Arial" w:cs="Arial"/>
          <w:b/>
        </w:rPr>
        <w:t xml:space="preserve">) </w:t>
      </w:r>
      <w:r w:rsidRPr="00333906">
        <w:rPr>
          <w:rFonts w:ascii="Arial" w:hAnsi="Arial" w:cs="Arial"/>
        </w:rPr>
        <w:t>que</w:t>
      </w:r>
      <w:r w:rsidR="00ED5522">
        <w:rPr>
          <w:rFonts w:ascii="Arial" w:hAnsi="Arial" w:cs="Arial"/>
        </w:rPr>
        <w:t>,</w:t>
      </w:r>
      <w:r w:rsidRPr="00333906">
        <w:rPr>
          <w:rFonts w:ascii="Arial" w:hAnsi="Arial" w:cs="Arial"/>
        </w:rPr>
        <w:t xml:space="preserve"> </w:t>
      </w:r>
      <w:r w:rsidR="007B2642">
        <w:rPr>
          <w:rFonts w:ascii="Arial" w:hAnsi="Arial" w:cs="Arial"/>
        </w:rPr>
        <w:t xml:space="preserve">remitido un nuevo cronograma de obras, </w:t>
      </w:r>
      <w:r w:rsidRPr="00333906">
        <w:rPr>
          <w:rFonts w:ascii="Arial" w:hAnsi="Arial" w:cs="Arial"/>
        </w:rPr>
        <w:t>en</w:t>
      </w:r>
      <w:r w:rsidR="00743F14" w:rsidRPr="00333906">
        <w:rPr>
          <w:rFonts w:ascii="Arial" w:hAnsi="Arial" w:cs="Arial"/>
        </w:rPr>
        <w:t xml:space="preserve"> Sesión de fecha 18 de marzo de 2015</w:t>
      </w:r>
      <w:r w:rsidR="00ED5522">
        <w:rPr>
          <w:rFonts w:ascii="Arial" w:hAnsi="Arial" w:cs="Arial"/>
        </w:rPr>
        <w:t>,</w:t>
      </w:r>
      <w:r w:rsidR="00743F14" w:rsidRPr="00333906">
        <w:rPr>
          <w:rFonts w:ascii="Arial" w:hAnsi="Arial" w:cs="Arial"/>
        </w:rPr>
        <w:t xml:space="preserve"> este Tribunal acordó: </w:t>
      </w:r>
    </w:p>
    <w:p w:rsidR="00F85EA8" w:rsidRDefault="00743F14" w:rsidP="00F85EA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333906">
        <w:rPr>
          <w:rFonts w:ascii="Arial" w:hAnsi="Arial" w:cs="Arial"/>
        </w:rPr>
        <w:t>“</w:t>
      </w:r>
      <w:r w:rsidRPr="00F85EA8">
        <w:rPr>
          <w:rFonts w:ascii="Arial" w:hAnsi="Arial" w:cs="Arial"/>
          <w:b/>
        </w:rPr>
        <w:t>1)</w:t>
      </w:r>
      <w:r w:rsidRPr="00333906">
        <w:rPr>
          <w:rFonts w:ascii="Arial" w:hAnsi="Arial" w:cs="Arial"/>
        </w:rPr>
        <w:t xml:space="preserve"> Dictada la Resolución por el Poder Ejecutivo, comuníquese a la Contadora Auditora destacada ante el Ministerio de Transporte y Obras Públicas a quien se comete el control de la misma conforme los antecedentes remitidos a este Tribunal; </w:t>
      </w:r>
    </w:p>
    <w:p w:rsidR="008E7635" w:rsidRDefault="00743F14" w:rsidP="00F85EA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F85EA8">
        <w:rPr>
          <w:rFonts w:ascii="Arial" w:hAnsi="Arial" w:cs="Arial"/>
          <w:b/>
        </w:rPr>
        <w:t>2)</w:t>
      </w:r>
      <w:r w:rsidRPr="00333906">
        <w:rPr>
          <w:rFonts w:ascii="Arial" w:hAnsi="Arial" w:cs="Arial"/>
        </w:rPr>
        <w:t xml:space="preserve"> Devolver las </w:t>
      </w:r>
      <w:r w:rsidR="00F85EA8" w:rsidRPr="00333906">
        <w:rPr>
          <w:rFonts w:ascii="Arial" w:hAnsi="Arial" w:cs="Arial"/>
        </w:rPr>
        <w:t>actuaciones”</w:t>
      </w:r>
      <w:r w:rsidR="00333906">
        <w:rPr>
          <w:rFonts w:ascii="Arial" w:hAnsi="Arial" w:cs="Arial"/>
        </w:rPr>
        <w:t xml:space="preserve">; </w:t>
      </w:r>
    </w:p>
    <w:p w:rsidR="00F85EA8" w:rsidRDefault="00333906" w:rsidP="008E7635">
      <w:pPr>
        <w:pStyle w:val="Prrafodelista"/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333906">
        <w:rPr>
          <w:rFonts w:ascii="Arial" w:hAnsi="Arial" w:cs="Arial"/>
          <w:b/>
        </w:rPr>
        <w:t xml:space="preserve">) </w:t>
      </w:r>
      <w:r w:rsidRPr="00333906">
        <w:rPr>
          <w:rFonts w:ascii="Arial" w:hAnsi="Arial" w:cs="Arial"/>
        </w:rPr>
        <w:t>que</w:t>
      </w:r>
      <w:r w:rsidR="007B26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</w:t>
      </w:r>
      <w:r w:rsidR="00743F14">
        <w:rPr>
          <w:rFonts w:ascii="Arial" w:hAnsi="Arial" w:cs="Arial"/>
        </w:rPr>
        <w:t xml:space="preserve">n </w:t>
      </w:r>
      <w:r w:rsidR="00743F14" w:rsidRPr="00333906">
        <w:rPr>
          <w:rFonts w:ascii="Arial" w:hAnsi="Arial" w:cs="Arial"/>
        </w:rPr>
        <w:t>Sesión de fecha 9 de diciembre de 2015</w:t>
      </w:r>
      <w:r w:rsidR="007B2642">
        <w:rPr>
          <w:rFonts w:ascii="Arial" w:hAnsi="Arial" w:cs="Arial"/>
        </w:rPr>
        <w:t>,</w:t>
      </w:r>
      <w:r w:rsidR="00743F14" w:rsidRPr="00333906">
        <w:rPr>
          <w:rFonts w:ascii="Arial" w:hAnsi="Arial" w:cs="Arial"/>
        </w:rPr>
        <w:t xml:space="preserve"> </w:t>
      </w:r>
      <w:r w:rsidR="00743F14">
        <w:rPr>
          <w:rFonts w:ascii="Arial" w:hAnsi="Arial" w:cs="Arial"/>
        </w:rPr>
        <w:t xml:space="preserve">este Tribunal acordó: </w:t>
      </w:r>
    </w:p>
    <w:p w:rsidR="00F85EA8" w:rsidRDefault="00743F14" w:rsidP="00F85EA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333906">
        <w:rPr>
          <w:rFonts w:ascii="Arial" w:hAnsi="Arial" w:cs="Arial"/>
        </w:rPr>
        <w:t>“</w:t>
      </w:r>
      <w:r w:rsidRPr="00F85EA8">
        <w:rPr>
          <w:rFonts w:ascii="Arial" w:hAnsi="Arial" w:cs="Arial"/>
          <w:b/>
        </w:rPr>
        <w:t>1)</w:t>
      </w:r>
      <w:r w:rsidRPr="00333906">
        <w:rPr>
          <w:rFonts w:ascii="Arial" w:hAnsi="Arial" w:cs="Arial"/>
        </w:rPr>
        <w:t xml:space="preserve"> Estar a lo dispuesto en Sesión de fecha 9/7/2014; </w:t>
      </w:r>
    </w:p>
    <w:p w:rsidR="00F85EA8" w:rsidRDefault="00743F14" w:rsidP="00F85EA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F85EA8">
        <w:rPr>
          <w:rFonts w:ascii="Arial" w:hAnsi="Arial" w:cs="Arial"/>
          <w:b/>
        </w:rPr>
        <w:t>2)</w:t>
      </w:r>
      <w:r w:rsidRPr="00333906">
        <w:rPr>
          <w:rFonts w:ascii="Arial" w:hAnsi="Arial" w:cs="Arial"/>
        </w:rPr>
        <w:t xml:space="preserve"> Téngase presente lo dispuesto en el Considerando 2); </w:t>
      </w:r>
    </w:p>
    <w:p w:rsidR="008E7635" w:rsidRDefault="00743F14" w:rsidP="00F85EA8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F85EA8">
        <w:rPr>
          <w:rFonts w:ascii="Arial" w:hAnsi="Arial" w:cs="Arial"/>
          <w:b/>
        </w:rPr>
        <w:t>3)</w:t>
      </w:r>
      <w:r w:rsidRPr="00333906">
        <w:rPr>
          <w:rFonts w:ascii="Arial" w:hAnsi="Arial" w:cs="Arial"/>
        </w:rPr>
        <w:t xml:space="preserve"> Devolver las actuaciones</w:t>
      </w:r>
      <w:r w:rsidR="00333906">
        <w:rPr>
          <w:rFonts w:ascii="Arial" w:hAnsi="Arial" w:cs="Arial"/>
        </w:rPr>
        <w:t xml:space="preserve">”; </w:t>
      </w:r>
    </w:p>
    <w:p w:rsidR="00743F14" w:rsidRPr="00333906" w:rsidRDefault="00333906" w:rsidP="008E7635">
      <w:pPr>
        <w:pStyle w:val="Prrafodelista"/>
        <w:spacing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10</w:t>
      </w:r>
      <w:r w:rsidRPr="00333906">
        <w:rPr>
          <w:rFonts w:ascii="Arial" w:hAnsi="Arial" w:cs="Arial"/>
          <w:b/>
        </w:rPr>
        <w:t xml:space="preserve">) </w:t>
      </w:r>
      <w:r w:rsidRPr="00333906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</w:t>
      </w:r>
      <w:r w:rsidR="00743F14">
        <w:rPr>
          <w:rFonts w:ascii="Arial" w:hAnsi="Arial" w:cs="Arial"/>
        </w:rPr>
        <w:t>n la oportunidad se remite</w:t>
      </w:r>
      <w:r>
        <w:rPr>
          <w:rFonts w:ascii="Arial" w:hAnsi="Arial" w:cs="Arial"/>
        </w:rPr>
        <w:t>n</w:t>
      </w:r>
      <w:r w:rsidR="00743F14">
        <w:rPr>
          <w:rFonts w:ascii="Arial" w:hAnsi="Arial" w:cs="Arial"/>
        </w:rPr>
        <w:t xml:space="preserve"> formulario</w:t>
      </w:r>
      <w:r>
        <w:rPr>
          <w:rFonts w:ascii="Arial" w:hAnsi="Arial" w:cs="Arial"/>
        </w:rPr>
        <w:t>s</w:t>
      </w:r>
      <w:r w:rsidR="00743F14">
        <w:rPr>
          <w:rFonts w:ascii="Arial" w:hAnsi="Arial" w:cs="Arial"/>
        </w:rPr>
        <w:t xml:space="preserve"> de devolución de la Auditoría destacada del Tribunal de Cuentas ante el Ministerio de Transporte y Obras Púbicas, de fecha 14 </w:t>
      </w:r>
      <w:r>
        <w:rPr>
          <w:rFonts w:ascii="Arial" w:hAnsi="Arial" w:cs="Arial"/>
        </w:rPr>
        <w:t xml:space="preserve">y 17 </w:t>
      </w:r>
      <w:r w:rsidR="00743F14">
        <w:rPr>
          <w:rFonts w:ascii="Arial" w:hAnsi="Arial" w:cs="Arial"/>
        </w:rPr>
        <w:t>de marzo de 2016</w:t>
      </w:r>
      <w:r>
        <w:rPr>
          <w:rFonts w:ascii="Arial" w:hAnsi="Arial" w:cs="Arial"/>
        </w:rPr>
        <w:t xml:space="preserve"> y </w:t>
      </w:r>
      <w:r w:rsidR="00743F14">
        <w:rPr>
          <w:rFonts w:ascii="Arial" w:hAnsi="Arial" w:cs="Arial"/>
        </w:rPr>
        <w:t xml:space="preserve"> del que la Contadora devuelve la carpeta por los siguientes motivos: </w:t>
      </w:r>
    </w:p>
    <w:p w:rsidR="00743F14" w:rsidRDefault="00333906" w:rsidP="00A6548F">
      <w:pPr>
        <w:spacing w:line="360" w:lineRule="auto"/>
        <w:jc w:val="both"/>
        <w:rPr>
          <w:rFonts w:ascii="Arial" w:hAnsi="Arial" w:cs="Arial"/>
        </w:rPr>
      </w:pPr>
      <w:r w:rsidRPr="00333906">
        <w:rPr>
          <w:rFonts w:ascii="Arial" w:hAnsi="Arial" w:cs="Arial"/>
          <w:b/>
        </w:rPr>
        <w:t>10.1)</w:t>
      </w:r>
      <w:r>
        <w:rPr>
          <w:rFonts w:ascii="Arial" w:hAnsi="Arial" w:cs="Arial"/>
        </w:rPr>
        <w:t xml:space="preserve"> Adjuntar el expediente completo; </w:t>
      </w:r>
      <w:r w:rsidR="00743F14">
        <w:rPr>
          <w:rFonts w:ascii="Arial" w:hAnsi="Arial" w:cs="Arial"/>
        </w:rPr>
        <w:t>Adjuntar toda la documentación respaldante de la efectiva versión del canon, según lo cometido por este Tribunal</w:t>
      </w:r>
      <w:r>
        <w:rPr>
          <w:rFonts w:ascii="Arial" w:hAnsi="Arial" w:cs="Arial"/>
        </w:rPr>
        <w:t xml:space="preserve">; </w:t>
      </w:r>
    </w:p>
    <w:p w:rsidR="008E7635" w:rsidRDefault="00333906" w:rsidP="00A6548F">
      <w:pPr>
        <w:spacing w:line="360" w:lineRule="auto"/>
        <w:jc w:val="both"/>
        <w:rPr>
          <w:rFonts w:ascii="Arial" w:hAnsi="Arial" w:cs="Arial"/>
          <w:b/>
          <w:i/>
        </w:rPr>
      </w:pPr>
      <w:r w:rsidRPr="00333906">
        <w:rPr>
          <w:rFonts w:ascii="Arial" w:hAnsi="Arial" w:cs="Arial"/>
          <w:b/>
        </w:rPr>
        <w:t xml:space="preserve">10.2) </w:t>
      </w:r>
      <w:r w:rsidR="00743F14">
        <w:rPr>
          <w:rFonts w:ascii="Arial" w:hAnsi="Arial" w:cs="Arial"/>
        </w:rPr>
        <w:t>Se reitera lo solicitado en fecha 14/3/2016 en cuanto a la versión del canon, el control del mismo está cometido en Resolución del Tribunal de Cuentas de fecha 9/7/2014, por lo que se deberá remitir a dicha auditoría dicha documentación.</w:t>
      </w:r>
      <w:r>
        <w:rPr>
          <w:rFonts w:ascii="Arial" w:hAnsi="Arial" w:cs="Arial"/>
        </w:rPr>
        <w:t xml:space="preserve"> </w:t>
      </w:r>
      <w:r w:rsidR="00743F14">
        <w:rPr>
          <w:rFonts w:ascii="Arial" w:hAnsi="Arial" w:cs="Arial"/>
        </w:rPr>
        <w:t>Téngase presente lo señalado en Resolución del Tribunal de Cuentas del 9/12/2015 en cuanto a que “la foliatura de las actuaciones, en reiteradas ocasiones, es inexistente, no correlativa y/o discontinua, incumpliendo con l</w:t>
      </w:r>
      <w:r>
        <w:rPr>
          <w:rFonts w:ascii="Arial" w:hAnsi="Arial" w:cs="Arial"/>
        </w:rPr>
        <w:t xml:space="preserve">o previsto en los Artículos 49 </w:t>
      </w:r>
      <w:r w:rsidR="00743F14">
        <w:rPr>
          <w:rFonts w:ascii="Arial" w:hAnsi="Arial" w:cs="Arial"/>
        </w:rPr>
        <w:t>y siguientes del Decreto 500/91</w:t>
      </w:r>
      <w:r>
        <w:rPr>
          <w:rFonts w:ascii="Arial" w:hAnsi="Arial" w:cs="Arial"/>
        </w:rPr>
        <w:t xml:space="preserve">; </w:t>
      </w:r>
    </w:p>
    <w:p w:rsidR="00743F14" w:rsidRPr="008E7635" w:rsidRDefault="00333906" w:rsidP="008E7635">
      <w:pPr>
        <w:spacing w:line="360" w:lineRule="auto"/>
        <w:ind w:firstLine="2835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11</w:t>
      </w:r>
      <w:r w:rsidRPr="00333906">
        <w:rPr>
          <w:rFonts w:ascii="Arial" w:hAnsi="Arial" w:cs="Arial"/>
          <w:b/>
        </w:rPr>
        <w:t xml:space="preserve">) </w:t>
      </w:r>
      <w:r w:rsidRPr="00333906">
        <w:rPr>
          <w:rFonts w:ascii="Arial" w:hAnsi="Arial" w:cs="Arial"/>
        </w:rPr>
        <w:t>que</w:t>
      </w:r>
      <w:r>
        <w:rPr>
          <w:rFonts w:ascii="Arial" w:hAnsi="Arial" w:cs="Arial"/>
          <w:i/>
        </w:rPr>
        <w:t xml:space="preserve"> se </w:t>
      </w:r>
      <w:r w:rsidRPr="00333906">
        <w:rPr>
          <w:rFonts w:ascii="Arial" w:hAnsi="Arial" w:cs="Arial"/>
        </w:rPr>
        <w:t>adjunta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</w:t>
      </w:r>
      <w:r w:rsidR="00743F14" w:rsidRPr="008343BB">
        <w:rPr>
          <w:rFonts w:ascii="Arial" w:hAnsi="Arial" w:cs="Arial"/>
        </w:rPr>
        <w:t>ota de la Sección Inversiones  - Programación del MTOP, de fecha 25 de enero de 2</w:t>
      </w:r>
      <w:r w:rsidR="00743F14">
        <w:rPr>
          <w:rFonts w:ascii="Arial" w:hAnsi="Arial" w:cs="Arial"/>
        </w:rPr>
        <w:t>016, del que surge que la Concesión se ajusta en el marco del Artículo 2 de la Ley Nº 15.637, estableciendo como guarismos de contralor de la ecuación económico – financiera del último Acuerdo de fecha 22 de julio de 2014 entre el MTOP y la empresa adjudicataria , aprobado por el Poder Ejecutivo con fecha 3 de noviembre de 2014: una Tasa interna de Retorno equivalente al 6,74% y un Valor Presente de los Ingresos (VPI) de U$S 23:502.255, valor de extinción de la Concesión una vez alcanzado por la recaudación acumulable de peajes.</w:t>
      </w:r>
      <w:r>
        <w:rPr>
          <w:rFonts w:ascii="Arial" w:hAnsi="Arial" w:cs="Arial"/>
          <w:i/>
        </w:rPr>
        <w:t xml:space="preserve"> </w:t>
      </w:r>
      <w:r w:rsidR="00743F14">
        <w:rPr>
          <w:rFonts w:ascii="Arial" w:hAnsi="Arial" w:cs="Arial"/>
        </w:rPr>
        <w:t>En tal sentido la Concesión de Ruta 5 se presenta como subvencionada (costos compartidos) al existir subsidios pecuniarios y subsidios de materiales asfálticos, no existiendo canon para la Autoridad Concedente</w:t>
      </w:r>
      <w:r>
        <w:rPr>
          <w:rFonts w:ascii="Arial" w:hAnsi="Arial" w:cs="Arial"/>
        </w:rPr>
        <w:t xml:space="preserve">; </w:t>
      </w:r>
    </w:p>
    <w:p w:rsidR="008E7635" w:rsidRDefault="00333906" w:rsidP="008E7635">
      <w:pPr>
        <w:spacing w:line="360" w:lineRule="auto"/>
        <w:ind w:firstLine="851"/>
        <w:jc w:val="both"/>
        <w:rPr>
          <w:rFonts w:ascii="Arial" w:hAnsi="Arial" w:cs="Arial"/>
        </w:rPr>
      </w:pPr>
      <w:r w:rsidRPr="00333906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</w:t>
      </w:r>
      <w:r w:rsidR="00B576B7" w:rsidRPr="00B576B7">
        <w:rPr>
          <w:rFonts w:ascii="Arial" w:hAnsi="Arial" w:cs="Arial"/>
          <w:b/>
        </w:rPr>
        <w:t>1)</w:t>
      </w:r>
      <w:r w:rsidR="00B57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 corresponde </w:t>
      </w:r>
      <w:r w:rsidR="00743F14">
        <w:rPr>
          <w:rFonts w:ascii="Arial" w:hAnsi="Arial" w:cs="Arial"/>
        </w:rPr>
        <w:t xml:space="preserve">proceder conforme a lo informado por la Administración actuante, </w:t>
      </w:r>
      <w:r w:rsidR="007B2642">
        <w:rPr>
          <w:rFonts w:ascii="Arial" w:hAnsi="Arial" w:cs="Arial"/>
        </w:rPr>
        <w:t xml:space="preserve">en cuanto a </w:t>
      </w:r>
      <w:r w:rsidR="00743F14">
        <w:rPr>
          <w:rFonts w:ascii="Arial" w:hAnsi="Arial" w:cs="Arial"/>
        </w:rPr>
        <w:t>que</w:t>
      </w:r>
      <w:r w:rsidR="007B2642">
        <w:rPr>
          <w:rFonts w:ascii="Arial" w:hAnsi="Arial" w:cs="Arial"/>
        </w:rPr>
        <w:t>,</w:t>
      </w:r>
      <w:r w:rsidR="00743F14">
        <w:rPr>
          <w:rFonts w:ascii="Arial" w:hAnsi="Arial" w:cs="Arial"/>
        </w:rPr>
        <w:t xml:space="preserve"> al existir subsidios pecuniarios y subsidios de materiales asfálticos, no existi</w:t>
      </w:r>
      <w:r w:rsidR="003F2627">
        <w:rPr>
          <w:rFonts w:ascii="Arial" w:hAnsi="Arial" w:cs="Arial"/>
        </w:rPr>
        <w:t>ese</w:t>
      </w:r>
      <w:r w:rsidR="00743F14">
        <w:rPr>
          <w:rFonts w:ascii="Arial" w:hAnsi="Arial" w:cs="Arial"/>
        </w:rPr>
        <w:t xml:space="preserve"> canon para la Autoridad Concedente</w:t>
      </w:r>
      <w:r>
        <w:rPr>
          <w:rFonts w:ascii="Arial" w:hAnsi="Arial" w:cs="Arial"/>
        </w:rPr>
        <w:t xml:space="preserve">; </w:t>
      </w:r>
      <w:bookmarkStart w:id="0" w:name="_GoBack"/>
      <w:bookmarkEnd w:id="0"/>
    </w:p>
    <w:p w:rsidR="002F7EDE" w:rsidRPr="008E7635" w:rsidRDefault="00B576B7" w:rsidP="008E7635">
      <w:pPr>
        <w:spacing w:line="360" w:lineRule="auto"/>
        <w:ind w:firstLine="3119"/>
        <w:jc w:val="both"/>
        <w:rPr>
          <w:rFonts w:ascii="Arial" w:hAnsi="Arial" w:cs="Arial"/>
        </w:rPr>
      </w:pPr>
      <w:r w:rsidRPr="00B576B7">
        <w:rPr>
          <w:rFonts w:ascii="Arial" w:hAnsi="Arial" w:cs="Arial"/>
          <w:b/>
        </w:rPr>
        <w:t xml:space="preserve">2)  </w:t>
      </w:r>
      <w:r w:rsidRPr="009A115C">
        <w:rPr>
          <w:rFonts w:ascii="Arial" w:hAnsi="Arial" w:cs="Arial"/>
        </w:rPr>
        <w:t>que</w:t>
      </w:r>
      <w:r w:rsidR="007B2642">
        <w:rPr>
          <w:rFonts w:ascii="Arial" w:hAnsi="Arial" w:cs="Arial"/>
        </w:rPr>
        <w:t>,</w:t>
      </w:r>
      <w:r w:rsidRPr="009A115C">
        <w:rPr>
          <w:rFonts w:ascii="Arial" w:hAnsi="Arial" w:cs="Arial"/>
        </w:rPr>
        <w:t xml:space="preserve"> la </w:t>
      </w:r>
      <w:r w:rsidR="009A115C" w:rsidRPr="009A115C">
        <w:rPr>
          <w:rFonts w:ascii="Arial" w:hAnsi="Arial" w:cs="Arial"/>
        </w:rPr>
        <w:t xml:space="preserve">foliatura de las actuaciones en reiteradas ocasiones es inexistente, no correlativa y/o discontinua, incumpliendo con lo previsto en los Artículos 49 y siguientes del Decreto 500/91; </w:t>
      </w:r>
    </w:p>
    <w:p w:rsidR="002F7EDE" w:rsidRPr="00322E68" w:rsidRDefault="00B576B7" w:rsidP="00A6548F">
      <w:pPr>
        <w:pStyle w:val="Sangradetextonormal"/>
        <w:spacing w:after="0" w:line="360" w:lineRule="auto"/>
        <w:ind w:left="0" w:firstLine="851"/>
        <w:jc w:val="both"/>
        <w:rPr>
          <w:b/>
          <w:bCs/>
          <w:lang w:val="es-ES_tradnl"/>
        </w:rPr>
      </w:pPr>
      <w:r w:rsidRPr="00B576B7">
        <w:rPr>
          <w:rFonts w:ascii="Arial" w:hAnsi="Arial" w:cs="Arial"/>
          <w:b/>
          <w:bCs/>
          <w:spacing w:val="-3"/>
          <w:lang w:val="es-ES_tradnl"/>
        </w:rPr>
        <w:t>ATENTO</w:t>
      </w:r>
      <w:r w:rsidRPr="00B576B7">
        <w:rPr>
          <w:rFonts w:ascii="Arial" w:hAnsi="Arial" w:cs="Arial"/>
          <w:b/>
          <w:spacing w:val="-3"/>
          <w:lang w:val="es-ES_tradnl"/>
        </w:rPr>
        <w:t>:</w:t>
      </w:r>
      <w:r w:rsidRPr="00B576B7">
        <w:rPr>
          <w:rFonts w:ascii="Arial" w:hAnsi="Arial" w:cs="Arial"/>
          <w:spacing w:val="-3"/>
          <w:lang w:val="es-ES_tradnl"/>
        </w:rPr>
        <w:t xml:space="preserve"> a lo precedentemente expuesto </w:t>
      </w:r>
      <w:r w:rsidRPr="00B576B7">
        <w:rPr>
          <w:rFonts w:ascii="Arial" w:hAnsi="Arial" w:cs="Arial"/>
          <w:lang w:val="es-UY"/>
        </w:rPr>
        <w:t xml:space="preserve">y a lo establecido en el Artículo 211 </w:t>
      </w:r>
      <w:r w:rsidR="009C6A0D">
        <w:rPr>
          <w:rFonts w:ascii="Arial" w:hAnsi="Arial" w:cs="Arial"/>
          <w:lang w:val="es-UY"/>
        </w:rPr>
        <w:t>L</w:t>
      </w:r>
      <w:r w:rsidRPr="00B576B7">
        <w:rPr>
          <w:rFonts w:ascii="Arial" w:hAnsi="Arial" w:cs="Arial"/>
          <w:lang w:val="es-UY"/>
        </w:rPr>
        <w:t>iteral B) de la Constitución de la República;</w:t>
      </w:r>
    </w:p>
    <w:p w:rsidR="00B576B7" w:rsidRPr="00322E68" w:rsidRDefault="00B576B7" w:rsidP="00A6548F">
      <w:pPr>
        <w:pStyle w:val="Ttulo"/>
        <w:rPr>
          <w:u w:val="none"/>
          <w:lang w:val="es-ES_tradnl"/>
        </w:rPr>
      </w:pPr>
      <w:r w:rsidRPr="00322E68">
        <w:rPr>
          <w:u w:val="none"/>
          <w:lang w:val="es-ES_tradnl"/>
        </w:rPr>
        <w:t>EL TRIBUNAL ACUERDA</w:t>
      </w:r>
    </w:p>
    <w:p w:rsidR="00FA3B17" w:rsidRDefault="00B576B7" w:rsidP="00A6548F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Modificar parcialmente </w:t>
      </w:r>
      <w:r>
        <w:rPr>
          <w:rFonts w:ascii="Arial" w:hAnsi="Arial" w:cs="Arial"/>
        </w:rPr>
        <w:t>la Resolución dictada por este Tribunal</w:t>
      </w:r>
      <w:r w:rsidR="009C6A0D">
        <w:rPr>
          <w:rFonts w:ascii="Arial" w:hAnsi="Arial" w:cs="Arial"/>
        </w:rPr>
        <w:t xml:space="preserve"> de Cuentas</w:t>
      </w:r>
      <w:r>
        <w:rPr>
          <w:rFonts w:ascii="Arial" w:hAnsi="Arial" w:cs="Arial"/>
        </w:rPr>
        <w:t xml:space="preserve"> en Sesión de fecha 9 de julio de 2014, eliminándose de la misma el Considerando 2)</w:t>
      </w:r>
      <w:r w:rsidR="00A6548F">
        <w:rPr>
          <w:rFonts w:ascii="Arial" w:hAnsi="Arial" w:cs="Arial"/>
        </w:rPr>
        <w:t>;</w:t>
      </w:r>
    </w:p>
    <w:p w:rsidR="002F7EDE" w:rsidRDefault="002F7EDE" w:rsidP="00A6548F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Téngase presente lo señalado en el Considerando 2)</w:t>
      </w:r>
      <w:r w:rsidR="00EC098D">
        <w:rPr>
          <w:rFonts w:ascii="Arial" w:hAnsi="Arial" w:cs="Arial"/>
        </w:rPr>
        <w:t xml:space="preserve"> de la presente Resolución</w:t>
      </w:r>
      <w:r w:rsidR="00A6548F">
        <w:rPr>
          <w:rFonts w:ascii="Arial" w:hAnsi="Arial" w:cs="Arial"/>
        </w:rPr>
        <w:t>;</w:t>
      </w:r>
    </w:p>
    <w:p w:rsidR="002F7EDE" w:rsidRDefault="002F7EDE" w:rsidP="00A6548F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 la Contadora Auditora</w:t>
      </w:r>
      <w:r w:rsidR="00A6548F">
        <w:rPr>
          <w:rFonts w:ascii="Arial" w:hAnsi="Arial" w:cs="Arial"/>
        </w:rPr>
        <w:t>;</w:t>
      </w:r>
    </w:p>
    <w:p w:rsidR="00FA3B17" w:rsidRDefault="002F7EDE" w:rsidP="00A6548F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Devolver las actuaciones. </w:t>
      </w:r>
    </w:p>
    <w:p w:rsidR="00A6548F" w:rsidRDefault="00A6548F" w:rsidP="00A6548F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:rsidR="00A6548F" w:rsidRPr="00A6548F" w:rsidRDefault="00A6548F" w:rsidP="00A6548F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:rsidR="00FA3B17" w:rsidRDefault="00A6548F" w:rsidP="00A654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bf</w:t>
      </w:r>
    </w:p>
    <w:p w:rsidR="00FA3B17" w:rsidRDefault="00FA3B17" w:rsidP="00A6548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A3B17" w:rsidRDefault="00FA3B17" w:rsidP="008E7635">
      <w:pPr>
        <w:spacing w:line="360" w:lineRule="auto"/>
        <w:jc w:val="both"/>
        <w:rPr>
          <w:rFonts w:ascii="Arial" w:hAnsi="Arial" w:cs="Arial"/>
        </w:rPr>
      </w:pPr>
    </w:p>
    <w:sectPr w:rsidR="00FA3B17" w:rsidSect="003937BC">
      <w:footerReference w:type="default" r:id="rId9"/>
      <w:pgSz w:w="11906" w:h="16838" w:code="9"/>
      <w:pgMar w:top="340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EC" w:rsidRDefault="003878EC" w:rsidP="002009F4">
      <w:r>
        <w:separator/>
      </w:r>
    </w:p>
  </w:endnote>
  <w:endnote w:type="continuationSeparator" w:id="0">
    <w:p w:rsidR="003878EC" w:rsidRDefault="003878EC" w:rsidP="0020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B7" w:rsidRDefault="00B576B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937BC">
      <w:rPr>
        <w:noProof/>
      </w:rPr>
      <w:t>4</w:t>
    </w:r>
    <w:r>
      <w:fldChar w:fldCharType="end"/>
    </w:r>
  </w:p>
  <w:p w:rsidR="00B576B7" w:rsidRDefault="00B576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EC" w:rsidRDefault="003878EC" w:rsidP="002009F4">
      <w:r>
        <w:separator/>
      </w:r>
    </w:p>
  </w:footnote>
  <w:footnote w:type="continuationSeparator" w:id="0">
    <w:p w:rsidR="003878EC" w:rsidRDefault="003878EC" w:rsidP="0020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285"/>
    <w:multiLevelType w:val="hybridMultilevel"/>
    <w:tmpl w:val="BA96A6FA"/>
    <w:lvl w:ilvl="0" w:tplc="7586253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A28E3"/>
    <w:multiLevelType w:val="hybridMultilevel"/>
    <w:tmpl w:val="9056C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814B0"/>
    <w:multiLevelType w:val="hybridMultilevel"/>
    <w:tmpl w:val="9272A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C5C87"/>
    <w:multiLevelType w:val="hybridMultilevel"/>
    <w:tmpl w:val="4190C5EC"/>
    <w:lvl w:ilvl="0" w:tplc="58BA59B0">
      <w:start w:val="1"/>
      <w:numFmt w:val="upperRoman"/>
      <w:lvlText w:val="%1)"/>
      <w:lvlJc w:val="left"/>
      <w:pPr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D8B699D"/>
    <w:multiLevelType w:val="hybridMultilevel"/>
    <w:tmpl w:val="C1DCCE9A"/>
    <w:lvl w:ilvl="0" w:tplc="F08CD19A">
      <w:start w:val="1"/>
      <w:numFmt w:val="decimal"/>
      <w:lvlText w:val="%1)"/>
      <w:lvlJc w:val="left"/>
      <w:pPr>
        <w:ind w:left="21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">
    <w:nsid w:val="459811F7"/>
    <w:multiLevelType w:val="hybridMultilevel"/>
    <w:tmpl w:val="B3FAEA0C"/>
    <w:lvl w:ilvl="0" w:tplc="EC28384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DB4652"/>
    <w:multiLevelType w:val="hybridMultilevel"/>
    <w:tmpl w:val="9F5C294E"/>
    <w:lvl w:ilvl="0" w:tplc="EED28A00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5D6B1E57"/>
    <w:multiLevelType w:val="hybridMultilevel"/>
    <w:tmpl w:val="6F267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D1169"/>
    <w:multiLevelType w:val="hybridMultilevel"/>
    <w:tmpl w:val="734E1296"/>
    <w:lvl w:ilvl="0" w:tplc="B80C4DF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E804DE"/>
    <w:multiLevelType w:val="hybridMultilevel"/>
    <w:tmpl w:val="792864FC"/>
    <w:lvl w:ilvl="0" w:tplc="5AB0A50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27958CA"/>
    <w:multiLevelType w:val="hybridMultilevel"/>
    <w:tmpl w:val="09C2BF34"/>
    <w:lvl w:ilvl="0" w:tplc="7E3E98BC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29175A4"/>
    <w:multiLevelType w:val="hybridMultilevel"/>
    <w:tmpl w:val="4404A2C8"/>
    <w:lvl w:ilvl="0" w:tplc="937A159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704298E"/>
    <w:multiLevelType w:val="hybridMultilevel"/>
    <w:tmpl w:val="4C9682C2"/>
    <w:lvl w:ilvl="0" w:tplc="515A38B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3D"/>
    <w:rsid w:val="000415A9"/>
    <w:rsid w:val="00042530"/>
    <w:rsid w:val="00053248"/>
    <w:rsid w:val="00072271"/>
    <w:rsid w:val="000A7560"/>
    <w:rsid w:val="000B5632"/>
    <w:rsid w:val="00125917"/>
    <w:rsid w:val="00130E76"/>
    <w:rsid w:val="00142088"/>
    <w:rsid w:val="0017002D"/>
    <w:rsid w:val="00174905"/>
    <w:rsid w:val="001874A7"/>
    <w:rsid w:val="001B2E32"/>
    <w:rsid w:val="002009F4"/>
    <w:rsid w:val="0021183F"/>
    <w:rsid w:val="002555AE"/>
    <w:rsid w:val="0025742A"/>
    <w:rsid w:val="00263581"/>
    <w:rsid w:val="00266D6A"/>
    <w:rsid w:val="002676C7"/>
    <w:rsid w:val="00287C87"/>
    <w:rsid w:val="00293EBE"/>
    <w:rsid w:val="00294F8A"/>
    <w:rsid w:val="002A5428"/>
    <w:rsid w:val="002B6734"/>
    <w:rsid w:val="002E5195"/>
    <w:rsid w:val="002F7EDE"/>
    <w:rsid w:val="00302A29"/>
    <w:rsid w:val="003034E3"/>
    <w:rsid w:val="00333906"/>
    <w:rsid w:val="00340C01"/>
    <w:rsid w:val="00350B3C"/>
    <w:rsid w:val="00371E07"/>
    <w:rsid w:val="00382576"/>
    <w:rsid w:val="003878EC"/>
    <w:rsid w:val="003937BC"/>
    <w:rsid w:val="003A4AA6"/>
    <w:rsid w:val="003B7711"/>
    <w:rsid w:val="003C24B0"/>
    <w:rsid w:val="003C2E26"/>
    <w:rsid w:val="003D27D2"/>
    <w:rsid w:val="003D2C4E"/>
    <w:rsid w:val="003F17F8"/>
    <w:rsid w:val="003F2627"/>
    <w:rsid w:val="003F2A38"/>
    <w:rsid w:val="003F5EF9"/>
    <w:rsid w:val="00445A19"/>
    <w:rsid w:val="0046303C"/>
    <w:rsid w:val="00470F9F"/>
    <w:rsid w:val="00485435"/>
    <w:rsid w:val="00495C9C"/>
    <w:rsid w:val="004E29F3"/>
    <w:rsid w:val="004F488F"/>
    <w:rsid w:val="004F50C9"/>
    <w:rsid w:val="005161AB"/>
    <w:rsid w:val="00531B3B"/>
    <w:rsid w:val="00540DCE"/>
    <w:rsid w:val="0055525A"/>
    <w:rsid w:val="0055687A"/>
    <w:rsid w:val="005634AB"/>
    <w:rsid w:val="00573D23"/>
    <w:rsid w:val="005953E5"/>
    <w:rsid w:val="005B5838"/>
    <w:rsid w:val="005D6D5B"/>
    <w:rsid w:val="005E3E60"/>
    <w:rsid w:val="00611320"/>
    <w:rsid w:val="00622504"/>
    <w:rsid w:val="006472F0"/>
    <w:rsid w:val="00655BB8"/>
    <w:rsid w:val="0068198F"/>
    <w:rsid w:val="00683BD9"/>
    <w:rsid w:val="00684CB2"/>
    <w:rsid w:val="006A04EE"/>
    <w:rsid w:val="006C79E8"/>
    <w:rsid w:val="006D066C"/>
    <w:rsid w:val="006D7FA6"/>
    <w:rsid w:val="007045F1"/>
    <w:rsid w:val="0070591A"/>
    <w:rsid w:val="007115FF"/>
    <w:rsid w:val="007177D6"/>
    <w:rsid w:val="007226D6"/>
    <w:rsid w:val="007227CE"/>
    <w:rsid w:val="00743F14"/>
    <w:rsid w:val="00744686"/>
    <w:rsid w:val="00751AA7"/>
    <w:rsid w:val="007575FE"/>
    <w:rsid w:val="00761DC5"/>
    <w:rsid w:val="00766A43"/>
    <w:rsid w:val="007753CE"/>
    <w:rsid w:val="007B2642"/>
    <w:rsid w:val="007B5A85"/>
    <w:rsid w:val="007F454E"/>
    <w:rsid w:val="008170CF"/>
    <w:rsid w:val="008343BB"/>
    <w:rsid w:val="00841AD4"/>
    <w:rsid w:val="00845578"/>
    <w:rsid w:val="00876F4E"/>
    <w:rsid w:val="008C3963"/>
    <w:rsid w:val="008E0130"/>
    <w:rsid w:val="008E2199"/>
    <w:rsid w:val="008E2746"/>
    <w:rsid w:val="008E7635"/>
    <w:rsid w:val="00922D51"/>
    <w:rsid w:val="00933954"/>
    <w:rsid w:val="00940570"/>
    <w:rsid w:val="0094787E"/>
    <w:rsid w:val="00962FC1"/>
    <w:rsid w:val="00972B3A"/>
    <w:rsid w:val="00973DE7"/>
    <w:rsid w:val="0098304A"/>
    <w:rsid w:val="009A115C"/>
    <w:rsid w:val="009A262B"/>
    <w:rsid w:val="009B5618"/>
    <w:rsid w:val="009C6A0D"/>
    <w:rsid w:val="009E2BC3"/>
    <w:rsid w:val="00A24584"/>
    <w:rsid w:val="00A31B54"/>
    <w:rsid w:val="00A56AA0"/>
    <w:rsid w:val="00A6548F"/>
    <w:rsid w:val="00A87DEF"/>
    <w:rsid w:val="00A936FA"/>
    <w:rsid w:val="00AA1805"/>
    <w:rsid w:val="00AE7226"/>
    <w:rsid w:val="00AF1131"/>
    <w:rsid w:val="00B04C91"/>
    <w:rsid w:val="00B24272"/>
    <w:rsid w:val="00B265B9"/>
    <w:rsid w:val="00B576B7"/>
    <w:rsid w:val="00B66E02"/>
    <w:rsid w:val="00B85BBF"/>
    <w:rsid w:val="00BC3262"/>
    <w:rsid w:val="00C04D3C"/>
    <w:rsid w:val="00C47CF3"/>
    <w:rsid w:val="00C912A7"/>
    <w:rsid w:val="00CA4E21"/>
    <w:rsid w:val="00CA5C04"/>
    <w:rsid w:val="00CB0044"/>
    <w:rsid w:val="00CB25D5"/>
    <w:rsid w:val="00CD1886"/>
    <w:rsid w:val="00CE14A9"/>
    <w:rsid w:val="00CF558A"/>
    <w:rsid w:val="00D01002"/>
    <w:rsid w:val="00D25C76"/>
    <w:rsid w:val="00D3102F"/>
    <w:rsid w:val="00D31E9A"/>
    <w:rsid w:val="00D5795A"/>
    <w:rsid w:val="00D75401"/>
    <w:rsid w:val="00D761A2"/>
    <w:rsid w:val="00D843F5"/>
    <w:rsid w:val="00D917BE"/>
    <w:rsid w:val="00DA0906"/>
    <w:rsid w:val="00DE2830"/>
    <w:rsid w:val="00DF6353"/>
    <w:rsid w:val="00E7363D"/>
    <w:rsid w:val="00E86868"/>
    <w:rsid w:val="00E90A50"/>
    <w:rsid w:val="00EB3F6B"/>
    <w:rsid w:val="00EC098D"/>
    <w:rsid w:val="00EC1A68"/>
    <w:rsid w:val="00ED5522"/>
    <w:rsid w:val="00F00678"/>
    <w:rsid w:val="00F318A1"/>
    <w:rsid w:val="00F337E2"/>
    <w:rsid w:val="00F6265F"/>
    <w:rsid w:val="00F73935"/>
    <w:rsid w:val="00F7740F"/>
    <w:rsid w:val="00F85EA8"/>
    <w:rsid w:val="00F90E74"/>
    <w:rsid w:val="00F91622"/>
    <w:rsid w:val="00FA3B17"/>
    <w:rsid w:val="00FB461D"/>
    <w:rsid w:val="00FC7E28"/>
    <w:rsid w:val="00FD164D"/>
    <w:rsid w:val="00FE20A2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9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E5195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2E5195"/>
    <w:pPr>
      <w:keepNext/>
      <w:jc w:val="right"/>
      <w:outlineLvl w:val="2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E5195"/>
    <w:rPr>
      <w:rFonts w:ascii="Bookman Old Style" w:hAnsi="Bookman Old Style" w:cs="Times New Roman"/>
      <w:b/>
      <w:color w:val="000000"/>
      <w:sz w:val="20"/>
      <w:szCs w:val="20"/>
      <w:lang w:val="es-ES_tradnl" w:eastAsia="es-ES"/>
    </w:rPr>
  </w:style>
  <w:style w:type="character" w:customStyle="1" w:styleId="Ttulo3Car">
    <w:name w:val="Título 3 Car"/>
    <w:link w:val="Ttulo3"/>
    <w:uiPriority w:val="99"/>
    <w:locked/>
    <w:rsid w:val="002E5195"/>
    <w:rPr>
      <w:rFonts w:ascii="Arial" w:hAnsi="Arial" w:cs="Times New Roman"/>
      <w:b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2E5195"/>
    <w:pPr>
      <w:spacing w:line="360" w:lineRule="auto"/>
    </w:pPr>
    <w:rPr>
      <w:rFonts w:ascii="Arial" w:hAnsi="Arial"/>
      <w:b/>
      <w:bCs/>
      <w:lang w:val="es-ES_tradnl"/>
    </w:rPr>
  </w:style>
  <w:style w:type="character" w:customStyle="1" w:styleId="TextoindependienteCar">
    <w:name w:val="Texto independiente Car"/>
    <w:link w:val="Textoindependiente"/>
    <w:uiPriority w:val="99"/>
    <w:locked/>
    <w:rsid w:val="002E5195"/>
    <w:rPr>
      <w:rFonts w:ascii="Arial" w:hAnsi="Arial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5634AB"/>
    <w:pPr>
      <w:ind w:left="720"/>
      <w:contextualSpacing/>
    </w:pPr>
  </w:style>
  <w:style w:type="paragraph" w:styleId="Ttulo">
    <w:name w:val="Title"/>
    <w:basedOn w:val="Normal"/>
    <w:link w:val="TtuloCar"/>
    <w:qFormat/>
    <w:rsid w:val="00FE20A2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link w:val="Ttulo"/>
    <w:locked/>
    <w:rsid w:val="00FE20A2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2009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2009F4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009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2009F4"/>
    <w:rPr>
      <w:rFonts w:ascii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576B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576B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9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E5195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2E5195"/>
    <w:pPr>
      <w:keepNext/>
      <w:jc w:val="right"/>
      <w:outlineLvl w:val="2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E5195"/>
    <w:rPr>
      <w:rFonts w:ascii="Bookman Old Style" w:hAnsi="Bookman Old Style" w:cs="Times New Roman"/>
      <w:b/>
      <w:color w:val="000000"/>
      <w:sz w:val="20"/>
      <w:szCs w:val="20"/>
      <w:lang w:val="es-ES_tradnl" w:eastAsia="es-ES"/>
    </w:rPr>
  </w:style>
  <w:style w:type="character" w:customStyle="1" w:styleId="Ttulo3Car">
    <w:name w:val="Título 3 Car"/>
    <w:link w:val="Ttulo3"/>
    <w:uiPriority w:val="99"/>
    <w:locked/>
    <w:rsid w:val="002E5195"/>
    <w:rPr>
      <w:rFonts w:ascii="Arial" w:hAnsi="Arial" w:cs="Times New Roman"/>
      <w:b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2E5195"/>
    <w:pPr>
      <w:spacing w:line="360" w:lineRule="auto"/>
    </w:pPr>
    <w:rPr>
      <w:rFonts w:ascii="Arial" w:hAnsi="Arial"/>
      <w:b/>
      <w:bCs/>
      <w:lang w:val="es-ES_tradnl"/>
    </w:rPr>
  </w:style>
  <w:style w:type="character" w:customStyle="1" w:styleId="TextoindependienteCar">
    <w:name w:val="Texto independiente Car"/>
    <w:link w:val="Textoindependiente"/>
    <w:uiPriority w:val="99"/>
    <w:locked/>
    <w:rsid w:val="002E5195"/>
    <w:rPr>
      <w:rFonts w:ascii="Arial" w:hAnsi="Arial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5634AB"/>
    <w:pPr>
      <w:ind w:left="720"/>
      <w:contextualSpacing/>
    </w:pPr>
  </w:style>
  <w:style w:type="paragraph" w:styleId="Ttulo">
    <w:name w:val="Title"/>
    <w:basedOn w:val="Normal"/>
    <w:link w:val="TtuloCar"/>
    <w:qFormat/>
    <w:rsid w:val="00FE20A2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link w:val="Ttulo"/>
    <w:locked/>
    <w:rsid w:val="00FE20A2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2009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2009F4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009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2009F4"/>
    <w:rPr>
      <w:rFonts w:ascii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576B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576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2858-6C34-4C35-990E-6EAE53AE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BEATRIZ FERNANDEZ</cp:lastModifiedBy>
  <cp:revision>6</cp:revision>
  <cp:lastPrinted>2016-05-17T17:32:00Z</cp:lastPrinted>
  <dcterms:created xsi:type="dcterms:W3CDTF">2016-05-17T16:38:00Z</dcterms:created>
  <dcterms:modified xsi:type="dcterms:W3CDTF">2016-05-17T17:33:00Z</dcterms:modified>
</cp:coreProperties>
</file>