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083442" w14:textId="7019F3CD" w:rsidR="006C1E7A" w:rsidRPr="00786EEB" w:rsidRDefault="006C1E7A" w:rsidP="00786EEB">
      <w:pPr>
        <w:tabs>
          <w:tab w:val="center" w:pos="4253"/>
        </w:tabs>
        <w:suppressAutoHyphens/>
        <w:jc w:val="right"/>
        <w:rPr>
          <w:rFonts w:ascii="Arial" w:hAnsi="Arial" w:cs="Arial"/>
          <w:b/>
          <w:sz w:val="28"/>
          <w:szCs w:val="28"/>
          <w:lang w:val="es-ES_tradnl"/>
        </w:rPr>
      </w:pPr>
      <w:bookmarkStart w:id="0" w:name="_GoBack"/>
      <w:bookmarkEnd w:id="0"/>
      <w:r w:rsidRPr="00786EEB">
        <w:rPr>
          <w:rFonts w:ascii="Arial" w:hAnsi="Arial" w:cs="Arial"/>
          <w:b/>
          <w:sz w:val="28"/>
          <w:szCs w:val="28"/>
          <w:lang w:val="es-ES_tradnl"/>
        </w:rPr>
        <w:t xml:space="preserve">RES. </w:t>
      </w:r>
      <w:r>
        <w:rPr>
          <w:rFonts w:ascii="Arial" w:hAnsi="Arial" w:cs="Arial"/>
          <w:b/>
          <w:sz w:val="28"/>
          <w:szCs w:val="28"/>
          <w:lang w:val="es-ES_tradnl"/>
        </w:rPr>
        <w:t>1463</w:t>
      </w:r>
      <w:r w:rsidRPr="00786EEB">
        <w:rPr>
          <w:rFonts w:ascii="Arial" w:hAnsi="Arial" w:cs="Arial"/>
          <w:b/>
          <w:sz w:val="28"/>
          <w:szCs w:val="28"/>
          <w:lang w:val="es-ES_tradnl"/>
        </w:rPr>
        <w:t>/16</w:t>
      </w:r>
    </w:p>
    <w:p w14:paraId="14C99A07" w14:textId="77777777" w:rsidR="006C1E7A" w:rsidRDefault="006C1E7A" w:rsidP="00786EEB">
      <w:pPr>
        <w:tabs>
          <w:tab w:val="center" w:pos="4253"/>
        </w:tabs>
        <w:suppressAutoHyphens/>
        <w:jc w:val="right"/>
        <w:rPr>
          <w:rFonts w:ascii="Arial" w:hAnsi="Arial" w:cs="Arial"/>
          <w:b/>
          <w:lang w:val="es-ES_tradnl"/>
        </w:rPr>
      </w:pPr>
    </w:p>
    <w:p w14:paraId="1526AE0D" w14:textId="77777777" w:rsidR="006C1E7A" w:rsidRPr="006C1E7A" w:rsidRDefault="006C1E7A" w:rsidP="006C1E7A">
      <w:pPr>
        <w:tabs>
          <w:tab w:val="center" w:pos="4253"/>
        </w:tabs>
        <w:suppressAutoHyphens/>
        <w:spacing w:after="0" w:line="240" w:lineRule="auto"/>
        <w:jc w:val="center"/>
        <w:rPr>
          <w:rFonts w:ascii="Arial" w:hAnsi="Arial" w:cs="Arial"/>
          <w:b/>
          <w:sz w:val="24"/>
          <w:szCs w:val="24"/>
          <w:lang w:val="es-ES_tradnl"/>
        </w:rPr>
      </w:pPr>
      <w:r w:rsidRPr="006C1E7A">
        <w:rPr>
          <w:rFonts w:ascii="Arial" w:hAnsi="Arial" w:cs="Arial"/>
          <w:b/>
          <w:sz w:val="24"/>
          <w:szCs w:val="24"/>
          <w:lang w:val="es-ES_tradnl"/>
        </w:rPr>
        <w:t>RESOLUCION ADOPTADA POR EL</w:t>
      </w:r>
    </w:p>
    <w:p w14:paraId="07EFE259" w14:textId="77777777" w:rsidR="006C1E7A" w:rsidRPr="006C1E7A" w:rsidRDefault="006C1E7A" w:rsidP="006C1E7A">
      <w:pPr>
        <w:tabs>
          <w:tab w:val="left" w:pos="-720"/>
        </w:tabs>
        <w:suppressAutoHyphens/>
        <w:spacing w:after="0" w:line="240" w:lineRule="auto"/>
        <w:jc w:val="center"/>
        <w:rPr>
          <w:rFonts w:ascii="Arial" w:hAnsi="Arial" w:cs="Arial"/>
          <w:b/>
          <w:sz w:val="24"/>
          <w:szCs w:val="24"/>
          <w:lang w:val="es-ES_tradnl"/>
        </w:rPr>
      </w:pPr>
    </w:p>
    <w:p w14:paraId="18CB1799" w14:textId="77777777" w:rsidR="006C1E7A" w:rsidRPr="006C1E7A" w:rsidRDefault="006C1E7A" w:rsidP="006C1E7A">
      <w:pPr>
        <w:tabs>
          <w:tab w:val="center" w:pos="4253"/>
        </w:tabs>
        <w:suppressAutoHyphens/>
        <w:spacing w:after="0" w:line="240" w:lineRule="auto"/>
        <w:jc w:val="center"/>
        <w:rPr>
          <w:rFonts w:ascii="Arial" w:hAnsi="Arial" w:cs="Arial"/>
          <w:b/>
          <w:sz w:val="24"/>
          <w:szCs w:val="24"/>
          <w:lang w:val="es-ES_tradnl"/>
        </w:rPr>
      </w:pPr>
      <w:r w:rsidRPr="006C1E7A">
        <w:rPr>
          <w:rFonts w:ascii="Arial" w:hAnsi="Arial" w:cs="Arial"/>
          <w:b/>
          <w:sz w:val="24"/>
          <w:szCs w:val="24"/>
          <w:lang w:val="es-ES_tradnl"/>
        </w:rPr>
        <w:t>TRIBUNAL DE CUENTAS</w:t>
      </w:r>
    </w:p>
    <w:p w14:paraId="425502F4" w14:textId="77777777" w:rsidR="006C1E7A" w:rsidRPr="006C1E7A" w:rsidRDefault="006C1E7A" w:rsidP="006C1E7A">
      <w:pPr>
        <w:tabs>
          <w:tab w:val="left" w:pos="-720"/>
        </w:tabs>
        <w:suppressAutoHyphens/>
        <w:spacing w:after="0" w:line="240" w:lineRule="auto"/>
        <w:jc w:val="center"/>
        <w:rPr>
          <w:rFonts w:ascii="Arial" w:hAnsi="Arial" w:cs="Arial"/>
          <w:b/>
          <w:sz w:val="24"/>
          <w:szCs w:val="24"/>
          <w:lang w:val="es-ES_tradnl"/>
        </w:rPr>
      </w:pPr>
    </w:p>
    <w:p w14:paraId="525F1139" w14:textId="77777777" w:rsidR="006C1E7A" w:rsidRPr="006C1E7A" w:rsidRDefault="006C1E7A" w:rsidP="006C1E7A">
      <w:pPr>
        <w:tabs>
          <w:tab w:val="center" w:pos="4253"/>
        </w:tabs>
        <w:suppressAutoHyphens/>
        <w:spacing w:after="0" w:line="240" w:lineRule="auto"/>
        <w:jc w:val="center"/>
        <w:rPr>
          <w:rFonts w:ascii="Arial" w:hAnsi="Arial" w:cs="Arial"/>
          <w:b/>
          <w:sz w:val="24"/>
          <w:szCs w:val="24"/>
          <w:lang w:val="es-ES_tradnl"/>
        </w:rPr>
      </w:pPr>
      <w:r w:rsidRPr="006C1E7A">
        <w:rPr>
          <w:rFonts w:ascii="Arial" w:hAnsi="Arial" w:cs="Arial"/>
          <w:b/>
          <w:sz w:val="24"/>
          <w:szCs w:val="24"/>
          <w:lang w:val="es-ES_tradnl"/>
        </w:rPr>
        <w:t xml:space="preserve">EN SESION DE FECHA </w:t>
      </w:r>
      <w:r w:rsidRPr="006C1E7A">
        <w:rPr>
          <w:rFonts w:ascii="Helvetica" w:hAnsi="Helvetica"/>
          <w:b/>
          <w:sz w:val="24"/>
          <w:szCs w:val="24"/>
          <w:lang w:val="es-ES_tradnl"/>
        </w:rPr>
        <w:t>27 DE ABRIL DE 2016</w:t>
      </w:r>
    </w:p>
    <w:p w14:paraId="24249598" w14:textId="77777777" w:rsidR="006C1E7A" w:rsidRPr="006C1E7A" w:rsidRDefault="006C1E7A" w:rsidP="006C1E7A">
      <w:pPr>
        <w:tabs>
          <w:tab w:val="center" w:pos="4253"/>
        </w:tabs>
        <w:suppressAutoHyphens/>
        <w:spacing w:after="0" w:line="240" w:lineRule="auto"/>
        <w:jc w:val="center"/>
        <w:rPr>
          <w:rFonts w:ascii="Arial" w:hAnsi="Arial" w:cs="Arial"/>
          <w:b/>
          <w:sz w:val="24"/>
          <w:szCs w:val="24"/>
          <w:lang w:val="es-ES_tradnl"/>
        </w:rPr>
      </w:pPr>
    </w:p>
    <w:p w14:paraId="2A8BB28D" w14:textId="15B8A458" w:rsidR="006C1E7A" w:rsidRPr="006C1E7A" w:rsidRDefault="006C1E7A" w:rsidP="006C1E7A">
      <w:pPr>
        <w:tabs>
          <w:tab w:val="center" w:pos="4253"/>
        </w:tabs>
        <w:suppressAutoHyphens/>
        <w:spacing w:after="0" w:line="240" w:lineRule="auto"/>
        <w:jc w:val="center"/>
        <w:rPr>
          <w:rFonts w:ascii="Arial" w:hAnsi="Arial" w:cs="Arial"/>
          <w:b/>
          <w:sz w:val="24"/>
          <w:szCs w:val="24"/>
          <w:lang w:val="es-AR"/>
        </w:rPr>
      </w:pPr>
      <w:r w:rsidRPr="006C1E7A">
        <w:rPr>
          <w:rFonts w:ascii="Arial" w:hAnsi="Arial" w:cs="Arial"/>
          <w:b/>
          <w:sz w:val="24"/>
          <w:szCs w:val="24"/>
          <w:lang w:val="es-AR"/>
        </w:rPr>
        <w:t xml:space="preserve">(E. E. Nº 2016-17-1-0001638, </w:t>
      </w:r>
      <w:proofErr w:type="spellStart"/>
      <w:r w:rsidRPr="006C1E7A">
        <w:rPr>
          <w:rFonts w:ascii="Arial" w:hAnsi="Arial" w:cs="Arial"/>
          <w:b/>
          <w:sz w:val="24"/>
          <w:szCs w:val="24"/>
          <w:lang w:val="es-AR"/>
        </w:rPr>
        <w:t>Ent</w:t>
      </w:r>
      <w:proofErr w:type="spellEnd"/>
      <w:r w:rsidRPr="006C1E7A">
        <w:rPr>
          <w:rFonts w:ascii="Arial" w:hAnsi="Arial" w:cs="Arial"/>
          <w:b/>
          <w:sz w:val="24"/>
          <w:szCs w:val="24"/>
          <w:lang w:val="es-AR"/>
        </w:rPr>
        <w:t>. i</w:t>
      </w:r>
      <w:r>
        <w:rPr>
          <w:rFonts w:ascii="Arial" w:hAnsi="Arial" w:cs="Arial"/>
          <w:b/>
          <w:sz w:val="24"/>
          <w:szCs w:val="24"/>
          <w:lang w:val="es-AR"/>
        </w:rPr>
        <w:t>niciada</w:t>
      </w:r>
      <w:r w:rsidRPr="006C1E7A">
        <w:rPr>
          <w:rFonts w:ascii="Arial" w:hAnsi="Arial" w:cs="Arial"/>
          <w:b/>
          <w:sz w:val="24"/>
          <w:szCs w:val="24"/>
          <w:lang w:val="es-AR"/>
        </w:rPr>
        <w:t>)</w:t>
      </w:r>
    </w:p>
    <w:p w14:paraId="4C4D85E4" w14:textId="77777777" w:rsidR="006C1E7A" w:rsidRPr="006C1E7A" w:rsidRDefault="006C1E7A">
      <w:pPr>
        <w:tabs>
          <w:tab w:val="center" w:pos="4253"/>
        </w:tabs>
        <w:suppressAutoHyphens/>
        <w:jc w:val="center"/>
        <w:rPr>
          <w:rFonts w:ascii="Helvetica" w:hAnsi="Helvetica"/>
          <w:b/>
          <w:lang w:val="es-AR"/>
        </w:rPr>
      </w:pPr>
    </w:p>
    <w:p w14:paraId="167AA5B9" w14:textId="6140B37C" w:rsidR="0019604C" w:rsidRDefault="004119F3" w:rsidP="0019604C">
      <w:pPr>
        <w:pStyle w:val="Textoindependiente"/>
        <w:spacing w:after="0" w:line="360" w:lineRule="auto"/>
        <w:ind w:firstLine="851"/>
        <w:jc w:val="both"/>
        <w:rPr>
          <w:rFonts w:ascii="Arial" w:hAnsi="Arial" w:cs="Arial"/>
          <w:sz w:val="24"/>
          <w:szCs w:val="24"/>
        </w:rPr>
      </w:pPr>
      <w:r w:rsidRPr="002C2A82">
        <w:rPr>
          <w:rFonts w:ascii="Arial" w:hAnsi="Arial" w:cs="Arial"/>
          <w:b/>
          <w:sz w:val="24"/>
          <w:szCs w:val="24"/>
        </w:rPr>
        <w:t>VISTO</w:t>
      </w:r>
      <w:r w:rsidR="002C2A82">
        <w:rPr>
          <w:rFonts w:ascii="Arial" w:hAnsi="Arial" w:cs="Arial"/>
          <w:b/>
          <w:sz w:val="24"/>
          <w:szCs w:val="24"/>
        </w:rPr>
        <w:t>:</w:t>
      </w:r>
      <w:r w:rsidRPr="004F177C">
        <w:rPr>
          <w:rFonts w:ascii="Arial" w:hAnsi="Arial" w:cs="Arial"/>
          <w:sz w:val="24"/>
          <w:szCs w:val="24"/>
        </w:rPr>
        <w:t xml:space="preserve"> </w:t>
      </w:r>
      <w:r w:rsidR="000A2A9F" w:rsidRPr="004F177C">
        <w:rPr>
          <w:rFonts w:ascii="Arial" w:hAnsi="Arial" w:cs="Arial"/>
          <w:sz w:val="24"/>
          <w:szCs w:val="24"/>
        </w:rPr>
        <w:t>los hechos constatados por este Tribunal respecto</w:t>
      </w:r>
      <w:r w:rsidRPr="004F177C">
        <w:rPr>
          <w:rFonts w:ascii="Arial" w:hAnsi="Arial" w:cs="Arial"/>
          <w:sz w:val="24"/>
          <w:szCs w:val="24"/>
        </w:rPr>
        <w:t xml:space="preserve"> a la publicación, </w:t>
      </w:r>
      <w:r w:rsidR="00316EF9">
        <w:rPr>
          <w:rFonts w:ascii="Arial" w:hAnsi="Arial" w:cs="Arial"/>
          <w:sz w:val="24"/>
          <w:szCs w:val="24"/>
        </w:rPr>
        <w:t>en el sitio web de</w:t>
      </w:r>
      <w:r w:rsidR="0019604C">
        <w:rPr>
          <w:rFonts w:ascii="Arial" w:hAnsi="Arial" w:cs="Arial"/>
          <w:sz w:val="24"/>
          <w:szCs w:val="24"/>
        </w:rPr>
        <w:t xml:space="preserve"> la Administración Nacional de Combustibles, Alcohol y Portland</w:t>
      </w:r>
      <w:r w:rsidR="000A2A9F" w:rsidRPr="004F177C">
        <w:rPr>
          <w:rFonts w:ascii="Arial" w:hAnsi="Arial" w:cs="Arial"/>
          <w:sz w:val="24"/>
          <w:szCs w:val="24"/>
        </w:rPr>
        <w:t>,</w:t>
      </w:r>
      <w:r w:rsidR="00BD65F1">
        <w:rPr>
          <w:rFonts w:ascii="Arial" w:hAnsi="Arial" w:cs="Arial"/>
          <w:sz w:val="24"/>
          <w:szCs w:val="24"/>
        </w:rPr>
        <w:t xml:space="preserve"> de </w:t>
      </w:r>
      <w:r w:rsidR="00316EF9">
        <w:rPr>
          <w:rFonts w:ascii="Arial" w:hAnsi="Arial" w:cs="Arial"/>
          <w:sz w:val="24"/>
          <w:szCs w:val="24"/>
        </w:rPr>
        <w:t>dos</w:t>
      </w:r>
      <w:r w:rsidR="00BD65F1">
        <w:rPr>
          <w:rFonts w:ascii="Arial" w:hAnsi="Arial" w:cs="Arial"/>
          <w:sz w:val="24"/>
          <w:szCs w:val="24"/>
        </w:rPr>
        <w:t xml:space="preserve"> estados financieros</w:t>
      </w:r>
      <w:r w:rsidR="00316EF9">
        <w:rPr>
          <w:rFonts w:ascii="Arial" w:hAnsi="Arial" w:cs="Arial"/>
          <w:sz w:val="24"/>
          <w:szCs w:val="24"/>
        </w:rPr>
        <w:t xml:space="preserve"> con</w:t>
      </w:r>
      <w:r w:rsidR="0019604C">
        <w:rPr>
          <w:rFonts w:ascii="Arial" w:hAnsi="Arial" w:cs="Arial"/>
          <w:sz w:val="24"/>
          <w:szCs w:val="24"/>
        </w:rPr>
        <w:t xml:space="preserve"> resultados diferentes para el E</w:t>
      </w:r>
      <w:r w:rsidR="00316EF9">
        <w:rPr>
          <w:rFonts w:ascii="Arial" w:hAnsi="Arial" w:cs="Arial"/>
          <w:sz w:val="24"/>
          <w:szCs w:val="24"/>
        </w:rPr>
        <w:t>jercicio 2013</w:t>
      </w:r>
      <w:r w:rsidR="00BD65F1">
        <w:rPr>
          <w:rFonts w:ascii="Arial" w:hAnsi="Arial" w:cs="Arial"/>
          <w:sz w:val="24"/>
          <w:szCs w:val="24"/>
        </w:rPr>
        <w:t>;</w:t>
      </w:r>
    </w:p>
    <w:p w14:paraId="516AA2E3" w14:textId="77777777" w:rsidR="0019604C" w:rsidRDefault="004119F3" w:rsidP="0019604C">
      <w:pPr>
        <w:pStyle w:val="Textoindependiente"/>
        <w:spacing w:after="0" w:line="360" w:lineRule="auto"/>
        <w:ind w:firstLine="851"/>
        <w:jc w:val="both"/>
        <w:rPr>
          <w:rFonts w:ascii="Arial" w:hAnsi="Arial" w:cs="Arial"/>
          <w:sz w:val="24"/>
          <w:szCs w:val="24"/>
        </w:rPr>
      </w:pPr>
      <w:r w:rsidRPr="002C2A82">
        <w:rPr>
          <w:rFonts w:ascii="Arial" w:hAnsi="Arial" w:cs="Arial"/>
          <w:b/>
          <w:sz w:val="24"/>
          <w:szCs w:val="24"/>
        </w:rPr>
        <w:t>RESULTANDO:</w:t>
      </w:r>
      <w:r w:rsidR="0019604C">
        <w:rPr>
          <w:rFonts w:ascii="Arial" w:hAnsi="Arial" w:cs="Arial"/>
          <w:sz w:val="24"/>
          <w:szCs w:val="24"/>
        </w:rPr>
        <w:t xml:space="preserve"> </w:t>
      </w:r>
      <w:r w:rsidRPr="0019604C">
        <w:rPr>
          <w:rFonts w:ascii="Arial" w:hAnsi="Arial" w:cs="Arial"/>
          <w:b/>
          <w:sz w:val="24"/>
          <w:szCs w:val="24"/>
        </w:rPr>
        <w:t>1)</w:t>
      </w:r>
      <w:r w:rsidR="0019604C">
        <w:rPr>
          <w:rFonts w:ascii="Arial" w:hAnsi="Arial" w:cs="Arial"/>
          <w:sz w:val="24"/>
          <w:szCs w:val="24"/>
        </w:rPr>
        <w:t xml:space="preserve"> que, de acuerdo con</w:t>
      </w:r>
      <w:r w:rsidRPr="004F177C">
        <w:rPr>
          <w:rFonts w:ascii="Arial" w:hAnsi="Arial" w:cs="Arial"/>
          <w:sz w:val="24"/>
          <w:szCs w:val="24"/>
        </w:rPr>
        <w:t xml:space="preserve"> la información suministrada por el Gerente de Relaciones Institucionales y Comunidad de ANCAP</w:t>
      </w:r>
      <w:r w:rsidR="000A2A9F" w:rsidRPr="004F177C">
        <w:rPr>
          <w:rFonts w:ascii="Arial" w:hAnsi="Arial" w:cs="Arial"/>
          <w:sz w:val="24"/>
          <w:szCs w:val="24"/>
        </w:rPr>
        <w:t xml:space="preserve"> el  5 de abril de 2016</w:t>
      </w:r>
      <w:r w:rsidRPr="004F177C">
        <w:rPr>
          <w:rFonts w:ascii="Arial" w:hAnsi="Arial" w:cs="Arial"/>
          <w:sz w:val="24"/>
          <w:szCs w:val="24"/>
        </w:rPr>
        <w:t>, los últimos balances publicados en dos diarios de circulación nacional fueron los del año 2009;</w:t>
      </w:r>
    </w:p>
    <w:p w14:paraId="2E82A2DD" w14:textId="661F4A03" w:rsidR="0019604C" w:rsidRDefault="00A36EEE" w:rsidP="00A36EEE">
      <w:pPr>
        <w:pStyle w:val="Textoindependiente"/>
        <w:spacing w:after="0" w:line="360" w:lineRule="auto"/>
        <w:ind w:firstLine="2694"/>
        <w:jc w:val="both"/>
        <w:rPr>
          <w:rFonts w:ascii="Arial" w:hAnsi="Arial" w:cs="Arial"/>
          <w:sz w:val="24"/>
          <w:szCs w:val="24"/>
        </w:rPr>
      </w:pPr>
      <w:r>
        <w:rPr>
          <w:rFonts w:ascii="Arial" w:hAnsi="Arial" w:cs="Arial"/>
          <w:b/>
          <w:sz w:val="24"/>
          <w:szCs w:val="24"/>
        </w:rPr>
        <w:t xml:space="preserve"> </w:t>
      </w:r>
      <w:r w:rsidR="004119F3" w:rsidRPr="0019604C">
        <w:rPr>
          <w:rFonts w:ascii="Arial" w:hAnsi="Arial" w:cs="Arial"/>
          <w:b/>
          <w:sz w:val="24"/>
          <w:szCs w:val="24"/>
        </w:rPr>
        <w:t>2)</w:t>
      </w:r>
      <w:r w:rsidR="0019604C">
        <w:rPr>
          <w:rFonts w:ascii="Arial" w:hAnsi="Arial" w:cs="Arial"/>
          <w:b/>
          <w:sz w:val="24"/>
          <w:szCs w:val="24"/>
        </w:rPr>
        <w:t xml:space="preserve"> </w:t>
      </w:r>
      <w:r w:rsidR="004119F3" w:rsidRPr="004F177C">
        <w:rPr>
          <w:rFonts w:ascii="Arial" w:hAnsi="Arial" w:cs="Arial"/>
          <w:sz w:val="24"/>
          <w:szCs w:val="24"/>
        </w:rPr>
        <w:t>que los estados financieros consolidados</w:t>
      </w:r>
      <w:r w:rsidR="0019604C">
        <w:rPr>
          <w:rFonts w:ascii="Arial" w:hAnsi="Arial" w:cs="Arial"/>
          <w:sz w:val="24"/>
          <w:szCs w:val="24"/>
        </w:rPr>
        <w:t xml:space="preserve"> de ANCAP, correspondientes al E</w:t>
      </w:r>
      <w:r w:rsidR="004119F3" w:rsidRPr="004F177C">
        <w:rPr>
          <w:rFonts w:ascii="Arial" w:hAnsi="Arial" w:cs="Arial"/>
          <w:sz w:val="24"/>
          <w:szCs w:val="24"/>
        </w:rPr>
        <w:t xml:space="preserve">jercicio 2010 fueron publicados , acompañados con el dictamen de Auditoría de este Tribunal, en el diario El Observador de fecha 17 de enero de 2012 y en la revista Caras y Caretas de fecha 5 de enero de 2012, no incluyéndose en esas publicaciones los estados financieros individuales del </w:t>
      </w:r>
      <w:r w:rsidR="000A2A9F" w:rsidRPr="004F177C">
        <w:rPr>
          <w:rFonts w:ascii="Arial" w:hAnsi="Arial" w:cs="Arial"/>
          <w:sz w:val="24"/>
          <w:szCs w:val="24"/>
        </w:rPr>
        <w:t>O</w:t>
      </w:r>
      <w:r w:rsidR="004119F3" w:rsidRPr="004F177C">
        <w:rPr>
          <w:rFonts w:ascii="Arial" w:hAnsi="Arial" w:cs="Arial"/>
          <w:sz w:val="24"/>
          <w:szCs w:val="24"/>
        </w:rPr>
        <w:t>rganismo;</w:t>
      </w:r>
    </w:p>
    <w:p w14:paraId="2CF8545D" w14:textId="59673260" w:rsidR="0019604C" w:rsidRDefault="00A36EEE" w:rsidP="00A36EEE">
      <w:pPr>
        <w:pStyle w:val="Textoindependiente"/>
        <w:spacing w:after="0" w:line="360" w:lineRule="auto"/>
        <w:ind w:firstLine="2694"/>
        <w:jc w:val="both"/>
        <w:rPr>
          <w:rFonts w:ascii="Arial" w:hAnsi="Arial" w:cs="Arial"/>
          <w:sz w:val="24"/>
          <w:szCs w:val="24"/>
        </w:rPr>
      </w:pPr>
      <w:r>
        <w:rPr>
          <w:rFonts w:ascii="Arial" w:hAnsi="Arial" w:cs="Arial"/>
          <w:b/>
          <w:sz w:val="24"/>
          <w:szCs w:val="24"/>
        </w:rPr>
        <w:t xml:space="preserve"> </w:t>
      </w:r>
      <w:r w:rsidR="004119F3" w:rsidRPr="0019604C">
        <w:rPr>
          <w:rFonts w:ascii="Arial" w:hAnsi="Arial" w:cs="Arial"/>
          <w:b/>
          <w:sz w:val="24"/>
          <w:szCs w:val="24"/>
        </w:rPr>
        <w:t>3)</w:t>
      </w:r>
      <w:r w:rsidR="0019604C">
        <w:rPr>
          <w:rFonts w:ascii="Arial" w:hAnsi="Arial" w:cs="Arial"/>
          <w:b/>
          <w:sz w:val="24"/>
          <w:szCs w:val="24"/>
        </w:rPr>
        <w:t xml:space="preserve"> </w:t>
      </w:r>
      <w:r w:rsidR="004119F3" w:rsidRPr="004F177C">
        <w:rPr>
          <w:rFonts w:ascii="Arial" w:hAnsi="Arial" w:cs="Arial"/>
          <w:sz w:val="24"/>
          <w:szCs w:val="24"/>
        </w:rPr>
        <w:t>que, en lo que refiere a los estados financieros co</w:t>
      </w:r>
      <w:r w:rsidR="0019604C">
        <w:rPr>
          <w:rFonts w:ascii="Arial" w:hAnsi="Arial" w:cs="Arial"/>
          <w:sz w:val="24"/>
          <w:szCs w:val="24"/>
        </w:rPr>
        <w:t>nsolidados correspondientes al E</w:t>
      </w:r>
      <w:r w:rsidR="004119F3" w:rsidRPr="004F177C">
        <w:rPr>
          <w:rFonts w:ascii="Arial" w:hAnsi="Arial" w:cs="Arial"/>
          <w:sz w:val="24"/>
          <w:szCs w:val="24"/>
        </w:rPr>
        <w:t>jercicio 2011,</w:t>
      </w:r>
      <w:r w:rsidR="00181751">
        <w:rPr>
          <w:rFonts w:ascii="Arial" w:hAnsi="Arial" w:cs="Arial"/>
          <w:sz w:val="24"/>
          <w:szCs w:val="24"/>
        </w:rPr>
        <w:t xml:space="preserve"> los mismos</w:t>
      </w:r>
      <w:r w:rsidR="004119F3" w:rsidRPr="004F177C">
        <w:rPr>
          <w:rFonts w:ascii="Arial" w:hAnsi="Arial" w:cs="Arial"/>
          <w:sz w:val="24"/>
          <w:szCs w:val="24"/>
        </w:rPr>
        <w:t xml:space="preserve"> </w:t>
      </w:r>
      <w:r w:rsidR="00C52001" w:rsidRPr="004F177C">
        <w:rPr>
          <w:rFonts w:ascii="Arial" w:hAnsi="Arial" w:cs="Arial"/>
          <w:sz w:val="24"/>
          <w:szCs w:val="24"/>
        </w:rPr>
        <w:t>fue</w:t>
      </w:r>
      <w:r w:rsidR="00181751">
        <w:rPr>
          <w:rFonts w:ascii="Arial" w:hAnsi="Arial" w:cs="Arial"/>
          <w:sz w:val="24"/>
          <w:szCs w:val="24"/>
        </w:rPr>
        <w:t>ron</w:t>
      </w:r>
      <w:r w:rsidR="00C52001" w:rsidRPr="004F177C">
        <w:rPr>
          <w:rFonts w:ascii="Arial" w:hAnsi="Arial" w:cs="Arial"/>
          <w:sz w:val="24"/>
          <w:szCs w:val="24"/>
        </w:rPr>
        <w:t xml:space="preserve"> publicado</w:t>
      </w:r>
      <w:r w:rsidR="00181751">
        <w:rPr>
          <w:rFonts w:ascii="Arial" w:hAnsi="Arial" w:cs="Arial"/>
          <w:sz w:val="24"/>
          <w:szCs w:val="24"/>
        </w:rPr>
        <w:t>s</w:t>
      </w:r>
      <w:r w:rsidR="00C52001" w:rsidRPr="004F177C">
        <w:rPr>
          <w:rFonts w:ascii="Arial" w:hAnsi="Arial" w:cs="Arial"/>
          <w:sz w:val="24"/>
          <w:szCs w:val="24"/>
        </w:rPr>
        <w:t xml:space="preserve"> en el Diario Oficial el 11 de abril de 2016</w:t>
      </w:r>
      <w:r w:rsidR="00AF7CCA">
        <w:rPr>
          <w:rFonts w:ascii="Arial" w:hAnsi="Arial" w:cs="Arial"/>
          <w:sz w:val="24"/>
          <w:szCs w:val="24"/>
        </w:rPr>
        <w:t>, acompañados del dictamen correspondiente de este Tribunal</w:t>
      </w:r>
      <w:r w:rsidR="00843927">
        <w:rPr>
          <w:rFonts w:ascii="Arial" w:hAnsi="Arial" w:cs="Arial"/>
          <w:sz w:val="24"/>
          <w:szCs w:val="24"/>
        </w:rPr>
        <w:t>, sin incluir los estados financieros individuales</w:t>
      </w:r>
      <w:r w:rsidR="00D65FBB">
        <w:rPr>
          <w:rFonts w:ascii="Arial" w:hAnsi="Arial" w:cs="Arial"/>
          <w:sz w:val="24"/>
          <w:szCs w:val="24"/>
        </w:rPr>
        <w:t>;</w:t>
      </w:r>
    </w:p>
    <w:p w14:paraId="0E67B912" w14:textId="67046C2F" w:rsidR="0019604C" w:rsidRDefault="00A36EEE" w:rsidP="00A36EEE">
      <w:pPr>
        <w:pStyle w:val="Textoindependiente"/>
        <w:spacing w:after="0" w:line="360" w:lineRule="auto"/>
        <w:ind w:firstLine="2694"/>
        <w:jc w:val="both"/>
        <w:rPr>
          <w:rFonts w:ascii="Arial" w:hAnsi="Arial" w:cs="Arial"/>
          <w:sz w:val="24"/>
          <w:szCs w:val="24"/>
        </w:rPr>
      </w:pPr>
      <w:r>
        <w:rPr>
          <w:rFonts w:ascii="Arial" w:hAnsi="Arial" w:cs="Arial"/>
          <w:b/>
          <w:sz w:val="24"/>
          <w:szCs w:val="24"/>
        </w:rPr>
        <w:lastRenderedPageBreak/>
        <w:t xml:space="preserve"> </w:t>
      </w:r>
      <w:r w:rsidR="004119F3" w:rsidRPr="0019604C">
        <w:rPr>
          <w:rFonts w:ascii="Arial" w:hAnsi="Arial" w:cs="Arial"/>
          <w:b/>
          <w:sz w:val="24"/>
          <w:szCs w:val="24"/>
        </w:rPr>
        <w:t>4)</w:t>
      </w:r>
      <w:r w:rsidR="0019604C">
        <w:rPr>
          <w:rFonts w:ascii="Arial" w:hAnsi="Arial" w:cs="Arial"/>
          <w:b/>
          <w:sz w:val="24"/>
          <w:szCs w:val="24"/>
        </w:rPr>
        <w:t xml:space="preserve"> </w:t>
      </w:r>
      <w:r w:rsidR="004119F3" w:rsidRPr="004F177C">
        <w:rPr>
          <w:rFonts w:ascii="Arial" w:hAnsi="Arial" w:cs="Arial"/>
          <w:sz w:val="24"/>
          <w:szCs w:val="24"/>
        </w:rPr>
        <w:t>que los estados f</w:t>
      </w:r>
      <w:r w:rsidR="0019604C">
        <w:rPr>
          <w:rFonts w:ascii="Arial" w:hAnsi="Arial" w:cs="Arial"/>
          <w:sz w:val="24"/>
          <w:szCs w:val="24"/>
        </w:rPr>
        <w:t>inancieros consolidados de los E</w:t>
      </w:r>
      <w:r w:rsidR="004119F3" w:rsidRPr="004F177C">
        <w:rPr>
          <w:rFonts w:ascii="Arial" w:hAnsi="Arial" w:cs="Arial"/>
          <w:sz w:val="24"/>
          <w:szCs w:val="24"/>
        </w:rPr>
        <w:t xml:space="preserve">jercicios 2012 y 2013, acompañados de los respectivos Dictámenes </w:t>
      </w:r>
      <w:r w:rsidR="009E4963" w:rsidRPr="004F177C">
        <w:rPr>
          <w:rFonts w:ascii="Arial" w:hAnsi="Arial" w:cs="Arial"/>
          <w:sz w:val="24"/>
          <w:szCs w:val="24"/>
        </w:rPr>
        <w:t xml:space="preserve">de Auditoría </w:t>
      </w:r>
      <w:r w:rsidR="004119F3" w:rsidRPr="004F177C">
        <w:rPr>
          <w:rFonts w:ascii="Arial" w:hAnsi="Arial" w:cs="Arial"/>
          <w:sz w:val="24"/>
          <w:szCs w:val="24"/>
        </w:rPr>
        <w:t>de este Tribunal</w:t>
      </w:r>
      <w:r w:rsidR="009E4963" w:rsidRPr="004F177C">
        <w:rPr>
          <w:rFonts w:ascii="Arial" w:hAnsi="Arial" w:cs="Arial"/>
          <w:sz w:val="24"/>
          <w:szCs w:val="24"/>
        </w:rPr>
        <w:t xml:space="preserve">, fueron publicados en el Diario Oficial de </w:t>
      </w:r>
      <w:r w:rsidR="00843927">
        <w:rPr>
          <w:rFonts w:ascii="Arial" w:hAnsi="Arial" w:cs="Arial"/>
          <w:sz w:val="24"/>
          <w:szCs w:val="24"/>
        </w:rPr>
        <w:t>18 de marzo de 2016, sin inclusión de</w:t>
      </w:r>
      <w:r w:rsidR="009E4963" w:rsidRPr="004F177C">
        <w:rPr>
          <w:rFonts w:ascii="Arial" w:hAnsi="Arial" w:cs="Arial"/>
          <w:sz w:val="24"/>
          <w:szCs w:val="24"/>
        </w:rPr>
        <w:t xml:space="preserve"> los estados financieros individuales;</w:t>
      </w:r>
    </w:p>
    <w:p w14:paraId="4141ED0E" w14:textId="2FB722B6" w:rsidR="0019604C" w:rsidRDefault="00A36EEE" w:rsidP="00A36EEE">
      <w:pPr>
        <w:pStyle w:val="Textoindependiente"/>
        <w:spacing w:after="0" w:line="360" w:lineRule="auto"/>
        <w:ind w:firstLine="2694"/>
        <w:jc w:val="both"/>
        <w:rPr>
          <w:rFonts w:ascii="Arial" w:hAnsi="Arial" w:cs="Arial"/>
          <w:sz w:val="24"/>
          <w:szCs w:val="24"/>
        </w:rPr>
      </w:pPr>
      <w:r>
        <w:rPr>
          <w:rFonts w:ascii="Arial" w:hAnsi="Arial" w:cs="Arial"/>
          <w:b/>
          <w:sz w:val="24"/>
          <w:szCs w:val="24"/>
        </w:rPr>
        <w:t xml:space="preserve"> </w:t>
      </w:r>
      <w:r w:rsidR="009E4963" w:rsidRPr="0019604C">
        <w:rPr>
          <w:rFonts w:ascii="Arial" w:hAnsi="Arial" w:cs="Arial"/>
          <w:b/>
          <w:sz w:val="24"/>
          <w:szCs w:val="24"/>
        </w:rPr>
        <w:t>5)</w:t>
      </w:r>
      <w:r w:rsidR="0019604C">
        <w:rPr>
          <w:rFonts w:ascii="Arial" w:hAnsi="Arial" w:cs="Arial"/>
          <w:b/>
          <w:sz w:val="24"/>
          <w:szCs w:val="24"/>
        </w:rPr>
        <w:t xml:space="preserve"> </w:t>
      </w:r>
      <w:r w:rsidR="009E4963" w:rsidRPr="004F177C">
        <w:rPr>
          <w:rFonts w:ascii="Arial" w:hAnsi="Arial" w:cs="Arial"/>
          <w:sz w:val="24"/>
          <w:szCs w:val="24"/>
        </w:rPr>
        <w:t>que ANCAP ha publicado en su página Web dos estados financieros co</w:t>
      </w:r>
      <w:r w:rsidR="0019604C">
        <w:rPr>
          <w:rFonts w:ascii="Arial" w:hAnsi="Arial" w:cs="Arial"/>
          <w:sz w:val="24"/>
          <w:szCs w:val="24"/>
        </w:rPr>
        <w:t>nsolidados correspondientes al E</w:t>
      </w:r>
      <w:r w:rsidR="009E4963" w:rsidRPr="004F177C">
        <w:rPr>
          <w:rFonts w:ascii="Arial" w:hAnsi="Arial" w:cs="Arial"/>
          <w:sz w:val="24"/>
          <w:szCs w:val="24"/>
        </w:rPr>
        <w:t>jercicio 2013, uno qu</w:t>
      </w:r>
      <w:r w:rsidR="0019604C">
        <w:rPr>
          <w:rFonts w:ascii="Arial" w:hAnsi="Arial" w:cs="Arial"/>
          <w:sz w:val="24"/>
          <w:szCs w:val="24"/>
        </w:rPr>
        <w:t>e fue confeccionado de acuerdo con</w:t>
      </w:r>
      <w:r w:rsidR="009E4963" w:rsidRPr="004F177C">
        <w:rPr>
          <w:rFonts w:ascii="Arial" w:hAnsi="Arial" w:cs="Arial"/>
          <w:sz w:val="24"/>
          <w:szCs w:val="24"/>
        </w:rPr>
        <w:t xml:space="preserve"> las normas contables adecuadas en Uruguay y la Ordenanza Nº 81, que fue oportunamente auditado por este Tribunal y el</w:t>
      </w:r>
      <w:r w:rsidR="0019604C">
        <w:rPr>
          <w:rFonts w:ascii="Arial" w:hAnsi="Arial" w:cs="Arial"/>
          <w:sz w:val="24"/>
          <w:szCs w:val="24"/>
        </w:rPr>
        <w:t xml:space="preserve"> otro confeccionado de acuerdo con</w:t>
      </w:r>
      <w:r w:rsidR="009E4963" w:rsidRPr="004F177C">
        <w:rPr>
          <w:rFonts w:ascii="Arial" w:hAnsi="Arial" w:cs="Arial"/>
          <w:sz w:val="24"/>
          <w:szCs w:val="24"/>
        </w:rPr>
        <w:t xml:space="preserve"> las </w:t>
      </w:r>
      <w:r w:rsidR="000A2A9F" w:rsidRPr="004F177C">
        <w:rPr>
          <w:rFonts w:ascii="Arial" w:hAnsi="Arial" w:cs="Arial"/>
          <w:sz w:val="24"/>
          <w:szCs w:val="24"/>
        </w:rPr>
        <w:t>Normas Internacionales de Información Financiera (</w:t>
      </w:r>
      <w:r w:rsidR="009E4963" w:rsidRPr="004F177C">
        <w:rPr>
          <w:rFonts w:ascii="Arial" w:hAnsi="Arial" w:cs="Arial"/>
          <w:sz w:val="24"/>
          <w:szCs w:val="24"/>
        </w:rPr>
        <w:t>NIIF</w:t>
      </w:r>
      <w:r w:rsidR="000A2A9F" w:rsidRPr="004F177C">
        <w:rPr>
          <w:rFonts w:ascii="Arial" w:hAnsi="Arial" w:cs="Arial"/>
          <w:sz w:val="24"/>
          <w:szCs w:val="24"/>
        </w:rPr>
        <w:t>)</w:t>
      </w:r>
      <w:r w:rsidR="009E4963" w:rsidRPr="004F177C">
        <w:rPr>
          <w:rFonts w:ascii="Arial" w:hAnsi="Arial" w:cs="Arial"/>
          <w:sz w:val="24"/>
          <w:szCs w:val="24"/>
        </w:rPr>
        <w:t xml:space="preserve">. Ambos difieren sustancialmente en su presentación y muestran diferencias de valuación en algunos de sus rubros. </w:t>
      </w:r>
      <w:r w:rsidR="008123CB">
        <w:rPr>
          <w:rFonts w:ascii="Arial" w:hAnsi="Arial" w:cs="Arial"/>
          <w:sz w:val="24"/>
          <w:szCs w:val="24"/>
        </w:rPr>
        <w:t>Los referidos estados financieros se acompañan de los dictámenes de auditoría de KPMG y, el que fuera</w:t>
      </w:r>
      <w:r w:rsidR="009E4963" w:rsidRPr="004F177C">
        <w:rPr>
          <w:rFonts w:ascii="Arial" w:hAnsi="Arial" w:cs="Arial"/>
          <w:sz w:val="24"/>
          <w:szCs w:val="24"/>
        </w:rPr>
        <w:t xml:space="preserve"> auditado por este Tribunal</w:t>
      </w:r>
      <w:r w:rsidR="0053090F" w:rsidRPr="004F177C">
        <w:rPr>
          <w:rFonts w:ascii="Arial" w:hAnsi="Arial" w:cs="Arial"/>
          <w:sz w:val="24"/>
          <w:szCs w:val="24"/>
        </w:rPr>
        <w:t xml:space="preserve"> </w:t>
      </w:r>
      <w:r w:rsidR="008123CB">
        <w:rPr>
          <w:rFonts w:ascii="Arial" w:hAnsi="Arial" w:cs="Arial"/>
          <w:sz w:val="24"/>
          <w:szCs w:val="24"/>
        </w:rPr>
        <w:t xml:space="preserve">con fecha 4 de febrero de 2015, </w:t>
      </w:r>
      <w:r w:rsidR="0053090F" w:rsidRPr="004F177C">
        <w:rPr>
          <w:rFonts w:ascii="Arial" w:hAnsi="Arial" w:cs="Arial"/>
          <w:sz w:val="24"/>
          <w:szCs w:val="24"/>
        </w:rPr>
        <w:t xml:space="preserve">no </w:t>
      </w:r>
      <w:r w:rsidR="000A2A9F" w:rsidRPr="004F177C">
        <w:rPr>
          <w:rFonts w:ascii="Arial" w:hAnsi="Arial" w:cs="Arial"/>
          <w:sz w:val="24"/>
          <w:szCs w:val="24"/>
        </w:rPr>
        <w:t xml:space="preserve">incluye </w:t>
      </w:r>
      <w:r w:rsidR="0053090F" w:rsidRPr="004F177C">
        <w:rPr>
          <w:rFonts w:ascii="Arial" w:hAnsi="Arial" w:cs="Arial"/>
          <w:sz w:val="24"/>
          <w:szCs w:val="24"/>
        </w:rPr>
        <w:t xml:space="preserve"> el </w:t>
      </w:r>
      <w:r w:rsidR="000A2A9F" w:rsidRPr="004F177C">
        <w:rPr>
          <w:rFonts w:ascii="Arial" w:hAnsi="Arial" w:cs="Arial"/>
          <w:sz w:val="24"/>
          <w:szCs w:val="24"/>
        </w:rPr>
        <w:t>d</w:t>
      </w:r>
      <w:r w:rsidR="0053090F" w:rsidRPr="004F177C">
        <w:rPr>
          <w:rFonts w:ascii="Arial" w:hAnsi="Arial" w:cs="Arial"/>
          <w:sz w:val="24"/>
          <w:szCs w:val="24"/>
        </w:rPr>
        <w:t>ictamen</w:t>
      </w:r>
      <w:r w:rsidR="000A2A9F" w:rsidRPr="004F177C">
        <w:rPr>
          <w:rFonts w:ascii="Arial" w:hAnsi="Arial" w:cs="Arial"/>
          <w:sz w:val="24"/>
          <w:szCs w:val="24"/>
        </w:rPr>
        <w:t xml:space="preserve"> de este Organismo</w:t>
      </w:r>
      <w:r w:rsidR="0053090F" w:rsidRPr="004F177C">
        <w:rPr>
          <w:rFonts w:ascii="Arial" w:hAnsi="Arial" w:cs="Arial"/>
          <w:sz w:val="24"/>
          <w:szCs w:val="24"/>
        </w:rPr>
        <w:t>;</w:t>
      </w:r>
    </w:p>
    <w:p w14:paraId="12ABB2FB" w14:textId="1FBB7F94" w:rsidR="009E4963" w:rsidRPr="004F177C" w:rsidRDefault="00A36EEE" w:rsidP="00A36EEE">
      <w:pPr>
        <w:pStyle w:val="Textoindependiente"/>
        <w:spacing w:after="0" w:line="360" w:lineRule="auto"/>
        <w:ind w:firstLine="2694"/>
        <w:jc w:val="both"/>
        <w:rPr>
          <w:rFonts w:ascii="Arial" w:hAnsi="Arial" w:cs="Arial"/>
          <w:sz w:val="24"/>
          <w:szCs w:val="24"/>
        </w:rPr>
      </w:pPr>
      <w:r>
        <w:rPr>
          <w:rFonts w:ascii="Arial" w:hAnsi="Arial" w:cs="Arial"/>
          <w:b/>
          <w:sz w:val="24"/>
          <w:szCs w:val="24"/>
        </w:rPr>
        <w:t xml:space="preserve"> </w:t>
      </w:r>
      <w:r w:rsidR="0053090F" w:rsidRPr="0019604C">
        <w:rPr>
          <w:rFonts w:ascii="Arial" w:hAnsi="Arial" w:cs="Arial"/>
          <w:b/>
          <w:sz w:val="24"/>
          <w:szCs w:val="24"/>
        </w:rPr>
        <w:t>6</w:t>
      </w:r>
      <w:r w:rsidR="009E4963" w:rsidRPr="0019604C">
        <w:rPr>
          <w:rFonts w:ascii="Arial" w:hAnsi="Arial" w:cs="Arial"/>
          <w:b/>
          <w:sz w:val="24"/>
          <w:szCs w:val="24"/>
        </w:rPr>
        <w:t>)</w:t>
      </w:r>
      <w:r w:rsidR="0019604C">
        <w:rPr>
          <w:rFonts w:ascii="Arial" w:hAnsi="Arial" w:cs="Arial"/>
          <w:b/>
          <w:sz w:val="24"/>
          <w:szCs w:val="24"/>
        </w:rPr>
        <w:t xml:space="preserve"> </w:t>
      </w:r>
      <w:r w:rsidR="009E4963" w:rsidRPr="004F177C">
        <w:rPr>
          <w:rFonts w:ascii="Arial" w:hAnsi="Arial" w:cs="Arial"/>
          <w:sz w:val="24"/>
          <w:szCs w:val="24"/>
        </w:rPr>
        <w:t>que los estados financieros consolidados e in</w:t>
      </w:r>
      <w:r w:rsidR="0019604C">
        <w:rPr>
          <w:rFonts w:ascii="Arial" w:hAnsi="Arial" w:cs="Arial"/>
          <w:sz w:val="24"/>
          <w:szCs w:val="24"/>
        </w:rPr>
        <w:t>dividuales correspondientes al E</w:t>
      </w:r>
      <w:r w:rsidR="009E4963" w:rsidRPr="004F177C">
        <w:rPr>
          <w:rFonts w:ascii="Arial" w:hAnsi="Arial" w:cs="Arial"/>
          <w:sz w:val="24"/>
          <w:szCs w:val="24"/>
        </w:rPr>
        <w:t xml:space="preserve">jercicio 2014 fueron publicados en la página Web de ANCAP sin el Dictamen de Auditoría </w:t>
      </w:r>
      <w:r w:rsidR="008123CB">
        <w:rPr>
          <w:rFonts w:ascii="Arial" w:hAnsi="Arial" w:cs="Arial"/>
          <w:sz w:val="24"/>
          <w:szCs w:val="24"/>
        </w:rPr>
        <w:t xml:space="preserve">adverso </w:t>
      </w:r>
      <w:r w:rsidR="009E4963" w:rsidRPr="004F177C">
        <w:rPr>
          <w:rFonts w:ascii="Arial" w:hAnsi="Arial" w:cs="Arial"/>
          <w:sz w:val="24"/>
          <w:szCs w:val="24"/>
        </w:rPr>
        <w:t>de este Tribunal;</w:t>
      </w:r>
    </w:p>
    <w:p w14:paraId="5A58F029" w14:textId="77777777" w:rsidR="0019604C" w:rsidRDefault="009A2287" w:rsidP="0019604C">
      <w:pPr>
        <w:pStyle w:val="Lista2"/>
        <w:tabs>
          <w:tab w:val="left" w:pos="1701"/>
        </w:tabs>
        <w:spacing w:line="360" w:lineRule="auto"/>
        <w:ind w:left="0" w:firstLine="851"/>
        <w:jc w:val="both"/>
        <w:rPr>
          <w:rFonts w:ascii="Arial" w:hAnsi="Arial" w:cs="Arial"/>
          <w:sz w:val="24"/>
          <w:szCs w:val="24"/>
        </w:rPr>
      </w:pPr>
      <w:r w:rsidRPr="004F177C">
        <w:rPr>
          <w:rFonts w:ascii="Arial" w:hAnsi="Arial" w:cs="Arial"/>
          <w:b/>
          <w:sz w:val="24"/>
          <w:szCs w:val="24"/>
        </w:rPr>
        <w:t>CONSIDERANDO</w:t>
      </w:r>
      <w:r w:rsidRPr="00A36EEE">
        <w:rPr>
          <w:rFonts w:ascii="Arial" w:hAnsi="Arial" w:cs="Arial"/>
          <w:b/>
          <w:sz w:val="24"/>
          <w:szCs w:val="24"/>
        </w:rPr>
        <w:t>:</w:t>
      </w:r>
      <w:r w:rsidR="0019604C">
        <w:rPr>
          <w:rFonts w:ascii="Arial" w:hAnsi="Arial" w:cs="Arial"/>
          <w:sz w:val="24"/>
          <w:szCs w:val="24"/>
        </w:rPr>
        <w:t xml:space="preserve"> </w:t>
      </w:r>
      <w:r w:rsidRPr="0019604C">
        <w:rPr>
          <w:rFonts w:ascii="Arial" w:hAnsi="Arial" w:cs="Arial"/>
          <w:b/>
          <w:sz w:val="24"/>
          <w:szCs w:val="24"/>
        </w:rPr>
        <w:t>1)</w:t>
      </w:r>
      <w:r w:rsidR="00C52001" w:rsidRPr="004F177C">
        <w:rPr>
          <w:rFonts w:ascii="Arial" w:hAnsi="Arial" w:cs="Arial"/>
          <w:sz w:val="24"/>
          <w:szCs w:val="24"/>
        </w:rPr>
        <w:t xml:space="preserve"> que </w:t>
      </w:r>
      <w:r w:rsidR="004F177C">
        <w:rPr>
          <w:rFonts w:ascii="Arial" w:hAnsi="Arial" w:cs="Arial"/>
          <w:sz w:val="24"/>
          <w:szCs w:val="24"/>
        </w:rPr>
        <w:t xml:space="preserve">el </w:t>
      </w:r>
      <w:r w:rsidR="004F177C" w:rsidRPr="004F177C">
        <w:rPr>
          <w:rFonts w:ascii="Arial" w:hAnsi="Arial" w:cs="Arial"/>
          <w:sz w:val="24"/>
          <w:szCs w:val="24"/>
        </w:rPr>
        <w:t>Artículo 191 de la Constitución de la República</w:t>
      </w:r>
      <w:r w:rsidR="004F177C" w:rsidRPr="00B72CC9">
        <w:rPr>
          <w:rFonts w:ascii="Arial" w:hAnsi="Arial" w:cs="Arial"/>
          <w:sz w:val="24"/>
          <w:szCs w:val="24"/>
        </w:rPr>
        <w:t xml:space="preserve"> establece que “</w:t>
      </w:r>
      <w:r w:rsidR="004F177C" w:rsidRPr="00B72CC9">
        <w:rPr>
          <w:rFonts w:ascii="Arial" w:hAnsi="Arial" w:cs="Arial"/>
          <w:i/>
          <w:sz w:val="24"/>
          <w:szCs w:val="24"/>
        </w:rPr>
        <w:t xml:space="preserve">Los Entes Autónomos, los Servicios Descentralizados y, en general, todas las administraciones autónomas con patrimonio propio, cualquiera sea su naturaleza jurídica, publicarán periódicamente estados que reflejen claramente su vida financiera. La ley fijará la norma y número anual de los mismos y todos deberán llevar la </w:t>
      </w:r>
      <w:proofErr w:type="spellStart"/>
      <w:r w:rsidR="004F177C" w:rsidRPr="00B72CC9">
        <w:rPr>
          <w:rFonts w:ascii="Arial" w:hAnsi="Arial" w:cs="Arial"/>
          <w:i/>
          <w:sz w:val="24"/>
          <w:szCs w:val="24"/>
        </w:rPr>
        <w:t>visación</w:t>
      </w:r>
      <w:proofErr w:type="spellEnd"/>
      <w:r w:rsidR="004F177C" w:rsidRPr="00B72CC9">
        <w:rPr>
          <w:rFonts w:ascii="Arial" w:hAnsi="Arial" w:cs="Arial"/>
          <w:i/>
          <w:sz w:val="24"/>
          <w:szCs w:val="24"/>
        </w:rPr>
        <w:t xml:space="preserve"> del Tribunal de Cuentas</w:t>
      </w:r>
      <w:r w:rsidR="0019604C">
        <w:rPr>
          <w:rFonts w:ascii="Arial" w:hAnsi="Arial" w:cs="Arial"/>
          <w:sz w:val="24"/>
          <w:szCs w:val="24"/>
        </w:rPr>
        <w:t>”;</w:t>
      </w:r>
    </w:p>
    <w:p w14:paraId="2DF828B5" w14:textId="771A13F9" w:rsidR="0019604C" w:rsidRDefault="00A36EEE" w:rsidP="00A36EEE">
      <w:pPr>
        <w:pStyle w:val="Lista2"/>
        <w:tabs>
          <w:tab w:val="left" w:pos="1701"/>
        </w:tabs>
        <w:spacing w:line="360" w:lineRule="auto"/>
        <w:ind w:left="0" w:firstLine="2977"/>
        <w:jc w:val="both"/>
        <w:rPr>
          <w:rFonts w:ascii="Arial" w:hAnsi="Arial" w:cs="Arial"/>
          <w:sz w:val="24"/>
          <w:szCs w:val="24"/>
        </w:rPr>
      </w:pPr>
      <w:r>
        <w:rPr>
          <w:rFonts w:ascii="Arial" w:hAnsi="Arial" w:cs="Arial"/>
          <w:b/>
          <w:sz w:val="24"/>
          <w:szCs w:val="24"/>
        </w:rPr>
        <w:t xml:space="preserve"> </w:t>
      </w:r>
      <w:r w:rsidR="004F177C" w:rsidRPr="0019604C">
        <w:rPr>
          <w:rFonts w:ascii="Arial" w:hAnsi="Arial" w:cs="Arial"/>
          <w:b/>
          <w:sz w:val="24"/>
          <w:szCs w:val="24"/>
        </w:rPr>
        <w:t>2)</w:t>
      </w:r>
      <w:r w:rsidR="004F177C">
        <w:rPr>
          <w:rFonts w:ascii="Arial" w:hAnsi="Arial" w:cs="Arial"/>
          <w:sz w:val="24"/>
          <w:szCs w:val="24"/>
        </w:rPr>
        <w:t xml:space="preserve"> que el</w:t>
      </w:r>
      <w:r w:rsidR="004F177C" w:rsidRPr="009400E6">
        <w:rPr>
          <w:rFonts w:ascii="Arial" w:hAnsi="Arial" w:cs="Arial"/>
          <w:sz w:val="24"/>
          <w:szCs w:val="24"/>
        </w:rPr>
        <w:t xml:space="preserve"> </w:t>
      </w:r>
      <w:r w:rsidR="004F177C" w:rsidRPr="004F177C">
        <w:rPr>
          <w:rFonts w:ascii="Arial" w:hAnsi="Arial" w:cs="Arial"/>
          <w:sz w:val="24"/>
          <w:szCs w:val="24"/>
        </w:rPr>
        <w:t>Artículo 1° de la Ley 17.040</w:t>
      </w:r>
      <w:r w:rsidR="004F177C" w:rsidRPr="009400E6">
        <w:rPr>
          <w:rFonts w:ascii="Arial" w:hAnsi="Arial" w:cs="Arial"/>
          <w:sz w:val="24"/>
          <w:szCs w:val="24"/>
        </w:rPr>
        <w:t xml:space="preserve"> dispone que “</w:t>
      </w:r>
      <w:r w:rsidR="004F177C" w:rsidRPr="009400E6">
        <w:rPr>
          <w:rFonts w:ascii="Arial" w:hAnsi="Arial" w:cs="Arial"/>
          <w:i/>
          <w:sz w:val="24"/>
          <w:szCs w:val="24"/>
        </w:rPr>
        <w:t xml:space="preserve">Las empresas públicas o de propiedad estatal, con actividad comercial e industrial, publicarán su balance general, expresado en los estados de situación patrimonial y de resultados, confeccionados conforme a lo dispuesto por los </w:t>
      </w:r>
      <w:hyperlink r:id="rId9" w:anchor="art88" w:tgtFrame="_blank" w:history="1">
        <w:r w:rsidR="004F177C" w:rsidRPr="009400E6">
          <w:rPr>
            <w:rFonts w:ascii="Arial" w:hAnsi="Arial" w:cs="Arial"/>
            <w:i/>
            <w:sz w:val="24"/>
            <w:szCs w:val="24"/>
          </w:rPr>
          <w:t>Artículos 88 a 92 de la Ley Nº 16.060</w:t>
        </w:r>
      </w:hyperlink>
      <w:r w:rsidR="004F177C" w:rsidRPr="009400E6">
        <w:rPr>
          <w:rFonts w:ascii="Arial" w:hAnsi="Arial" w:cs="Arial"/>
          <w:i/>
          <w:sz w:val="24"/>
          <w:szCs w:val="24"/>
        </w:rPr>
        <w:t>, de 4 de setiembre de 1989, antes de un año de vencido el ejercicio contable, previo dictamen de auditoría del Tribunal de Cuentas que se expresará y responsabilizará respecto de la razonabilidad y consistencia de los mismos.</w:t>
      </w:r>
      <w:r w:rsidR="004F177C">
        <w:rPr>
          <w:rFonts w:ascii="Arial" w:hAnsi="Arial" w:cs="Arial"/>
          <w:i/>
          <w:sz w:val="24"/>
          <w:szCs w:val="24"/>
        </w:rPr>
        <w:t xml:space="preserve"> </w:t>
      </w:r>
      <w:r w:rsidR="004F177C" w:rsidRPr="00841D79">
        <w:rPr>
          <w:rFonts w:ascii="Arial" w:hAnsi="Arial" w:cs="Arial"/>
          <w:i/>
          <w:sz w:val="24"/>
          <w:szCs w:val="24"/>
        </w:rPr>
        <w:t>La publicación, que se realizará en al menos dos periódicos de circulación nacional, estará a disposición de los medios de comunicación que la soliciten.</w:t>
      </w:r>
      <w:r w:rsidR="004F177C">
        <w:rPr>
          <w:rFonts w:ascii="Arial" w:hAnsi="Arial" w:cs="Arial"/>
          <w:i/>
          <w:sz w:val="24"/>
          <w:szCs w:val="24"/>
        </w:rPr>
        <w:t xml:space="preserve"> </w:t>
      </w:r>
      <w:proofErr w:type="spellStart"/>
      <w:r w:rsidR="004F177C" w:rsidRPr="009400E6">
        <w:rPr>
          <w:rFonts w:ascii="Arial" w:hAnsi="Arial" w:cs="Arial"/>
          <w:i/>
          <w:sz w:val="24"/>
          <w:szCs w:val="24"/>
        </w:rPr>
        <w:t>Exceptúanse</w:t>
      </w:r>
      <w:proofErr w:type="spellEnd"/>
      <w:r w:rsidR="004F177C" w:rsidRPr="009400E6">
        <w:rPr>
          <w:rFonts w:ascii="Arial" w:hAnsi="Arial" w:cs="Arial"/>
          <w:i/>
          <w:sz w:val="24"/>
          <w:szCs w:val="24"/>
        </w:rPr>
        <w:t xml:space="preserve"> al Banco de la República Oriental del Uruguay y al Banco Hipotecario del Uruguay, quienes se atendrán a las disposiciones que regulan la actividad bancaria.</w:t>
      </w:r>
      <w:r w:rsidR="004F177C" w:rsidRPr="00B72CC9">
        <w:rPr>
          <w:rFonts w:ascii="Arial" w:hAnsi="Arial" w:cs="Arial"/>
          <w:sz w:val="24"/>
          <w:szCs w:val="24"/>
        </w:rPr>
        <w:t>”</w:t>
      </w:r>
      <w:r w:rsidR="00033CCF">
        <w:rPr>
          <w:rFonts w:ascii="Arial" w:hAnsi="Arial" w:cs="Arial"/>
          <w:sz w:val="24"/>
          <w:szCs w:val="24"/>
        </w:rPr>
        <w:t xml:space="preserve"> A su vez el Artículo 89 de la citada Ley 16.060, en la redacción dada por el Artículo 499 de la Ley 18.362</w:t>
      </w:r>
      <w:r w:rsidR="004B3A75">
        <w:rPr>
          <w:rFonts w:ascii="Arial" w:hAnsi="Arial" w:cs="Arial"/>
          <w:sz w:val="24"/>
          <w:szCs w:val="24"/>
        </w:rPr>
        <w:t>, dispone que “</w:t>
      </w:r>
      <w:r w:rsidR="004B3A75">
        <w:rPr>
          <w:rFonts w:ascii="Arial" w:hAnsi="Arial" w:cs="Arial"/>
          <w:i/>
          <w:sz w:val="24"/>
          <w:szCs w:val="24"/>
        </w:rPr>
        <w:t>En los casos en que las normas contables adecuadas requieran la preparación de estados contables consolidados, los emisores deberán presentar además sus estados contables individuales”</w:t>
      </w:r>
      <w:r w:rsidR="004B3A75">
        <w:rPr>
          <w:rFonts w:ascii="Arial" w:hAnsi="Arial" w:cs="Arial"/>
          <w:sz w:val="24"/>
          <w:szCs w:val="24"/>
        </w:rPr>
        <w:t>;</w:t>
      </w:r>
    </w:p>
    <w:p w14:paraId="265135F6" w14:textId="3E7D350A" w:rsidR="0019604C" w:rsidRDefault="00A36EEE" w:rsidP="00A36EEE">
      <w:pPr>
        <w:pStyle w:val="Lista2"/>
        <w:tabs>
          <w:tab w:val="left" w:pos="1701"/>
        </w:tabs>
        <w:spacing w:line="360" w:lineRule="auto"/>
        <w:ind w:left="0" w:firstLine="2977"/>
        <w:jc w:val="both"/>
        <w:rPr>
          <w:rFonts w:ascii="Arial" w:hAnsi="Arial" w:cs="Arial"/>
          <w:i/>
          <w:sz w:val="24"/>
          <w:szCs w:val="24"/>
        </w:rPr>
      </w:pPr>
      <w:r>
        <w:rPr>
          <w:rFonts w:ascii="Arial" w:hAnsi="Arial" w:cs="Arial"/>
          <w:b/>
          <w:sz w:val="24"/>
          <w:szCs w:val="24"/>
        </w:rPr>
        <w:t xml:space="preserve"> </w:t>
      </w:r>
      <w:r w:rsidR="004F177C" w:rsidRPr="0019604C">
        <w:rPr>
          <w:rFonts w:ascii="Arial" w:hAnsi="Arial" w:cs="Arial"/>
          <w:b/>
          <w:sz w:val="24"/>
          <w:szCs w:val="24"/>
        </w:rPr>
        <w:t>3)</w:t>
      </w:r>
      <w:r w:rsidR="004F177C">
        <w:rPr>
          <w:rFonts w:ascii="Arial" w:hAnsi="Arial" w:cs="Arial"/>
          <w:sz w:val="24"/>
          <w:szCs w:val="24"/>
        </w:rPr>
        <w:t xml:space="preserve"> que el </w:t>
      </w:r>
      <w:r w:rsidR="004F177C" w:rsidRPr="004F177C">
        <w:rPr>
          <w:rFonts w:ascii="Arial" w:hAnsi="Arial" w:cs="Arial"/>
          <w:sz w:val="24"/>
          <w:szCs w:val="24"/>
        </w:rPr>
        <w:t>Numeral 30 de la Ordenanza 81</w:t>
      </w:r>
      <w:r w:rsidR="004F177C" w:rsidRPr="00B72CC9">
        <w:rPr>
          <w:rFonts w:ascii="Arial" w:hAnsi="Arial" w:cs="Arial"/>
          <w:sz w:val="24"/>
          <w:szCs w:val="24"/>
        </w:rPr>
        <w:t xml:space="preserve"> expresa que “</w:t>
      </w:r>
      <w:r w:rsidR="004F177C" w:rsidRPr="009400E6">
        <w:rPr>
          <w:rFonts w:ascii="Arial" w:hAnsi="Arial" w:cs="Arial"/>
          <w:i/>
          <w:sz w:val="24"/>
          <w:szCs w:val="24"/>
        </w:rPr>
        <w:t>Los Estados Contables (o financieros) que corresponda publicar en aplicación de lo dispuesto por el Artículo 191 de la Constitución de la República y por la Ley N° 17.040 de fecha 20 de noviembre de 1998, así como por las respectivas Leyes Orgánicas de las unidades contables obligadas, deberán ser los remitidos al Tribun</w:t>
      </w:r>
      <w:r w:rsidR="0019604C">
        <w:rPr>
          <w:rFonts w:ascii="Arial" w:hAnsi="Arial" w:cs="Arial"/>
          <w:i/>
          <w:sz w:val="24"/>
          <w:szCs w:val="24"/>
        </w:rPr>
        <w:t>al de Cuentas para su Dictamen”;</w:t>
      </w:r>
    </w:p>
    <w:p w14:paraId="3ABBCB6D" w14:textId="64688497" w:rsidR="00E70572" w:rsidRDefault="00A36EEE" w:rsidP="00A36EEE">
      <w:pPr>
        <w:pStyle w:val="Lista2"/>
        <w:tabs>
          <w:tab w:val="left" w:pos="1701"/>
        </w:tabs>
        <w:spacing w:line="360" w:lineRule="auto"/>
        <w:ind w:left="0" w:firstLine="2977"/>
        <w:jc w:val="both"/>
        <w:rPr>
          <w:rFonts w:ascii="Arial" w:hAnsi="Arial" w:cs="Arial"/>
          <w:sz w:val="24"/>
          <w:szCs w:val="24"/>
        </w:rPr>
      </w:pPr>
      <w:r>
        <w:rPr>
          <w:rFonts w:ascii="Arial" w:hAnsi="Arial" w:cs="Arial"/>
          <w:b/>
          <w:sz w:val="24"/>
          <w:szCs w:val="24"/>
        </w:rPr>
        <w:t xml:space="preserve"> </w:t>
      </w:r>
      <w:r w:rsidR="00E70572" w:rsidRPr="00A36EEE">
        <w:rPr>
          <w:rFonts w:ascii="Arial" w:hAnsi="Arial" w:cs="Arial"/>
          <w:b/>
          <w:sz w:val="24"/>
          <w:szCs w:val="24"/>
        </w:rPr>
        <w:t xml:space="preserve">4) </w:t>
      </w:r>
      <w:r w:rsidR="00E70572">
        <w:rPr>
          <w:rFonts w:ascii="Arial" w:hAnsi="Arial" w:cs="Arial"/>
          <w:sz w:val="24"/>
          <w:szCs w:val="24"/>
        </w:rPr>
        <w:t>que, conforme con</w:t>
      </w:r>
      <w:r w:rsidR="00D140CF">
        <w:rPr>
          <w:rFonts w:ascii="Arial" w:hAnsi="Arial" w:cs="Arial"/>
          <w:sz w:val="24"/>
          <w:szCs w:val="24"/>
        </w:rPr>
        <w:t xml:space="preserve"> lo expresado en los Resultandos 1</w:t>
      </w:r>
      <w:r w:rsidR="00843927">
        <w:rPr>
          <w:rFonts w:ascii="Arial" w:hAnsi="Arial" w:cs="Arial"/>
          <w:sz w:val="24"/>
          <w:szCs w:val="24"/>
        </w:rPr>
        <w:t>)</w:t>
      </w:r>
      <w:r w:rsidR="00D140CF">
        <w:rPr>
          <w:rFonts w:ascii="Arial" w:hAnsi="Arial" w:cs="Arial"/>
          <w:sz w:val="24"/>
          <w:szCs w:val="24"/>
        </w:rPr>
        <w:t xml:space="preserve"> al 4</w:t>
      </w:r>
      <w:r w:rsidR="00843927">
        <w:rPr>
          <w:rFonts w:ascii="Arial" w:hAnsi="Arial" w:cs="Arial"/>
          <w:sz w:val="24"/>
          <w:szCs w:val="24"/>
        </w:rPr>
        <w:t>)</w:t>
      </w:r>
      <w:r w:rsidR="00D140CF">
        <w:rPr>
          <w:rFonts w:ascii="Arial" w:hAnsi="Arial" w:cs="Arial"/>
          <w:sz w:val="24"/>
          <w:szCs w:val="24"/>
        </w:rPr>
        <w:t xml:space="preserve">, ANCAP no se ajustó a lo establecido en las normas citadas en los Considerandos precedentes, en tanto no publicó los estados financieros </w:t>
      </w:r>
      <w:r w:rsidR="004B3A75">
        <w:rPr>
          <w:rFonts w:ascii="Arial" w:hAnsi="Arial" w:cs="Arial"/>
          <w:sz w:val="24"/>
          <w:szCs w:val="24"/>
        </w:rPr>
        <w:t xml:space="preserve">consolidados e individuales </w:t>
      </w:r>
      <w:r w:rsidR="00D140CF">
        <w:rPr>
          <w:rFonts w:ascii="Arial" w:hAnsi="Arial" w:cs="Arial"/>
          <w:sz w:val="24"/>
          <w:szCs w:val="24"/>
        </w:rPr>
        <w:t>en forma periódica y oportuna en dos diarios de circulación nacional con el dictamen del Tribunal de Cuentas;</w:t>
      </w:r>
    </w:p>
    <w:p w14:paraId="732B5A09" w14:textId="18B38B65" w:rsidR="00E70572" w:rsidRDefault="00A36EEE" w:rsidP="00A36EEE">
      <w:pPr>
        <w:pStyle w:val="Lista2"/>
        <w:tabs>
          <w:tab w:val="left" w:pos="1701"/>
        </w:tabs>
        <w:spacing w:line="360" w:lineRule="auto"/>
        <w:ind w:left="0" w:firstLine="2977"/>
        <w:jc w:val="both"/>
        <w:rPr>
          <w:rFonts w:ascii="Arial" w:hAnsi="Arial" w:cs="Arial"/>
          <w:i/>
          <w:sz w:val="24"/>
          <w:szCs w:val="24"/>
        </w:rPr>
      </w:pPr>
      <w:r>
        <w:rPr>
          <w:rFonts w:ascii="Arial" w:hAnsi="Arial" w:cs="Arial"/>
          <w:b/>
          <w:sz w:val="24"/>
          <w:szCs w:val="24"/>
        </w:rPr>
        <w:t xml:space="preserve"> </w:t>
      </w:r>
      <w:r w:rsidR="00D140CF" w:rsidRPr="00E70572">
        <w:rPr>
          <w:rFonts w:ascii="Arial" w:hAnsi="Arial" w:cs="Arial"/>
          <w:b/>
          <w:sz w:val="24"/>
          <w:szCs w:val="24"/>
        </w:rPr>
        <w:t>5</w:t>
      </w:r>
      <w:r w:rsidR="004F177C" w:rsidRPr="00E70572">
        <w:rPr>
          <w:rFonts w:ascii="Arial" w:hAnsi="Arial" w:cs="Arial"/>
          <w:b/>
          <w:sz w:val="24"/>
          <w:szCs w:val="24"/>
        </w:rPr>
        <w:t>)</w:t>
      </w:r>
      <w:r w:rsidR="004F177C">
        <w:rPr>
          <w:rFonts w:ascii="Arial" w:hAnsi="Arial" w:cs="Arial"/>
          <w:sz w:val="24"/>
          <w:szCs w:val="24"/>
        </w:rPr>
        <w:t xml:space="preserve"> que, por su parte, el </w:t>
      </w:r>
      <w:r w:rsidR="00E70572">
        <w:rPr>
          <w:rFonts w:ascii="Arial" w:hAnsi="Arial" w:cs="Arial"/>
          <w:sz w:val="24"/>
          <w:szCs w:val="24"/>
        </w:rPr>
        <w:t>Artículo 5° de la Ley N°</w:t>
      </w:r>
      <w:r w:rsidR="004F177C" w:rsidRPr="004F177C">
        <w:rPr>
          <w:rFonts w:ascii="Arial" w:hAnsi="Arial" w:cs="Arial"/>
          <w:sz w:val="24"/>
          <w:szCs w:val="24"/>
        </w:rPr>
        <w:t>18.381</w:t>
      </w:r>
      <w:r w:rsidR="004F177C">
        <w:rPr>
          <w:rFonts w:ascii="Arial" w:hAnsi="Arial" w:cs="Arial"/>
          <w:sz w:val="24"/>
          <w:szCs w:val="24"/>
        </w:rPr>
        <w:t xml:space="preserve"> (Ley de acceso a la información pública) consagra la información mínima requerida que los organismos públicos, sean o no estatales, deberán difundir en forma permanente a </w:t>
      </w:r>
      <w:r w:rsidR="00E70572">
        <w:rPr>
          <w:rFonts w:ascii="Arial" w:hAnsi="Arial" w:cs="Arial"/>
          <w:sz w:val="24"/>
          <w:szCs w:val="24"/>
        </w:rPr>
        <w:t>través de sus sitios web y, el Numeral D) de dicho A</w:t>
      </w:r>
      <w:r w:rsidR="004F177C">
        <w:rPr>
          <w:rFonts w:ascii="Arial" w:hAnsi="Arial" w:cs="Arial"/>
          <w:sz w:val="24"/>
          <w:szCs w:val="24"/>
        </w:rPr>
        <w:t xml:space="preserve">rtículo refiere a </w:t>
      </w:r>
      <w:r w:rsidR="004F177C" w:rsidRPr="004F177C">
        <w:rPr>
          <w:rFonts w:ascii="Arial" w:hAnsi="Arial" w:cs="Arial"/>
          <w:i/>
          <w:sz w:val="24"/>
          <w:szCs w:val="24"/>
        </w:rPr>
        <w:t>“información sobre presupuesto asignado, su ejecución, con los resultados de las auditorías</w:t>
      </w:r>
      <w:r w:rsidR="00E70572">
        <w:rPr>
          <w:rFonts w:ascii="Arial" w:hAnsi="Arial" w:cs="Arial"/>
          <w:i/>
          <w:sz w:val="24"/>
          <w:szCs w:val="24"/>
        </w:rPr>
        <w:t xml:space="preserve"> que en cada caso corresponda”;</w:t>
      </w:r>
    </w:p>
    <w:p w14:paraId="74163603" w14:textId="3AF762CE" w:rsidR="004F177C" w:rsidRPr="00290E18" w:rsidRDefault="00A36EEE" w:rsidP="00A36EEE">
      <w:pPr>
        <w:pStyle w:val="Lista2"/>
        <w:tabs>
          <w:tab w:val="left" w:pos="1701"/>
        </w:tabs>
        <w:spacing w:after="0" w:line="360" w:lineRule="auto"/>
        <w:ind w:left="0" w:firstLine="2977"/>
        <w:jc w:val="both"/>
        <w:rPr>
          <w:rFonts w:ascii="Arial" w:hAnsi="Arial" w:cs="Arial"/>
          <w:color w:val="000000"/>
          <w:sz w:val="24"/>
          <w:szCs w:val="24"/>
        </w:rPr>
      </w:pPr>
      <w:r>
        <w:rPr>
          <w:rFonts w:ascii="Arial" w:hAnsi="Arial" w:cs="Arial"/>
          <w:b/>
          <w:sz w:val="24"/>
          <w:szCs w:val="24"/>
          <w:lang w:val="es-UY"/>
        </w:rPr>
        <w:t xml:space="preserve"> </w:t>
      </w:r>
      <w:r w:rsidR="00D140CF" w:rsidRPr="00E70572">
        <w:rPr>
          <w:rFonts w:ascii="Arial" w:hAnsi="Arial" w:cs="Arial"/>
          <w:b/>
          <w:sz w:val="24"/>
          <w:szCs w:val="24"/>
          <w:lang w:val="es-UY"/>
        </w:rPr>
        <w:t>6</w:t>
      </w:r>
      <w:r w:rsidR="004F177C" w:rsidRPr="00E70572">
        <w:rPr>
          <w:rFonts w:ascii="Arial" w:hAnsi="Arial" w:cs="Arial"/>
          <w:b/>
          <w:sz w:val="24"/>
          <w:szCs w:val="24"/>
        </w:rPr>
        <w:t>)</w:t>
      </w:r>
      <w:r w:rsidR="00E70572">
        <w:rPr>
          <w:rFonts w:ascii="Arial" w:hAnsi="Arial" w:cs="Arial"/>
          <w:sz w:val="24"/>
          <w:szCs w:val="24"/>
        </w:rPr>
        <w:t xml:space="preserve"> que la referida L</w:t>
      </w:r>
      <w:r w:rsidR="004F177C">
        <w:rPr>
          <w:rFonts w:ascii="Arial" w:hAnsi="Arial" w:cs="Arial"/>
          <w:sz w:val="24"/>
          <w:szCs w:val="24"/>
        </w:rPr>
        <w:t xml:space="preserve">ey fue reglamentada por el </w:t>
      </w:r>
      <w:r w:rsidR="004F177C" w:rsidRPr="004F177C">
        <w:rPr>
          <w:rFonts w:ascii="Arial" w:hAnsi="Arial" w:cs="Arial"/>
          <w:sz w:val="24"/>
          <w:szCs w:val="24"/>
        </w:rPr>
        <w:t>Decreto 232/2010</w:t>
      </w:r>
      <w:r w:rsidR="004F177C">
        <w:rPr>
          <w:rFonts w:ascii="Arial" w:hAnsi="Arial" w:cs="Arial"/>
          <w:sz w:val="24"/>
          <w:szCs w:val="24"/>
        </w:rPr>
        <w:t xml:space="preserve">, cuyo </w:t>
      </w:r>
      <w:r w:rsidR="00E70572">
        <w:rPr>
          <w:rFonts w:ascii="Arial" w:hAnsi="Arial" w:cs="Arial"/>
          <w:sz w:val="24"/>
          <w:szCs w:val="24"/>
        </w:rPr>
        <w:t>Artículo 38 Nume</w:t>
      </w:r>
      <w:r w:rsidR="004F177C" w:rsidRPr="004F177C">
        <w:rPr>
          <w:rFonts w:ascii="Arial" w:hAnsi="Arial" w:cs="Arial"/>
          <w:sz w:val="24"/>
          <w:szCs w:val="24"/>
        </w:rPr>
        <w:t xml:space="preserve">ral 16 </w:t>
      </w:r>
      <w:r w:rsidR="004F177C">
        <w:rPr>
          <w:rFonts w:ascii="Arial" w:hAnsi="Arial" w:cs="Arial"/>
          <w:sz w:val="24"/>
          <w:szCs w:val="24"/>
        </w:rPr>
        <w:t xml:space="preserve">prescribe: </w:t>
      </w:r>
      <w:r w:rsidR="004F177C" w:rsidRPr="004F177C">
        <w:rPr>
          <w:rFonts w:ascii="Arial" w:hAnsi="Arial" w:cs="Arial"/>
          <w:i/>
          <w:color w:val="000000"/>
          <w:sz w:val="24"/>
          <w:szCs w:val="24"/>
        </w:rPr>
        <w:t>“Presupuesto y ejecución del mismo:</w:t>
      </w:r>
    </w:p>
    <w:p w14:paraId="1322FCC4" w14:textId="5DCEF2C9" w:rsidR="004F177C" w:rsidRPr="00290E18" w:rsidRDefault="004F177C" w:rsidP="00E70572">
      <w:pPr>
        <w:autoSpaceDE w:val="0"/>
        <w:autoSpaceDN w:val="0"/>
        <w:adjustRightInd w:val="0"/>
        <w:spacing w:after="0" w:line="360" w:lineRule="auto"/>
        <w:jc w:val="both"/>
        <w:rPr>
          <w:rFonts w:ascii="Arial" w:hAnsi="Arial" w:cs="Arial"/>
          <w:i/>
          <w:color w:val="FFFFFF"/>
          <w:sz w:val="24"/>
          <w:szCs w:val="24"/>
        </w:rPr>
      </w:pPr>
      <w:r w:rsidRPr="00E70572">
        <w:rPr>
          <w:rFonts w:ascii="Arial" w:hAnsi="Arial" w:cs="Arial"/>
          <w:b/>
          <w:i/>
          <w:color w:val="000000"/>
          <w:sz w:val="24"/>
          <w:szCs w:val="24"/>
        </w:rPr>
        <w:t>a.</w:t>
      </w:r>
      <w:r w:rsidRPr="00290E18">
        <w:rPr>
          <w:rFonts w:ascii="Arial" w:hAnsi="Arial" w:cs="Arial"/>
          <w:i/>
          <w:color w:val="000000"/>
          <w:sz w:val="24"/>
          <w:szCs w:val="24"/>
        </w:rPr>
        <w:t xml:space="preserve"> Ingresos recibidos por cualquier concepto, con indicación del responsable en la recepción, administración y ejecución</w:t>
      </w:r>
    </w:p>
    <w:p w14:paraId="16BC0998" w14:textId="40BE40F6" w:rsidR="004F177C" w:rsidRPr="00290E18" w:rsidRDefault="004F177C" w:rsidP="00E70572">
      <w:pPr>
        <w:autoSpaceDE w:val="0"/>
        <w:autoSpaceDN w:val="0"/>
        <w:adjustRightInd w:val="0"/>
        <w:spacing w:after="0" w:line="360" w:lineRule="auto"/>
        <w:jc w:val="both"/>
        <w:rPr>
          <w:rFonts w:ascii="Arial" w:hAnsi="Arial" w:cs="Arial"/>
          <w:i/>
          <w:color w:val="FFFFFF"/>
          <w:sz w:val="24"/>
          <w:szCs w:val="24"/>
        </w:rPr>
      </w:pPr>
      <w:r w:rsidRPr="00E70572">
        <w:rPr>
          <w:rFonts w:ascii="Arial" w:hAnsi="Arial" w:cs="Arial"/>
          <w:b/>
          <w:i/>
          <w:color w:val="000000"/>
          <w:sz w:val="24"/>
          <w:szCs w:val="24"/>
        </w:rPr>
        <w:t>b.</w:t>
      </w:r>
      <w:r w:rsidRPr="00290E18">
        <w:rPr>
          <w:rFonts w:ascii="Arial" w:hAnsi="Arial" w:cs="Arial"/>
          <w:i/>
          <w:color w:val="000000"/>
          <w:sz w:val="24"/>
          <w:szCs w:val="24"/>
        </w:rPr>
        <w:t xml:space="preserve"> Ingresos asignados por el presupuesto nacional</w:t>
      </w:r>
    </w:p>
    <w:p w14:paraId="1DF06707" w14:textId="1830FD07" w:rsidR="004F177C" w:rsidRPr="00290E18" w:rsidRDefault="004F177C" w:rsidP="00E70572">
      <w:pPr>
        <w:autoSpaceDE w:val="0"/>
        <w:autoSpaceDN w:val="0"/>
        <w:adjustRightInd w:val="0"/>
        <w:spacing w:after="0" w:line="360" w:lineRule="auto"/>
        <w:jc w:val="both"/>
        <w:rPr>
          <w:rFonts w:ascii="Arial" w:hAnsi="Arial" w:cs="Arial"/>
          <w:i/>
          <w:color w:val="FFFFFF"/>
          <w:sz w:val="24"/>
          <w:szCs w:val="24"/>
        </w:rPr>
      </w:pPr>
      <w:r w:rsidRPr="00E70572">
        <w:rPr>
          <w:rFonts w:ascii="Arial" w:hAnsi="Arial" w:cs="Arial"/>
          <w:b/>
          <w:i/>
          <w:color w:val="000000"/>
          <w:sz w:val="24"/>
          <w:szCs w:val="24"/>
        </w:rPr>
        <w:t>c.</w:t>
      </w:r>
      <w:r w:rsidRPr="00290E18">
        <w:rPr>
          <w:rFonts w:ascii="Arial" w:hAnsi="Arial" w:cs="Arial"/>
          <w:i/>
          <w:color w:val="000000"/>
          <w:sz w:val="24"/>
          <w:szCs w:val="24"/>
        </w:rPr>
        <w:t xml:space="preserve"> Estados financieros y balances generales de gastos</w:t>
      </w:r>
    </w:p>
    <w:p w14:paraId="54744127" w14:textId="3F436971" w:rsidR="004F177C" w:rsidRPr="00290E18" w:rsidRDefault="004F177C" w:rsidP="00E70572">
      <w:pPr>
        <w:autoSpaceDE w:val="0"/>
        <w:autoSpaceDN w:val="0"/>
        <w:adjustRightInd w:val="0"/>
        <w:spacing w:after="0" w:line="360" w:lineRule="auto"/>
        <w:jc w:val="both"/>
        <w:rPr>
          <w:rFonts w:ascii="Arial" w:hAnsi="Arial" w:cs="Arial"/>
          <w:i/>
          <w:color w:val="FFFFFF"/>
          <w:sz w:val="24"/>
          <w:szCs w:val="24"/>
        </w:rPr>
      </w:pPr>
      <w:r w:rsidRPr="00E70572">
        <w:rPr>
          <w:rFonts w:ascii="Arial" w:hAnsi="Arial" w:cs="Arial"/>
          <w:b/>
          <w:i/>
          <w:color w:val="000000"/>
          <w:sz w:val="24"/>
          <w:szCs w:val="24"/>
        </w:rPr>
        <w:t>d.</w:t>
      </w:r>
      <w:r w:rsidRPr="00290E18">
        <w:rPr>
          <w:rFonts w:ascii="Arial" w:hAnsi="Arial" w:cs="Arial"/>
          <w:i/>
          <w:color w:val="000000"/>
          <w:sz w:val="24"/>
          <w:szCs w:val="24"/>
        </w:rPr>
        <w:t xml:space="preserve"> Auditorías</w:t>
      </w:r>
    </w:p>
    <w:p w14:paraId="0AF468C9" w14:textId="7B5321C4" w:rsidR="004F177C" w:rsidRPr="00290E18" w:rsidRDefault="004F177C" w:rsidP="00E70572">
      <w:pPr>
        <w:autoSpaceDE w:val="0"/>
        <w:autoSpaceDN w:val="0"/>
        <w:adjustRightInd w:val="0"/>
        <w:spacing w:after="0" w:line="360" w:lineRule="auto"/>
        <w:jc w:val="both"/>
        <w:rPr>
          <w:rFonts w:ascii="Arial" w:hAnsi="Arial" w:cs="Arial"/>
          <w:color w:val="FFFFFF"/>
          <w:sz w:val="24"/>
          <w:szCs w:val="24"/>
        </w:rPr>
      </w:pPr>
      <w:r w:rsidRPr="00E70572">
        <w:rPr>
          <w:rFonts w:ascii="Arial" w:hAnsi="Arial" w:cs="Arial"/>
          <w:b/>
          <w:i/>
          <w:color w:val="000000"/>
          <w:sz w:val="24"/>
          <w:szCs w:val="24"/>
        </w:rPr>
        <w:t>i.</w:t>
      </w:r>
      <w:r w:rsidRPr="00290E18">
        <w:rPr>
          <w:rFonts w:ascii="Arial" w:hAnsi="Arial" w:cs="Arial"/>
          <w:i/>
          <w:color w:val="000000"/>
          <w:sz w:val="24"/>
          <w:szCs w:val="24"/>
        </w:rPr>
        <w:t xml:space="preserve"> Número y tipo de auditorías</w:t>
      </w:r>
    </w:p>
    <w:p w14:paraId="5D64A4E9" w14:textId="6DB11806" w:rsidR="004F177C" w:rsidRPr="00290E18" w:rsidRDefault="004F177C" w:rsidP="00E70572">
      <w:pPr>
        <w:autoSpaceDE w:val="0"/>
        <w:autoSpaceDN w:val="0"/>
        <w:adjustRightInd w:val="0"/>
        <w:spacing w:after="0" w:line="360" w:lineRule="auto"/>
        <w:rPr>
          <w:rFonts w:ascii="Arial" w:hAnsi="Arial" w:cs="Arial"/>
          <w:i/>
          <w:color w:val="FFFFFF"/>
          <w:sz w:val="24"/>
          <w:szCs w:val="24"/>
        </w:rPr>
      </w:pPr>
      <w:r w:rsidRPr="00E70572">
        <w:rPr>
          <w:rFonts w:ascii="Arial" w:hAnsi="Arial" w:cs="Arial"/>
          <w:b/>
          <w:i/>
          <w:color w:val="000000"/>
          <w:sz w:val="24"/>
          <w:szCs w:val="24"/>
        </w:rPr>
        <w:t>ii.</w:t>
      </w:r>
      <w:r w:rsidRPr="00290E18">
        <w:rPr>
          <w:rFonts w:ascii="Arial" w:hAnsi="Arial" w:cs="Arial"/>
          <w:i/>
          <w:color w:val="000000"/>
          <w:sz w:val="24"/>
          <w:szCs w:val="24"/>
        </w:rPr>
        <w:t xml:space="preserve"> Número de observaciones realizadas por rubro de auditoría sujeto a revisión</w:t>
      </w:r>
      <w:r w:rsidRPr="00290E18">
        <w:rPr>
          <w:rFonts w:ascii="Arial" w:hAnsi="Arial" w:cs="Arial"/>
          <w:i/>
          <w:color w:val="FFFFFF"/>
          <w:sz w:val="24"/>
          <w:szCs w:val="24"/>
        </w:rPr>
        <w:t xml:space="preserve">. </w:t>
      </w:r>
    </w:p>
    <w:p w14:paraId="791759D4" w14:textId="77777777" w:rsidR="004F177C" w:rsidRDefault="004F177C" w:rsidP="00E70572">
      <w:pPr>
        <w:autoSpaceDE w:val="0"/>
        <w:autoSpaceDN w:val="0"/>
        <w:adjustRightInd w:val="0"/>
        <w:spacing w:after="0" w:line="360" w:lineRule="auto"/>
        <w:rPr>
          <w:rFonts w:ascii="Arial" w:hAnsi="Arial" w:cs="Arial"/>
          <w:i/>
          <w:color w:val="000000"/>
          <w:sz w:val="24"/>
          <w:szCs w:val="24"/>
        </w:rPr>
      </w:pPr>
      <w:r w:rsidRPr="00E70572">
        <w:rPr>
          <w:rFonts w:ascii="Arial" w:hAnsi="Arial" w:cs="Arial"/>
          <w:b/>
          <w:i/>
          <w:color w:val="000000"/>
          <w:sz w:val="24"/>
          <w:szCs w:val="24"/>
        </w:rPr>
        <w:t>iii.</w:t>
      </w:r>
      <w:r w:rsidRPr="00290E18">
        <w:rPr>
          <w:rFonts w:ascii="Arial" w:hAnsi="Arial" w:cs="Arial"/>
          <w:i/>
          <w:color w:val="000000"/>
          <w:sz w:val="24"/>
          <w:szCs w:val="24"/>
        </w:rPr>
        <w:t xml:space="preserve"> Total de aclaraciones efectuadas por el sujeto obligado”</w:t>
      </w:r>
      <w:r>
        <w:rPr>
          <w:rFonts w:ascii="Arial" w:hAnsi="Arial" w:cs="Arial"/>
          <w:i/>
          <w:color w:val="000000"/>
          <w:sz w:val="24"/>
          <w:szCs w:val="24"/>
        </w:rPr>
        <w:t>.</w:t>
      </w:r>
    </w:p>
    <w:p w14:paraId="254D4ED9" w14:textId="3F964CC2" w:rsidR="00E70572" w:rsidRDefault="00A36EEE" w:rsidP="00A36EEE">
      <w:pPr>
        <w:autoSpaceDE w:val="0"/>
        <w:autoSpaceDN w:val="0"/>
        <w:adjustRightInd w:val="0"/>
        <w:spacing w:after="0" w:line="360" w:lineRule="auto"/>
        <w:ind w:firstLine="2977"/>
        <w:jc w:val="both"/>
        <w:rPr>
          <w:rFonts w:ascii="Arial" w:hAnsi="Arial" w:cs="Arial"/>
          <w:color w:val="000000"/>
          <w:sz w:val="24"/>
          <w:szCs w:val="24"/>
        </w:rPr>
      </w:pPr>
      <w:r>
        <w:rPr>
          <w:rFonts w:ascii="Arial" w:hAnsi="Arial" w:cs="Arial"/>
          <w:b/>
          <w:color w:val="000000"/>
          <w:sz w:val="24"/>
          <w:szCs w:val="24"/>
        </w:rPr>
        <w:t xml:space="preserve"> </w:t>
      </w:r>
      <w:r w:rsidR="00D140CF" w:rsidRPr="00E70572">
        <w:rPr>
          <w:rFonts w:ascii="Arial" w:hAnsi="Arial" w:cs="Arial"/>
          <w:b/>
          <w:color w:val="000000"/>
          <w:sz w:val="24"/>
          <w:szCs w:val="24"/>
        </w:rPr>
        <w:t>7</w:t>
      </w:r>
      <w:r w:rsidR="004F177C" w:rsidRPr="00E70572">
        <w:rPr>
          <w:rFonts w:ascii="Arial" w:hAnsi="Arial" w:cs="Arial"/>
          <w:b/>
          <w:color w:val="000000"/>
          <w:sz w:val="24"/>
          <w:szCs w:val="24"/>
        </w:rPr>
        <w:t>)</w:t>
      </w:r>
      <w:r w:rsidR="00D140CF">
        <w:rPr>
          <w:rFonts w:ascii="Arial" w:hAnsi="Arial" w:cs="Arial"/>
          <w:color w:val="000000"/>
          <w:sz w:val="24"/>
          <w:szCs w:val="24"/>
        </w:rPr>
        <w:t xml:space="preserve"> que, en cuanto a las publicaciones de los estados financieros de ANCAP en su sitio web, corresponde expresar que el Ente se apartó de lo dis</w:t>
      </w:r>
      <w:r w:rsidR="00E70572">
        <w:rPr>
          <w:rFonts w:ascii="Arial" w:hAnsi="Arial" w:cs="Arial"/>
          <w:color w:val="000000"/>
          <w:sz w:val="24"/>
          <w:szCs w:val="24"/>
        </w:rPr>
        <w:t>puesto por el Artículo 5 de la Ley 18.381 y su D</w:t>
      </w:r>
      <w:r w:rsidR="00D140CF">
        <w:rPr>
          <w:rFonts w:ascii="Arial" w:hAnsi="Arial" w:cs="Arial"/>
          <w:color w:val="000000"/>
          <w:sz w:val="24"/>
          <w:szCs w:val="24"/>
        </w:rPr>
        <w:t>ecreto reglamentario, en la medida que no incluyó los dictámenes de este Tribunal en los estados financieros publicados;</w:t>
      </w:r>
    </w:p>
    <w:p w14:paraId="6A5479AB" w14:textId="040B72BD" w:rsidR="00534F7C" w:rsidRDefault="00A36EEE" w:rsidP="00E70572">
      <w:pPr>
        <w:autoSpaceDE w:val="0"/>
        <w:autoSpaceDN w:val="0"/>
        <w:adjustRightInd w:val="0"/>
        <w:spacing w:after="0" w:line="360" w:lineRule="auto"/>
        <w:ind w:firstLine="2977"/>
        <w:jc w:val="both"/>
        <w:rPr>
          <w:rFonts w:ascii="Arial" w:hAnsi="Arial" w:cs="Arial"/>
          <w:sz w:val="24"/>
          <w:szCs w:val="24"/>
        </w:rPr>
      </w:pPr>
      <w:r>
        <w:rPr>
          <w:rFonts w:ascii="Arial" w:hAnsi="Arial" w:cs="Arial"/>
          <w:b/>
          <w:color w:val="000000"/>
          <w:sz w:val="24"/>
          <w:szCs w:val="24"/>
        </w:rPr>
        <w:t xml:space="preserve"> </w:t>
      </w:r>
      <w:r w:rsidR="009D24E7" w:rsidRPr="00E70572">
        <w:rPr>
          <w:rFonts w:ascii="Arial" w:hAnsi="Arial" w:cs="Arial"/>
          <w:b/>
          <w:color w:val="000000"/>
          <w:sz w:val="24"/>
          <w:szCs w:val="24"/>
        </w:rPr>
        <w:t>8)</w:t>
      </w:r>
      <w:r w:rsidR="00E70572">
        <w:rPr>
          <w:rFonts w:ascii="Arial" w:hAnsi="Arial" w:cs="Arial"/>
          <w:color w:val="000000"/>
          <w:sz w:val="24"/>
          <w:szCs w:val="24"/>
        </w:rPr>
        <w:t xml:space="preserve"> que, en lo que refiere al E</w:t>
      </w:r>
      <w:r w:rsidR="009D24E7">
        <w:rPr>
          <w:rFonts w:ascii="Arial" w:hAnsi="Arial" w:cs="Arial"/>
          <w:color w:val="000000"/>
          <w:sz w:val="24"/>
          <w:szCs w:val="24"/>
        </w:rPr>
        <w:t xml:space="preserve">jercicio 2013, </w:t>
      </w:r>
      <w:r w:rsidR="00534F7C">
        <w:rPr>
          <w:rFonts w:ascii="Arial" w:hAnsi="Arial" w:cs="Arial"/>
          <w:color w:val="000000"/>
          <w:sz w:val="24"/>
          <w:szCs w:val="24"/>
        </w:rPr>
        <w:t>a</w:t>
      </w:r>
      <w:r w:rsidR="009D24E7">
        <w:rPr>
          <w:rFonts w:ascii="Arial" w:hAnsi="Arial" w:cs="Arial"/>
          <w:color w:val="000000"/>
          <w:sz w:val="24"/>
          <w:szCs w:val="24"/>
        </w:rPr>
        <w:t xml:space="preserve">l haber publicado en el sitio web, dos estados contables diferentes (Resultando 5), </w:t>
      </w:r>
      <w:r w:rsidR="00534F7C">
        <w:rPr>
          <w:rFonts w:ascii="Arial" w:hAnsi="Arial" w:cs="Arial"/>
          <w:color w:val="000000"/>
          <w:sz w:val="24"/>
          <w:szCs w:val="24"/>
        </w:rPr>
        <w:t xml:space="preserve">el Organismo afecta el derecho de las personas al acceso a la </w:t>
      </w:r>
      <w:r w:rsidR="0090714A">
        <w:rPr>
          <w:rFonts w:ascii="Arial" w:hAnsi="Arial" w:cs="Arial"/>
          <w:color w:val="000000"/>
          <w:sz w:val="24"/>
          <w:szCs w:val="24"/>
        </w:rPr>
        <w:t>información pública, consagrado</w:t>
      </w:r>
      <w:r w:rsidR="00E70572">
        <w:rPr>
          <w:rFonts w:ascii="Arial" w:hAnsi="Arial" w:cs="Arial"/>
          <w:color w:val="000000"/>
          <w:sz w:val="24"/>
          <w:szCs w:val="24"/>
        </w:rPr>
        <w:t xml:space="preserve"> en el Artículo 1º de la L</w:t>
      </w:r>
      <w:r w:rsidR="00534F7C">
        <w:rPr>
          <w:rFonts w:ascii="Arial" w:hAnsi="Arial" w:cs="Arial"/>
          <w:color w:val="000000"/>
          <w:sz w:val="24"/>
          <w:szCs w:val="24"/>
        </w:rPr>
        <w:t>ey 18.381</w:t>
      </w:r>
      <w:r w:rsidR="0090714A">
        <w:rPr>
          <w:rFonts w:ascii="Arial" w:hAnsi="Arial" w:cs="Arial"/>
          <w:color w:val="000000"/>
          <w:sz w:val="24"/>
          <w:szCs w:val="24"/>
        </w:rPr>
        <w:t>;</w:t>
      </w:r>
    </w:p>
    <w:p w14:paraId="45CC9493" w14:textId="4B5E8578" w:rsidR="009F64E1" w:rsidRDefault="00534F7C" w:rsidP="00E70572">
      <w:pPr>
        <w:autoSpaceDE w:val="0"/>
        <w:autoSpaceDN w:val="0"/>
        <w:adjustRightInd w:val="0"/>
        <w:spacing w:after="0" w:line="360" w:lineRule="auto"/>
        <w:ind w:firstLine="851"/>
        <w:jc w:val="both"/>
        <w:rPr>
          <w:rFonts w:ascii="Arial" w:hAnsi="Arial" w:cs="Arial"/>
          <w:sz w:val="24"/>
          <w:szCs w:val="24"/>
        </w:rPr>
      </w:pPr>
      <w:r w:rsidRPr="00475F06">
        <w:rPr>
          <w:rFonts w:ascii="Arial" w:hAnsi="Arial" w:cs="Arial"/>
          <w:b/>
          <w:sz w:val="24"/>
          <w:szCs w:val="24"/>
        </w:rPr>
        <w:t>ATENTO</w:t>
      </w:r>
      <w:r w:rsidR="00D75C5C">
        <w:rPr>
          <w:rFonts w:ascii="Arial" w:hAnsi="Arial" w:cs="Arial"/>
          <w:b/>
          <w:sz w:val="24"/>
          <w:szCs w:val="24"/>
        </w:rPr>
        <w:t xml:space="preserve">: </w:t>
      </w:r>
      <w:r>
        <w:rPr>
          <w:rFonts w:ascii="Arial" w:hAnsi="Arial" w:cs="Arial"/>
          <w:sz w:val="24"/>
          <w:szCs w:val="24"/>
        </w:rPr>
        <w:t>a lo expuesto precedentemente y a lo di</w:t>
      </w:r>
      <w:r w:rsidR="00E70572">
        <w:rPr>
          <w:rFonts w:ascii="Arial" w:hAnsi="Arial" w:cs="Arial"/>
          <w:sz w:val="24"/>
          <w:szCs w:val="24"/>
        </w:rPr>
        <w:t>spuesto por los Artículos 211, L</w:t>
      </w:r>
      <w:r>
        <w:rPr>
          <w:rFonts w:ascii="Arial" w:hAnsi="Arial" w:cs="Arial"/>
          <w:sz w:val="24"/>
          <w:szCs w:val="24"/>
        </w:rPr>
        <w:t>iteral E</w:t>
      </w:r>
      <w:r w:rsidR="00E70572">
        <w:rPr>
          <w:rFonts w:ascii="Arial" w:hAnsi="Arial" w:cs="Arial"/>
          <w:sz w:val="24"/>
          <w:szCs w:val="24"/>
        </w:rPr>
        <w:t>)</w:t>
      </w:r>
      <w:r>
        <w:rPr>
          <w:rFonts w:ascii="Arial" w:hAnsi="Arial" w:cs="Arial"/>
          <w:sz w:val="24"/>
          <w:szCs w:val="24"/>
        </w:rPr>
        <w:t xml:space="preserve"> y 228 de la Constitución de la </w:t>
      </w:r>
      <w:r w:rsidR="00475F06">
        <w:rPr>
          <w:rFonts w:ascii="Arial" w:hAnsi="Arial" w:cs="Arial"/>
          <w:sz w:val="24"/>
          <w:szCs w:val="24"/>
        </w:rPr>
        <w:t>R</w:t>
      </w:r>
      <w:r>
        <w:rPr>
          <w:rFonts w:ascii="Arial" w:hAnsi="Arial" w:cs="Arial"/>
          <w:sz w:val="24"/>
          <w:szCs w:val="24"/>
        </w:rPr>
        <w:t>epública y Literal J</w:t>
      </w:r>
      <w:r w:rsidR="00E70572">
        <w:rPr>
          <w:rFonts w:ascii="Arial" w:hAnsi="Arial" w:cs="Arial"/>
          <w:sz w:val="24"/>
          <w:szCs w:val="24"/>
        </w:rPr>
        <w:t>) del Artículo 21 de la L</w:t>
      </w:r>
      <w:r>
        <w:rPr>
          <w:rFonts w:ascii="Arial" w:hAnsi="Arial" w:cs="Arial"/>
          <w:sz w:val="24"/>
          <w:szCs w:val="24"/>
        </w:rPr>
        <w:t>ey</w:t>
      </w:r>
      <w:r w:rsidR="00475F06">
        <w:rPr>
          <w:rFonts w:ascii="Arial" w:hAnsi="Arial" w:cs="Arial"/>
          <w:sz w:val="24"/>
          <w:szCs w:val="24"/>
        </w:rPr>
        <w:t xml:space="preserve"> 18.381;</w:t>
      </w:r>
    </w:p>
    <w:p w14:paraId="546CA41E" w14:textId="3675F0FE" w:rsidR="009F64E1" w:rsidRPr="00475F06" w:rsidRDefault="009F64E1" w:rsidP="00475F06">
      <w:pPr>
        <w:autoSpaceDE w:val="0"/>
        <w:autoSpaceDN w:val="0"/>
        <w:adjustRightInd w:val="0"/>
        <w:spacing w:after="0" w:line="360" w:lineRule="auto"/>
        <w:jc w:val="center"/>
        <w:rPr>
          <w:rFonts w:ascii="Arial" w:hAnsi="Arial" w:cs="Arial"/>
          <w:b/>
          <w:sz w:val="24"/>
          <w:szCs w:val="24"/>
        </w:rPr>
      </w:pPr>
      <w:r w:rsidRPr="00475F06">
        <w:rPr>
          <w:rFonts w:ascii="Arial" w:hAnsi="Arial" w:cs="Arial"/>
          <w:b/>
          <w:sz w:val="24"/>
          <w:szCs w:val="24"/>
        </w:rPr>
        <w:t xml:space="preserve">EL TRIBUNAL </w:t>
      </w:r>
      <w:r w:rsidR="00E70572">
        <w:rPr>
          <w:rFonts w:ascii="Arial" w:hAnsi="Arial" w:cs="Arial"/>
          <w:b/>
          <w:sz w:val="24"/>
          <w:szCs w:val="24"/>
        </w:rPr>
        <w:t xml:space="preserve">POR MAYORIA </w:t>
      </w:r>
      <w:r w:rsidRPr="00475F06">
        <w:rPr>
          <w:rFonts w:ascii="Arial" w:hAnsi="Arial" w:cs="Arial"/>
          <w:b/>
          <w:sz w:val="24"/>
          <w:szCs w:val="24"/>
        </w:rPr>
        <w:t>ACUERDA</w:t>
      </w:r>
    </w:p>
    <w:p w14:paraId="66E0EF22" w14:textId="6A7E1EA6" w:rsidR="009F64E1" w:rsidRDefault="00E70572" w:rsidP="00475F06">
      <w:pPr>
        <w:pStyle w:val="Prrafodelista"/>
        <w:numPr>
          <w:ilvl w:val="0"/>
          <w:numId w:val="2"/>
        </w:numPr>
        <w:autoSpaceDE w:val="0"/>
        <w:autoSpaceDN w:val="0"/>
        <w:adjustRightInd w:val="0"/>
        <w:spacing w:after="0" w:line="360" w:lineRule="auto"/>
        <w:ind w:left="426" w:hanging="426"/>
        <w:jc w:val="both"/>
        <w:rPr>
          <w:rFonts w:ascii="Arial" w:hAnsi="Arial" w:cs="Arial"/>
          <w:sz w:val="24"/>
          <w:szCs w:val="24"/>
        </w:rPr>
      </w:pPr>
      <w:r>
        <w:rPr>
          <w:rFonts w:ascii="Arial" w:hAnsi="Arial" w:cs="Arial"/>
          <w:sz w:val="24"/>
          <w:szCs w:val="24"/>
        </w:rPr>
        <w:t>Observar lo actuado por la Administración Nacional de Combustibles, Alcohol y Portland;</w:t>
      </w:r>
    </w:p>
    <w:p w14:paraId="5E42DC31" w14:textId="4BE6BBBA" w:rsidR="00475F06" w:rsidRDefault="00475F06" w:rsidP="00475F06">
      <w:pPr>
        <w:pStyle w:val="Prrafodelista"/>
        <w:numPr>
          <w:ilvl w:val="0"/>
          <w:numId w:val="2"/>
        </w:numPr>
        <w:autoSpaceDE w:val="0"/>
        <w:autoSpaceDN w:val="0"/>
        <w:adjustRightInd w:val="0"/>
        <w:spacing w:after="0" w:line="360" w:lineRule="auto"/>
        <w:ind w:left="426" w:hanging="426"/>
        <w:jc w:val="both"/>
        <w:rPr>
          <w:rFonts w:ascii="Arial" w:hAnsi="Arial" w:cs="Arial"/>
          <w:sz w:val="24"/>
          <w:szCs w:val="24"/>
        </w:rPr>
      </w:pPr>
      <w:r>
        <w:rPr>
          <w:rFonts w:ascii="Arial" w:hAnsi="Arial" w:cs="Arial"/>
          <w:sz w:val="24"/>
          <w:szCs w:val="24"/>
        </w:rPr>
        <w:t xml:space="preserve">Comunicar </w:t>
      </w:r>
      <w:r w:rsidR="0090714A">
        <w:rPr>
          <w:rFonts w:ascii="Arial" w:hAnsi="Arial" w:cs="Arial"/>
          <w:sz w:val="24"/>
          <w:szCs w:val="24"/>
        </w:rPr>
        <w:t xml:space="preserve">a </w:t>
      </w:r>
      <w:r w:rsidR="00E70572">
        <w:rPr>
          <w:rFonts w:ascii="Arial" w:hAnsi="Arial" w:cs="Arial"/>
          <w:sz w:val="24"/>
          <w:szCs w:val="24"/>
        </w:rPr>
        <w:t xml:space="preserve">la Administración Nacional de Combustibles, Alcohol y Portland </w:t>
      </w:r>
      <w:r w:rsidR="0090714A">
        <w:rPr>
          <w:rFonts w:ascii="Arial" w:hAnsi="Arial" w:cs="Arial"/>
          <w:sz w:val="24"/>
          <w:szCs w:val="24"/>
        </w:rPr>
        <w:t xml:space="preserve">y </w:t>
      </w:r>
      <w:r>
        <w:rPr>
          <w:rFonts w:ascii="Arial" w:hAnsi="Arial" w:cs="Arial"/>
          <w:sz w:val="24"/>
          <w:szCs w:val="24"/>
        </w:rPr>
        <w:t>al Poder Ejecu</w:t>
      </w:r>
      <w:r w:rsidR="00A36EEE">
        <w:rPr>
          <w:rFonts w:ascii="Arial" w:hAnsi="Arial" w:cs="Arial"/>
          <w:sz w:val="24"/>
          <w:szCs w:val="24"/>
        </w:rPr>
        <w:t>tivo;</w:t>
      </w:r>
    </w:p>
    <w:p w14:paraId="460632C5" w14:textId="5C3D4B13" w:rsidR="009F64E1" w:rsidRDefault="009F64E1" w:rsidP="00475F06">
      <w:pPr>
        <w:pStyle w:val="Prrafodelista"/>
        <w:numPr>
          <w:ilvl w:val="0"/>
          <w:numId w:val="2"/>
        </w:numPr>
        <w:autoSpaceDE w:val="0"/>
        <w:autoSpaceDN w:val="0"/>
        <w:adjustRightInd w:val="0"/>
        <w:spacing w:after="0" w:line="360" w:lineRule="auto"/>
        <w:ind w:left="426" w:hanging="426"/>
        <w:jc w:val="both"/>
        <w:rPr>
          <w:rFonts w:ascii="Arial" w:hAnsi="Arial" w:cs="Arial"/>
          <w:sz w:val="24"/>
          <w:szCs w:val="24"/>
        </w:rPr>
      </w:pPr>
      <w:r>
        <w:rPr>
          <w:rFonts w:ascii="Arial" w:hAnsi="Arial" w:cs="Arial"/>
          <w:sz w:val="24"/>
          <w:szCs w:val="24"/>
        </w:rPr>
        <w:t>Poner en conocimiento de la Unidad de Acceso a la Informació</w:t>
      </w:r>
      <w:r w:rsidR="00E70572">
        <w:rPr>
          <w:rFonts w:ascii="Arial" w:hAnsi="Arial" w:cs="Arial"/>
          <w:sz w:val="24"/>
          <w:szCs w:val="24"/>
        </w:rPr>
        <w:t>n Pública la situación expuesta;</w:t>
      </w:r>
    </w:p>
    <w:p w14:paraId="76D689C7" w14:textId="77777777" w:rsidR="009F64E1" w:rsidRDefault="0090714A" w:rsidP="00475F06">
      <w:pPr>
        <w:pStyle w:val="Prrafodelista"/>
        <w:numPr>
          <w:ilvl w:val="0"/>
          <w:numId w:val="2"/>
        </w:numPr>
        <w:autoSpaceDE w:val="0"/>
        <w:autoSpaceDN w:val="0"/>
        <w:adjustRightInd w:val="0"/>
        <w:spacing w:after="0" w:line="360" w:lineRule="auto"/>
        <w:ind w:left="426" w:hanging="426"/>
        <w:jc w:val="both"/>
        <w:rPr>
          <w:rFonts w:ascii="Arial" w:hAnsi="Arial" w:cs="Arial"/>
          <w:sz w:val="24"/>
          <w:szCs w:val="24"/>
        </w:rPr>
      </w:pPr>
      <w:r>
        <w:rPr>
          <w:rFonts w:ascii="Arial" w:hAnsi="Arial" w:cs="Arial"/>
          <w:sz w:val="24"/>
          <w:szCs w:val="24"/>
        </w:rPr>
        <w:t>Dar cuenta de</w:t>
      </w:r>
      <w:r w:rsidR="009F64E1">
        <w:rPr>
          <w:rFonts w:ascii="Arial" w:hAnsi="Arial" w:cs="Arial"/>
          <w:sz w:val="24"/>
          <w:szCs w:val="24"/>
        </w:rPr>
        <w:t xml:space="preserve"> los hechos constatados a la Asamblea General.</w:t>
      </w:r>
    </w:p>
    <w:p w14:paraId="65AB18FD" w14:textId="77777777" w:rsidR="00E70572" w:rsidRDefault="00E70572" w:rsidP="00E70572">
      <w:pPr>
        <w:autoSpaceDE w:val="0"/>
        <w:autoSpaceDN w:val="0"/>
        <w:adjustRightInd w:val="0"/>
        <w:spacing w:after="0" w:line="360" w:lineRule="auto"/>
        <w:jc w:val="both"/>
        <w:rPr>
          <w:rFonts w:ascii="Arial" w:hAnsi="Arial" w:cs="Arial"/>
          <w:sz w:val="24"/>
          <w:szCs w:val="24"/>
        </w:rPr>
      </w:pPr>
    </w:p>
    <w:p w14:paraId="28414D13" w14:textId="77777777" w:rsidR="00E70572" w:rsidRDefault="00E70572" w:rsidP="00E70572">
      <w:pPr>
        <w:autoSpaceDE w:val="0"/>
        <w:autoSpaceDN w:val="0"/>
        <w:adjustRightInd w:val="0"/>
        <w:spacing w:after="0" w:line="360" w:lineRule="auto"/>
        <w:jc w:val="both"/>
        <w:rPr>
          <w:rFonts w:ascii="Arial" w:hAnsi="Arial" w:cs="Arial"/>
          <w:sz w:val="24"/>
          <w:szCs w:val="24"/>
        </w:rPr>
      </w:pPr>
    </w:p>
    <w:p w14:paraId="6C369B1B" w14:textId="77777777" w:rsidR="00E70572" w:rsidRDefault="00E70572" w:rsidP="00E70572">
      <w:pPr>
        <w:autoSpaceDE w:val="0"/>
        <w:autoSpaceDN w:val="0"/>
        <w:adjustRightInd w:val="0"/>
        <w:spacing w:after="0" w:line="360" w:lineRule="auto"/>
        <w:jc w:val="both"/>
        <w:rPr>
          <w:rFonts w:ascii="Arial" w:hAnsi="Arial" w:cs="Arial"/>
          <w:sz w:val="24"/>
          <w:szCs w:val="24"/>
        </w:rPr>
      </w:pPr>
    </w:p>
    <w:p w14:paraId="4C695613" w14:textId="77777777" w:rsidR="00427FE8" w:rsidRDefault="00427FE8" w:rsidP="00E70572">
      <w:pPr>
        <w:autoSpaceDE w:val="0"/>
        <w:autoSpaceDN w:val="0"/>
        <w:adjustRightInd w:val="0"/>
        <w:spacing w:after="0" w:line="360" w:lineRule="auto"/>
        <w:jc w:val="both"/>
        <w:rPr>
          <w:rFonts w:ascii="Arial" w:hAnsi="Arial" w:cs="Arial"/>
          <w:sz w:val="24"/>
          <w:szCs w:val="24"/>
        </w:rPr>
      </w:pPr>
    </w:p>
    <w:p w14:paraId="0017E1E9" w14:textId="77777777" w:rsidR="00427FE8" w:rsidRDefault="00427FE8" w:rsidP="00E70572">
      <w:pPr>
        <w:autoSpaceDE w:val="0"/>
        <w:autoSpaceDN w:val="0"/>
        <w:adjustRightInd w:val="0"/>
        <w:spacing w:after="0" w:line="360" w:lineRule="auto"/>
        <w:jc w:val="both"/>
        <w:rPr>
          <w:rFonts w:ascii="Arial" w:hAnsi="Arial" w:cs="Arial"/>
          <w:sz w:val="24"/>
          <w:szCs w:val="24"/>
        </w:rPr>
      </w:pPr>
    </w:p>
    <w:p w14:paraId="2F42544E" w14:textId="77777777" w:rsidR="00427FE8" w:rsidRDefault="00427FE8" w:rsidP="00E70572">
      <w:pPr>
        <w:autoSpaceDE w:val="0"/>
        <w:autoSpaceDN w:val="0"/>
        <w:adjustRightInd w:val="0"/>
        <w:spacing w:after="0" w:line="360" w:lineRule="auto"/>
        <w:jc w:val="both"/>
        <w:rPr>
          <w:rFonts w:ascii="Arial" w:hAnsi="Arial" w:cs="Arial"/>
          <w:sz w:val="24"/>
          <w:szCs w:val="24"/>
        </w:rPr>
      </w:pPr>
    </w:p>
    <w:p w14:paraId="1EA8F1B5" w14:textId="77777777" w:rsidR="00427FE8" w:rsidRDefault="00427FE8" w:rsidP="00E70572">
      <w:pPr>
        <w:autoSpaceDE w:val="0"/>
        <w:autoSpaceDN w:val="0"/>
        <w:adjustRightInd w:val="0"/>
        <w:spacing w:after="0" w:line="360" w:lineRule="auto"/>
        <w:jc w:val="both"/>
        <w:rPr>
          <w:rFonts w:ascii="Arial" w:hAnsi="Arial" w:cs="Arial"/>
          <w:sz w:val="24"/>
          <w:szCs w:val="24"/>
        </w:rPr>
      </w:pPr>
    </w:p>
    <w:p w14:paraId="5FEEE43A" w14:textId="1B390260" w:rsidR="00427FE8" w:rsidRPr="00427FE8" w:rsidRDefault="00427FE8" w:rsidP="00427FE8">
      <w:pPr>
        <w:spacing w:after="0" w:line="360" w:lineRule="auto"/>
        <w:jc w:val="both"/>
        <w:rPr>
          <w:rFonts w:ascii="Arial" w:hAnsi="Arial" w:cs="Arial"/>
          <w:sz w:val="24"/>
          <w:szCs w:val="24"/>
        </w:rPr>
      </w:pPr>
      <w:r w:rsidRPr="00427FE8">
        <w:rPr>
          <w:rFonts w:ascii="Arial" w:hAnsi="Arial" w:cs="Arial"/>
          <w:b/>
          <w:sz w:val="24"/>
          <w:szCs w:val="24"/>
          <w:lang w:val="es-UY"/>
        </w:rPr>
        <w:t>CONSTANCIA DE FUNDAMENTO DE VOTO DISCORDE DE LA MINISTRA             CRA. DIANA MARCOS:</w:t>
      </w:r>
      <w:r>
        <w:rPr>
          <w:rFonts w:ascii="Arial" w:hAnsi="Arial" w:cs="Arial"/>
          <w:b/>
          <w:sz w:val="24"/>
          <w:szCs w:val="24"/>
          <w:lang w:val="es-UY"/>
        </w:rPr>
        <w:t xml:space="preserve"> “</w:t>
      </w:r>
      <w:r w:rsidRPr="00427FE8">
        <w:rPr>
          <w:rFonts w:ascii="Arial" w:hAnsi="Arial" w:cs="Arial"/>
          <w:sz w:val="24"/>
          <w:szCs w:val="24"/>
        </w:rPr>
        <w:t>Fundamento mi voto discorde en el expediente que refiere a las publicaciones efectuadas por ANCAP con relación a sus Estados Contables y Financieros.</w:t>
      </w:r>
    </w:p>
    <w:p w14:paraId="6AB661FB" w14:textId="77777777" w:rsidR="00427FE8" w:rsidRPr="00427FE8" w:rsidRDefault="00427FE8" w:rsidP="00427FE8">
      <w:pPr>
        <w:spacing w:after="0" w:line="360" w:lineRule="auto"/>
        <w:jc w:val="both"/>
        <w:rPr>
          <w:rFonts w:ascii="Arial" w:hAnsi="Arial" w:cs="Arial"/>
          <w:sz w:val="24"/>
          <w:szCs w:val="24"/>
        </w:rPr>
      </w:pPr>
      <w:r w:rsidRPr="00427FE8">
        <w:rPr>
          <w:rFonts w:ascii="Arial" w:hAnsi="Arial" w:cs="Arial"/>
          <w:sz w:val="24"/>
          <w:szCs w:val="24"/>
        </w:rPr>
        <w:t>Considero que ANCAP debe ser observada por no ajustarse a lo establecido en las normas contables referidas en el art. 191 de la Constitución de la República, por la Ley 17.040 y además  como lo expresa el numeral 30 de la Ordenanza 81 “Los Estados Contables (o financieros)  que corresponda publicar en aplicación de lo dispuesto por el Artículo 191 de la Constitución  de la República y por la Ley Nº 17040 de fecha 20 de noviembre de 1998, así como por las  respectivas Leyes Orgánicas de las unidades contables obligadas, deberán ser los remitidos al Tribunal de Cuentas para su Dictamen”.</w:t>
      </w:r>
    </w:p>
    <w:p w14:paraId="71D9BD03" w14:textId="446C958A" w:rsidR="00427FE8" w:rsidRDefault="00427FE8" w:rsidP="00427FE8">
      <w:pPr>
        <w:spacing w:after="0" w:line="360" w:lineRule="auto"/>
        <w:jc w:val="both"/>
        <w:rPr>
          <w:rFonts w:ascii="Arial" w:hAnsi="Arial" w:cs="Arial"/>
          <w:sz w:val="24"/>
          <w:szCs w:val="24"/>
        </w:rPr>
      </w:pPr>
      <w:r w:rsidRPr="00427FE8">
        <w:rPr>
          <w:rFonts w:ascii="Arial" w:hAnsi="Arial" w:cs="Arial"/>
          <w:sz w:val="24"/>
          <w:szCs w:val="24"/>
        </w:rPr>
        <w:t>La Administración no publicó  los Estados Financieros  Consolidados e Individuales en forma periódica y oportuna en dos diarios de circulación nacional con el dictamen del Tribunal de Cuentas</w:t>
      </w:r>
      <w:r>
        <w:rPr>
          <w:rFonts w:ascii="Arial" w:hAnsi="Arial" w:cs="Arial"/>
          <w:sz w:val="24"/>
          <w:szCs w:val="24"/>
        </w:rPr>
        <w:t>”</w:t>
      </w:r>
      <w:r w:rsidRPr="00427FE8">
        <w:rPr>
          <w:rFonts w:ascii="Arial" w:hAnsi="Arial" w:cs="Arial"/>
          <w:sz w:val="24"/>
          <w:szCs w:val="24"/>
        </w:rPr>
        <w:t>.</w:t>
      </w:r>
    </w:p>
    <w:p w14:paraId="14B19D70" w14:textId="77777777" w:rsidR="00427FE8" w:rsidRDefault="00427FE8" w:rsidP="00427FE8">
      <w:pPr>
        <w:spacing w:after="0" w:line="360" w:lineRule="auto"/>
        <w:jc w:val="both"/>
        <w:rPr>
          <w:rFonts w:ascii="Arial" w:hAnsi="Arial" w:cs="Arial"/>
          <w:sz w:val="24"/>
          <w:szCs w:val="24"/>
        </w:rPr>
      </w:pPr>
    </w:p>
    <w:p w14:paraId="4F86439F" w14:textId="42CE19C9" w:rsidR="00E64833" w:rsidRPr="00E64833" w:rsidRDefault="00427FE8" w:rsidP="00E64833">
      <w:pPr>
        <w:pStyle w:val="Sinespaciado"/>
        <w:spacing w:line="360" w:lineRule="auto"/>
        <w:jc w:val="both"/>
        <w:rPr>
          <w:rFonts w:ascii="Arial" w:hAnsi="Arial" w:cs="Arial"/>
          <w:sz w:val="24"/>
          <w:szCs w:val="24"/>
        </w:rPr>
      </w:pPr>
      <w:r w:rsidRPr="00E64833">
        <w:rPr>
          <w:rFonts w:ascii="Arial" w:hAnsi="Arial" w:cs="Arial"/>
          <w:b/>
          <w:sz w:val="24"/>
          <w:szCs w:val="24"/>
        </w:rPr>
        <w:t>CONSTANCIA DE FUNDAMENTO DE VOTO DISCORDE DEL MINISTRO LEON LEV:</w:t>
      </w:r>
      <w:r w:rsidRPr="00E64833">
        <w:rPr>
          <w:rFonts w:ascii="Arial" w:hAnsi="Arial" w:cs="Arial"/>
          <w:sz w:val="24"/>
          <w:szCs w:val="24"/>
        </w:rPr>
        <w:t xml:space="preserve"> </w:t>
      </w:r>
      <w:r w:rsidR="00E64833">
        <w:rPr>
          <w:rFonts w:ascii="Arial" w:hAnsi="Arial" w:cs="Arial"/>
          <w:sz w:val="24"/>
          <w:szCs w:val="24"/>
        </w:rPr>
        <w:t>“</w:t>
      </w:r>
      <w:r w:rsidR="00E64833" w:rsidRPr="00E64833">
        <w:rPr>
          <w:rFonts w:ascii="Arial" w:hAnsi="Arial" w:cs="Arial"/>
          <w:b/>
          <w:sz w:val="24"/>
          <w:szCs w:val="24"/>
        </w:rPr>
        <w:t>Fundamento mi voto</w:t>
      </w:r>
      <w:r w:rsidR="00E64833" w:rsidRPr="00E64833">
        <w:rPr>
          <w:rFonts w:ascii="Arial" w:hAnsi="Arial" w:cs="Arial"/>
          <w:sz w:val="24"/>
          <w:szCs w:val="24"/>
        </w:rPr>
        <w:t xml:space="preserve"> </w:t>
      </w:r>
      <w:r w:rsidR="00E64833" w:rsidRPr="00E64833">
        <w:rPr>
          <w:rFonts w:ascii="Arial" w:hAnsi="Arial" w:cs="Arial"/>
          <w:b/>
          <w:sz w:val="24"/>
          <w:szCs w:val="24"/>
        </w:rPr>
        <w:t xml:space="preserve">discorde </w:t>
      </w:r>
      <w:r w:rsidR="00E64833" w:rsidRPr="00E64833">
        <w:rPr>
          <w:rFonts w:ascii="Arial" w:hAnsi="Arial" w:cs="Arial"/>
          <w:sz w:val="24"/>
          <w:szCs w:val="24"/>
        </w:rPr>
        <w:t>por no compartir partes sustanciales de la Resolución.</w:t>
      </w:r>
    </w:p>
    <w:p w14:paraId="7970324D" w14:textId="77777777" w:rsidR="00E64833" w:rsidRPr="00E64833" w:rsidRDefault="00E64833" w:rsidP="00E64833">
      <w:pPr>
        <w:pStyle w:val="Sinespaciado"/>
        <w:spacing w:line="360" w:lineRule="auto"/>
        <w:jc w:val="both"/>
        <w:rPr>
          <w:rFonts w:ascii="Arial" w:hAnsi="Arial" w:cs="Arial"/>
          <w:b/>
          <w:sz w:val="24"/>
          <w:szCs w:val="24"/>
        </w:rPr>
      </w:pPr>
      <w:r w:rsidRPr="00E64833">
        <w:rPr>
          <w:rFonts w:ascii="Arial" w:hAnsi="Arial" w:cs="Arial"/>
          <w:b/>
          <w:sz w:val="24"/>
          <w:szCs w:val="24"/>
        </w:rPr>
        <w:t>Comparto:</w:t>
      </w:r>
    </w:p>
    <w:p w14:paraId="60469A8C" w14:textId="77777777" w:rsidR="00E64833" w:rsidRPr="00E64833" w:rsidRDefault="00E64833" w:rsidP="00E64833">
      <w:pPr>
        <w:pStyle w:val="Sinespaciado"/>
        <w:spacing w:line="360" w:lineRule="auto"/>
        <w:jc w:val="both"/>
        <w:rPr>
          <w:rFonts w:ascii="Arial" w:hAnsi="Arial" w:cs="Arial"/>
          <w:sz w:val="24"/>
          <w:szCs w:val="24"/>
        </w:rPr>
      </w:pPr>
      <w:r w:rsidRPr="00E64833">
        <w:rPr>
          <w:rFonts w:ascii="Arial" w:hAnsi="Arial" w:cs="Arial"/>
          <w:sz w:val="24"/>
          <w:szCs w:val="24"/>
        </w:rPr>
        <w:t xml:space="preserve">                  ” Resultando </w:t>
      </w:r>
      <w:proofErr w:type="gramStart"/>
      <w:r w:rsidRPr="00E64833">
        <w:rPr>
          <w:rFonts w:ascii="Arial" w:hAnsi="Arial" w:cs="Arial"/>
          <w:sz w:val="24"/>
          <w:szCs w:val="24"/>
        </w:rPr>
        <w:t>6 )</w:t>
      </w:r>
      <w:proofErr w:type="gramEnd"/>
      <w:r w:rsidRPr="00E64833">
        <w:rPr>
          <w:rFonts w:ascii="Arial" w:hAnsi="Arial" w:cs="Arial"/>
          <w:sz w:val="24"/>
          <w:szCs w:val="24"/>
        </w:rPr>
        <w:t xml:space="preserve"> que los Estados Financieros consolidados e individuales correspondientes  al ejercicio 2014 fueron publicados  en la página web de </w:t>
      </w:r>
      <w:proofErr w:type="spellStart"/>
      <w:r w:rsidRPr="00E64833">
        <w:rPr>
          <w:rFonts w:ascii="Arial" w:hAnsi="Arial" w:cs="Arial"/>
          <w:sz w:val="24"/>
          <w:szCs w:val="24"/>
        </w:rPr>
        <w:t>Ancap</w:t>
      </w:r>
      <w:proofErr w:type="spellEnd"/>
      <w:r w:rsidRPr="00E64833">
        <w:rPr>
          <w:rFonts w:ascii="Arial" w:hAnsi="Arial" w:cs="Arial"/>
          <w:sz w:val="24"/>
          <w:szCs w:val="24"/>
        </w:rPr>
        <w:t xml:space="preserve"> sin el Dictamen Adverso de este Tribunal.</w:t>
      </w:r>
    </w:p>
    <w:p w14:paraId="1CE1A679" w14:textId="77777777" w:rsidR="00E64833" w:rsidRPr="00E64833" w:rsidRDefault="00E64833" w:rsidP="00E64833">
      <w:pPr>
        <w:pStyle w:val="Sinespaciado"/>
        <w:spacing w:line="360" w:lineRule="auto"/>
        <w:jc w:val="both"/>
        <w:rPr>
          <w:rFonts w:ascii="Arial" w:hAnsi="Arial" w:cs="Arial"/>
          <w:sz w:val="24"/>
          <w:szCs w:val="24"/>
        </w:rPr>
      </w:pPr>
      <w:r w:rsidRPr="00E64833">
        <w:rPr>
          <w:rFonts w:ascii="Arial" w:hAnsi="Arial" w:cs="Arial"/>
          <w:sz w:val="24"/>
          <w:szCs w:val="24"/>
        </w:rPr>
        <w:t xml:space="preserve">                   El considerando 4 ) “ que conforme a lo expresado en los Resultandos 1) al 4) no se ajustó a lo establecido en las normas citadas  en los considerandos precedentes, en tanto no publicó los Estados Financieros consolidados e individuales en forma periódica y oportuna en dos diarios de Circulación Nacional con el Dictamen del Tribunal de Cuentas</w:t>
      </w:r>
    </w:p>
    <w:p w14:paraId="572DBEB9" w14:textId="77777777" w:rsidR="00E64833" w:rsidRPr="00E64833" w:rsidRDefault="00E64833" w:rsidP="00E64833">
      <w:pPr>
        <w:pStyle w:val="Sinespaciado"/>
        <w:spacing w:line="360" w:lineRule="auto"/>
        <w:jc w:val="both"/>
        <w:rPr>
          <w:rFonts w:ascii="Arial" w:hAnsi="Arial" w:cs="Arial"/>
          <w:b/>
          <w:sz w:val="24"/>
          <w:szCs w:val="24"/>
        </w:rPr>
      </w:pPr>
      <w:r w:rsidRPr="00E64833">
        <w:rPr>
          <w:rFonts w:ascii="Arial" w:hAnsi="Arial" w:cs="Arial"/>
          <w:sz w:val="24"/>
          <w:szCs w:val="24"/>
        </w:rPr>
        <w:t xml:space="preserve">A su vez, </w:t>
      </w:r>
      <w:r w:rsidRPr="00E64833">
        <w:rPr>
          <w:rFonts w:ascii="Arial" w:hAnsi="Arial" w:cs="Arial"/>
          <w:b/>
          <w:sz w:val="24"/>
          <w:szCs w:val="24"/>
        </w:rPr>
        <w:t>DISCREPO, respecto a la observación propuesta en los Considerandos:</w:t>
      </w:r>
    </w:p>
    <w:p w14:paraId="7821BACA" w14:textId="77777777" w:rsidR="00E64833" w:rsidRPr="00E64833" w:rsidRDefault="00E64833" w:rsidP="00E64833">
      <w:pPr>
        <w:pStyle w:val="Sinespaciado"/>
        <w:spacing w:line="360" w:lineRule="auto"/>
        <w:jc w:val="both"/>
        <w:rPr>
          <w:rFonts w:ascii="Arial" w:hAnsi="Arial" w:cs="Arial"/>
          <w:sz w:val="24"/>
          <w:szCs w:val="24"/>
        </w:rPr>
      </w:pPr>
      <w:r w:rsidRPr="00E64833">
        <w:rPr>
          <w:rFonts w:ascii="Arial" w:hAnsi="Arial" w:cs="Arial"/>
          <w:b/>
          <w:sz w:val="24"/>
          <w:szCs w:val="24"/>
        </w:rPr>
        <w:t xml:space="preserve"> 5)</w:t>
      </w:r>
      <w:r w:rsidRPr="00E64833">
        <w:rPr>
          <w:rFonts w:ascii="Arial" w:hAnsi="Arial" w:cs="Arial"/>
          <w:sz w:val="24"/>
          <w:szCs w:val="24"/>
        </w:rPr>
        <w:t xml:space="preserve"> y siguientes, por entender que la misma no resulta ajustada y exorbita las competencias de este Tribunal.</w:t>
      </w:r>
    </w:p>
    <w:p w14:paraId="61A4CCBE" w14:textId="77777777" w:rsidR="00E64833" w:rsidRPr="00E64833" w:rsidRDefault="00E64833" w:rsidP="00E64833">
      <w:pPr>
        <w:pStyle w:val="Sinespaciado"/>
        <w:spacing w:line="360" w:lineRule="auto"/>
        <w:jc w:val="both"/>
        <w:rPr>
          <w:rFonts w:ascii="Arial" w:hAnsi="Arial" w:cs="Arial"/>
          <w:sz w:val="24"/>
          <w:szCs w:val="24"/>
        </w:rPr>
      </w:pPr>
      <w:r w:rsidRPr="00E64833">
        <w:rPr>
          <w:rFonts w:ascii="Arial" w:hAnsi="Arial" w:cs="Arial"/>
          <w:sz w:val="24"/>
          <w:szCs w:val="24"/>
        </w:rPr>
        <w:t xml:space="preserve">     En tal sentido, el mero hecho de publicar en la WEB dos Estados, con fines distintos,  no determina materialmente la violación a las disposiciones de la Ley 18381.</w:t>
      </w:r>
    </w:p>
    <w:p w14:paraId="2E51015B" w14:textId="77777777" w:rsidR="00E64833" w:rsidRPr="00E64833" w:rsidRDefault="00E64833" w:rsidP="00E64833">
      <w:pPr>
        <w:pStyle w:val="Sinespaciado"/>
        <w:spacing w:line="360" w:lineRule="auto"/>
        <w:jc w:val="both"/>
        <w:rPr>
          <w:rFonts w:ascii="Arial" w:hAnsi="Arial" w:cs="Arial"/>
          <w:sz w:val="24"/>
          <w:szCs w:val="24"/>
        </w:rPr>
      </w:pPr>
      <w:r w:rsidRPr="00E64833">
        <w:rPr>
          <w:rFonts w:ascii="Arial" w:hAnsi="Arial" w:cs="Arial"/>
          <w:sz w:val="24"/>
          <w:szCs w:val="24"/>
        </w:rPr>
        <w:t xml:space="preserve">    Correspondería, en el caso, realizar un señalamiento </w:t>
      </w:r>
      <w:proofErr w:type="gramStart"/>
      <w:r w:rsidRPr="00E64833">
        <w:rPr>
          <w:rFonts w:ascii="Arial" w:hAnsi="Arial" w:cs="Arial"/>
          <w:sz w:val="24"/>
          <w:szCs w:val="24"/>
        </w:rPr>
        <w:t>( “</w:t>
      </w:r>
      <w:proofErr w:type="gramEnd"/>
      <w:r w:rsidRPr="00E64833">
        <w:rPr>
          <w:rFonts w:ascii="Arial" w:hAnsi="Arial" w:cs="Arial"/>
          <w:sz w:val="24"/>
          <w:szCs w:val="24"/>
        </w:rPr>
        <w:t xml:space="preserve"> Téngase presente “), dando cuenta de la situación y exhortando al organismo a efectos de que incluya en ulteriores instancias, el DICTAMEN DEL TRIBUNAL DE CUENTAS.</w:t>
      </w:r>
    </w:p>
    <w:p w14:paraId="48938C02" w14:textId="77777777" w:rsidR="00E64833" w:rsidRPr="00E64833" w:rsidRDefault="00E64833" w:rsidP="00E64833">
      <w:pPr>
        <w:pStyle w:val="Sinespaciado"/>
        <w:spacing w:line="360" w:lineRule="auto"/>
        <w:jc w:val="both"/>
        <w:rPr>
          <w:rFonts w:ascii="Arial" w:hAnsi="Arial" w:cs="Arial"/>
          <w:sz w:val="24"/>
          <w:szCs w:val="24"/>
        </w:rPr>
      </w:pPr>
      <w:r w:rsidRPr="00E64833">
        <w:rPr>
          <w:rFonts w:ascii="Arial" w:hAnsi="Arial" w:cs="Arial"/>
          <w:sz w:val="24"/>
          <w:szCs w:val="24"/>
        </w:rPr>
        <w:t xml:space="preserve">   Finalmente el  Considerando 8) resulta fuera de lugar.</w:t>
      </w:r>
    </w:p>
    <w:p w14:paraId="524D64CD" w14:textId="463D8258" w:rsidR="00427FE8" w:rsidRDefault="00E64833" w:rsidP="00E64833">
      <w:pPr>
        <w:pStyle w:val="Sinespaciado"/>
        <w:spacing w:line="360" w:lineRule="auto"/>
        <w:jc w:val="both"/>
        <w:rPr>
          <w:rFonts w:ascii="Arial" w:hAnsi="Arial" w:cs="Arial"/>
          <w:sz w:val="24"/>
          <w:szCs w:val="24"/>
        </w:rPr>
      </w:pPr>
      <w:r w:rsidRPr="00E64833">
        <w:rPr>
          <w:rFonts w:ascii="Arial" w:hAnsi="Arial" w:cs="Arial"/>
          <w:sz w:val="24"/>
          <w:szCs w:val="24"/>
        </w:rPr>
        <w:t xml:space="preserve">   En los hechos está infiriendo un dolo en el actuar de la Administración al intentar  confundir </w:t>
      </w:r>
      <w:proofErr w:type="gramStart"/>
      <w:r w:rsidRPr="00E64833">
        <w:rPr>
          <w:rFonts w:ascii="Arial" w:hAnsi="Arial" w:cs="Arial"/>
          <w:sz w:val="24"/>
          <w:szCs w:val="24"/>
        </w:rPr>
        <w:t>“ que</w:t>
      </w:r>
      <w:proofErr w:type="gramEnd"/>
      <w:r w:rsidRPr="00E64833">
        <w:rPr>
          <w:rFonts w:ascii="Arial" w:hAnsi="Arial" w:cs="Arial"/>
          <w:sz w:val="24"/>
          <w:szCs w:val="24"/>
        </w:rPr>
        <w:t xml:space="preserve"> afecta el derecho de las personas al acceso a la información pública “ y  publicar dos Estados Contables, aspecto que en modo alguno resulta contemplado en</w:t>
      </w:r>
      <w:r w:rsidR="007D0034">
        <w:rPr>
          <w:rFonts w:ascii="Arial" w:hAnsi="Arial" w:cs="Arial"/>
          <w:sz w:val="24"/>
          <w:szCs w:val="24"/>
        </w:rPr>
        <w:t xml:space="preserve"> la Ley de Información Pública.</w:t>
      </w:r>
    </w:p>
    <w:p w14:paraId="05E94669" w14:textId="77777777" w:rsidR="00E70572" w:rsidRDefault="00E70572" w:rsidP="00E70572">
      <w:pPr>
        <w:autoSpaceDE w:val="0"/>
        <w:autoSpaceDN w:val="0"/>
        <w:adjustRightInd w:val="0"/>
        <w:spacing w:after="0" w:line="360" w:lineRule="auto"/>
        <w:jc w:val="both"/>
        <w:rPr>
          <w:rFonts w:ascii="Arial" w:hAnsi="Arial" w:cs="Arial"/>
          <w:sz w:val="24"/>
          <w:szCs w:val="24"/>
        </w:rPr>
      </w:pPr>
    </w:p>
    <w:p w14:paraId="613ED753" w14:textId="4ED3F110" w:rsidR="00E70572" w:rsidRPr="00E70572" w:rsidRDefault="00E70572" w:rsidP="00E70572">
      <w:pPr>
        <w:autoSpaceDE w:val="0"/>
        <w:autoSpaceDN w:val="0"/>
        <w:adjustRightInd w:val="0"/>
        <w:spacing w:after="0" w:line="360" w:lineRule="auto"/>
        <w:ind w:hanging="284"/>
        <w:jc w:val="both"/>
        <w:rPr>
          <w:rFonts w:ascii="Arial" w:hAnsi="Arial" w:cs="Arial"/>
          <w:sz w:val="24"/>
          <w:szCs w:val="24"/>
        </w:rPr>
      </w:pPr>
      <w:proofErr w:type="gramStart"/>
      <w:r>
        <w:rPr>
          <w:rFonts w:ascii="Arial" w:hAnsi="Arial" w:cs="Arial"/>
          <w:sz w:val="24"/>
          <w:szCs w:val="24"/>
        </w:rPr>
        <w:t>dc</w:t>
      </w:r>
      <w:proofErr w:type="gramEnd"/>
    </w:p>
    <w:sectPr w:rsidR="00E70572" w:rsidRPr="00E70572" w:rsidSect="007D0034">
      <w:footerReference w:type="default" r:id="rId10"/>
      <w:pgSz w:w="11906" w:h="16838" w:code="9"/>
      <w:pgMar w:top="3119"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BA12F8" w14:textId="77777777" w:rsidR="00155C51" w:rsidRDefault="00155C51" w:rsidP="00BD65F1">
      <w:pPr>
        <w:spacing w:after="0" w:line="240" w:lineRule="auto"/>
      </w:pPr>
      <w:r>
        <w:separator/>
      </w:r>
    </w:p>
  </w:endnote>
  <w:endnote w:type="continuationSeparator" w:id="0">
    <w:p w14:paraId="2D755AEC" w14:textId="77777777" w:rsidR="00155C51" w:rsidRDefault="00155C51" w:rsidP="00BD6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7466615"/>
      <w:docPartObj>
        <w:docPartGallery w:val="Page Numbers (Bottom of Page)"/>
        <w:docPartUnique/>
      </w:docPartObj>
    </w:sdtPr>
    <w:sdtEndPr/>
    <w:sdtContent>
      <w:p w14:paraId="38E8AF21" w14:textId="77777777" w:rsidR="00C373C0" w:rsidRDefault="00C373C0">
        <w:pPr>
          <w:pStyle w:val="Piedepgina"/>
          <w:jc w:val="center"/>
        </w:pPr>
        <w:r>
          <w:fldChar w:fldCharType="begin"/>
        </w:r>
        <w:r>
          <w:instrText>PAGE   \* MERGEFORMAT</w:instrText>
        </w:r>
        <w:r>
          <w:fldChar w:fldCharType="separate"/>
        </w:r>
        <w:r w:rsidR="00445926">
          <w:rPr>
            <w:noProof/>
          </w:rPr>
          <w:t>1</w:t>
        </w:r>
        <w:r>
          <w:fldChar w:fldCharType="end"/>
        </w:r>
      </w:p>
    </w:sdtContent>
  </w:sdt>
  <w:p w14:paraId="5193443A" w14:textId="77777777" w:rsidR="00C373C0" w:rsidRDefault="00C373C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460602" w14:textId="77777777" w:rsidR="00155C51" w:rsidRDefault="00155C51" w:rsidP="00BD65F1">
      <w:pPr>
        <w:spacing w:after="0" w:line="240" w:lineRule="auto"/>
      </w:pPr>
      <w:r>
        <w:separator/>
      </w:r>
    </w:p>
  </w:footnote>
  <w:footnote w:type="continuationSeparator" w:id="0">
    <w:p w14:paraId="2A51E0B3" w14:textId="77777777" w:rsidR="00155C51" w:rsidRDefault="00155C51" w:rsidP="00BD65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848E2"/>
    <w:multiLevelType w:val="hybridMultilevel"/>
    <w:tmpl w:val="8900325E"/>
    <w:lvl w:ilvl="0" w:tplc="380A000F">
      <w:start w:val="1"/>
      <w:numFmt w:val="decimal"/>
      <w:lvlText w:val="%1."/>
      <w:lvlJc w:val="left"/>
      <w:pPr>
        <w:ind w:left="1428" w:hanging="360"/>
      </w:pPr>
    </w:lvl>
    <w:lvl w:ilvl="1" w:tplc="380A0019">
      <w:start w:val="1"/>
      <w:numFmt w:val="lowerLetter"/>
      <w:lvlText w:val="%2."/>
      <w:lvlJc w:val="left"/>
      <w:pPr>
        <w:ind w:left="2148" w:hanging="360"/>
      </w:pPr>
    </w:lvl>
    <w:lvl w:ilvl="2" w:tplc="380A001B" w:tentative="1">
      <w:start w:val="1"/>
      <w:numFmt w:val="lowerRoman"/>
      <w:lvlText w:val="%3."/>
      <w:lvlJc w:val="right"/>
      <w:pPr>
        <w:ind w:left="2868" w:hanging="180"/>
      </w:pPr>
    </w:lvl>
    <w:lvl w:ilvl="3" w:tplc="380A000F" w:tentative="1">
      <w:start w:val="1"/>
      <w:numFmt w:val="decimal"/>
      <w:lvlText w:val="%4."/>
      <w:lvlJc w:val="left"/>
      <w:pPr>
        <w:ind w:left="3588" w:hanging="360"/>
      </w:pPr>
    </w:lvl>
    <w:lvl w:ilvl="4" w:tplc="380A0019" w:tentative="1">
      <w:start w:val="1"/>
      <w:numFmt w:val="lowerLetter"/>
      <w:lvlText w:val="%5."/>
      <w:lvlJc w:val="left"/>
      <w:pPr>
        <w:ind w:left="4308" w:hanging="360"/>
      </w:pPr>
    </w:lvl>
    <w:lvl w:ilvl="5" w:tplc="380A001B" w:tentative="1">
      <w:start w:val="1"/>
      <w:numFmt w:val="lowerRoman"/>
      <w:lvlText w:val="%6."/>
      <w:lvlJc w:val="right"/>
      <w:pPr>
        <w:ind w:left="5028" w:hanging="180"/>
      </w:pPr>
    </w:lvl>
    <w:lvl w:ilvl="6" w:tplc="380A000F" w:tentative="1">
      <w:start w:val="1"/>
      <w:numFmt w:val="decimal"/>
      <w:lvlText w:val="%7."/>
      <w:lvlJc w:val="left"/>
      <w:pPr>
        <w:ind w:left="5748" w:hanging="360"/>
      </w:pPr>
    </w:lvl>
    <w:lvl w:ilvl="7" w:tplc="380A0019" w:tentative="1">
      <w:start w:val="1"/>
      <w:numFmt w:val="lowerLetter"/>
      <w:lvlText w:val="%8."/>
      <w:lvlJc w:val="left"/>
      <w:pPr>
        <w:ind w:left="6468" w:hanging="360"/>
      </w:pPr>
    </w:lvl>
    <w:lvl w:ilvl="8" w:tplc="380A001B" w:tentative="1">
      <w:start w:val="1"/>
      <w:numFmt w:val="lowerRoman"/>
      <w:lvlText w:val="%9."/>
      <w:lvlJc w:val="right"/>
      <w:pPr>
        <w:ind w:left="7188" w:hanging="180"/>
      </w:pPr>
    </w:lvl>
  </w:abstractNum>
  <w:abstractNum w:abstractNumId="1">
    <w:nsid w:val="186A5D76"/>
    <w:multiLevelType w:val="hybridMultilevel"/>
    <w:tmpl w:val="086672CE"/>
    <w:lvl w:ilvl="0" w:tplc="A5A8ACF2">
      <w:start w:val="1"/>
      <w:numFmt w:val="decimal"/>
      <w:lvlText w:val="%1)"/>
      <w:lvlJc w:val="left"/>
      <w:pPr>
        <w:ind w:left="720" w:hanging="360"/>
      </w:pPr>
      <w:rPr>
        <w:rFonts w:hint="default"/>
        <w:b/>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9F3"/>
    <w:rsid w:val="00033CCF"/>
    <w:rsid w:val="000A2A9F"/>
    <w:rsid w:val="00155C51"/>
    <w:rsid w:val="00181751"/>
    <w:rsid w:val="0019604C"/>
    <w:rsid w:val="001A6833"/>
    <w:rsid w:val="002C2A82"/>
    <w:rsid w:val="00316EF9"/>
    <w:rsid w:val="003D6745"/>
    <w:rsid w:val="004119F3"/>
    <w:rsid w:val="00427FE8"/>
    <w:rsid w:val="00433CC9"/>
    <w:rsid w:val="00445926"/>
    <w:rsid w:val="00475F06"/>
    <w:rsid w:val="004A0D4B"/>
    <w:rsid w:val="004B3A75"/>
    <w:rsid w:val="004C552E"/>
    <w:rsid w:val="004F177C"/>
    <w:rsid w:val="00525CE4"/>
    <w:rsid w:val="0053090F"/>
    <w:rsid w:val="00534F7C"/>
    <w:rsid w:val="00686F5D"/>
    <w:rsid w:val="006C1E7A"/>
    <w:rsid w:val="007D0034"/>
    <w:rsid w:val="008123CB"/>
    <w:rsid w:val="00843927"/>
    <w:rsid w:val="0090714A"/>
    <w:rsid w:val="00954FBB"/>
    <w:rsid w:val="009A2287"/>
    <w:rsid w:val="009D24E7"/>
    <w:rsid w:val="009E4963"/>
    <w:rsid w:val="009F2198"/>
    <w:rsid w:val="009F64E1"/>
    <w:rsid w:val="00A36EEE"/>
    <w:rsid w:val="00AF7CCA"/>
    <w:rsid w:val="00BD65F1"/>
    <w:rsid w:val="00C373C0"/>
    <w:rsid w:val="00C52001"/>
    <w:rsid w:val="00D140CF"/>
    <w:rsid w:val="00D24841"/>
    <w:rsid w:val="00D33159"/>
    <w:rsid w:val="00D65FBB"/>
    <w:rsid w:val="00D75C5C"/>
    <w:rsid w:val="00D8434C"/>
    <w:rsid w:val="00E154DC"/>
    <w:rsid w:val="00E64833"/>
    <w:rsid w:val="00E7057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415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
    <w:name w:val="List"/>
    <w:basedOn w:val="Normal"/>
    <w:uiPriority w:val="99"/>
    <w:unhideWhenUsed/>
    <w:rsid w:val="000A2A9F"/>
    <w:pPr>
      <w:ind w:left="283" w:hanging="283"/>
      <w:contextualSpacing/>
    </w:pPr>
  </w:style>
  <w:style w:type="paragraph" w:styleId="Lista2">
    <w:name w:val="List 2"/>
    <w:basedOn w:val="Normal"/>
    <w:uiPriority w:val="99"/>
    <w:unhideWhenUsed/>
    <w:rsid w:val="000A2A9F"/>
    <w:pPr>
      <w:ind w:left="566" w:hanging="283"/>
      <w:contextualSpacing/>
    </w:pPr>
  </w:style>
  <w:style w:type="paragraph" w:styleId="Textoindependiente">
    <w:name w:val="Body Text"/>
    <w:basedOn w:val="Normal"/>
    <w:link w:val="TextoindependienteCar"/>
    <w:uiPriority w:val="99"/>
    <w:unhideWhenUsed/>
    <w:rsid w:val="000A2A9F"/>
    <w:pPr>
      <w:spacing w:after="120"/>
    </w:pPr>
  </w:style>
  <w:style w:type="character" w:customStyle="1" w:styleId="TextoindependienteCar">
    <w:name w:val="Texto independiente Car"/>
    <w:basedOn w:val="Fuentedeprrafopredeter"/>
    <w:link w:val="Textoindependiente"/>
    <w:uiPriority w:val="99"/>
    <w:rsid w:val="000A2A9F"/>
  </w:style>
  <w:style w:type="paragraph" w:styleId="Prrafodelista">
    <w:name w:val="List Paragraph"/>
    <w:basedOn w:val="Normal"/>
    <w:uiPriority w:val="34"/>
    <w:qFormat/>
    <w:rsid w:val="004F177C"/>
    <w:pPr>
      <w:ind w:left="720"/>
      <w:contextualSpacing/>
    </w:pPr>
    <w:rPr>
      <w:lang w:val="es-UY"/>
    </w:rPr>
  </w:style>
  <w:style w:type="paragraph" w:styleId="Encabezado">
    <w:name w:val="header"/>
    <w:basedOn w:val="Normal"/>
    <w:link w:val="EncabezadoCar"/>
    <w:uiPriority w:val="99"/>
    <w:unhideWhenUsed/>
    <w:rsid w:val="00BD65F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D65F1"/>
  </w:style>
  <w:style w:type="paragraph" w:styleId="Piedepgina">
    <w:name w:val="footer"/>
    <w:basedOn w:val="Normal"/>
    <w:link w:val="PiedepginaCar"/>
    <w:uiPriority w:val="99"/>
    <w:unhideWhenUsed/>
    <w:rsid w:val="00BD65F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D65F1"/>
  </w:style>
  <w:style w:type="paragraph" w:styleId="Textodeglobo">
    <w:name w:val="Balloon Text"/>
    <w:basedOn w:val="Normal"/>
    <w:link w:val="TextodegloboCar"/>
    <w:uiPriority w:val="99"/>
    <w:semiHidden/>
    <w:unhideWhenUsed/>
    <w:rsid w:val="008439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3927"/>
    <w:rPr>
      <w:rFonts w:ascii="Tahoma" w:hAnsi="Tahoma" w:cs="Tahoma"/>
      <w:sz w:val="16"/>
      <w:szCs w:val="16"/>
    </w:rPr>
  </w:style>
  <w:style w:type="paragraph" w:styleId="Sinespaciado">
    <w:name w:val="No Spacing"/>
    <w:uiPriority w:val="1"/>
    <w:qFormat/>
    <w:rsid w:val="00E64833"/>
    <w:pPr>
      <w:spacing w:after="0" w:line="240" w:lineRule="auto"/>
    </w:pPr>
    <w:rPr>
      <w:lang w:val="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
    <w:name w:val="List"/>
    <w:basedOn w:val="Normal"/>
    <w:uiPriority w:val="99"/>
    <w:unhideWhenUsed/>
    <w:rsid w:val="000A2A9F"/>
    <w:pPr>
      <w:ind w:left="283" w:hanging="283"/>
      <w:contextualSpacing/>
    </w:pPr>
  </w:style>
  <w:style w:type="paragraph" w:styleId="Lista2">
    <w:name w:val="List 2"/>
    <w:basedOn w:val="Normal"/>
    <w:uiPriority w:val="99"/>
    <w:unhideWhenUsed/>
    <w:rsid w:val="000A2A9F"/>
    <w:pPr>
      <w:ind w:left="566" w:hanging="283"/>
      <w:contextualSpacing/>
    </w:pPr>
  </w:style>
  <w:style w:type="paragraph" w:styleId="Textoindependiente">
    <w:name w:val="Body Text"/>
    <w:basedOn w:val="Normal"/>
    <w:link w:val="TextoindependienteCar"/>
    <w:uiPriority w:val="99"/>
    <w:unhideWhenUsed/>
    <w:rsid w:val="000A2A9F"/>
    <w:pPr>
      <w:spacing w:after="120"/>
    </w:pPr>
  </w:style>
  <w:style w:type="character" w:customStyle="1" w:styleId="TextoindependienteCar">
    <w:name w:val="Texto independiente Car"/>
    <w:basedOn w:val="Fuentedeprrafopredeter"/>
    <w:link w:val="Textoindependiente"/>
    <w:uiPriority w:val="99"/>
    <w:rsid w:val="000A2A9F"/>
  </w:style>
  <w:style w:type="paragraph" w:styleId="Prrafodelista">
    <w:name w:val="List Paragraph"/>
    <w:basedOn w:val="Normal"/>
    <w:uiPriority w:val="34"/>
    <w:qFormat/>
    <w:rsid w:val="004F177C"/>
    <w:pPr>
      <w:ind w:left="720"/>
      <w:contextualSpacing/>
    </w:pPr>
    <w:rPr>
      <w:lang w:val="es-UY"/>
    </w:rPr>
  </w:style>
  <w:style w:type="paragraph" w:styleId="Encabezado">
    <w:name w:val="header"/>
    <w:basedOn w:val="Normal"/>
    <w:link w:val="EncabezadoCar"/>
    <w:uiPriority w:val="99"/>
    <w:unhideWhenUsed/>
    <w:rsid w:val="00BD65F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D65F1"/>
  </w:style>
  <w:style w:type="paragraph" w:styleId="Piedepgina">
    <w:name w:val="footer"/>
    <w:basedOn w:val="Normal"/>
    <w:link w:val="PiedepginaCar"/>
    <w:uiPriority w:val="99"/>
    <w:unhideWhenUsed/>
    <w:rsid w:val="00BD65F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D65F1"/>
  </w:style>
  <w:style w:type="paragraph" w:styleId="Textodeglobo">
    <w:name w:val="Balloon Text"/>
    <w:basedOn w:val="Normal"/>
    <w:link w:val="TextodegloboCar"/>
    <w:uiPriority w:val="99"/>
    <w:semiHidden/>
    <w:unhideWhenUsed/>
    <w:rsid w:val="008439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3927"/>
    <w:rPr>
      <w:rFonts w:ascii="Tahoma" w:hAnsi="Tahoma" w:cs="Tahoma"/>
      <w:sz w:val="16"/>
      <w:szCs w:val="16"/>
    </w:rPr>
  </w:style>
  <w:style w:type="paragraph" w:styleId="Sinespaciado">
    <w:name w:val="No Spacing"/>
    <w:uiPriority w:val="1"/>
    <w:qFormat/>
    <w:rsid w:val="00E64833"/>
    <w:pPr>
      <w:spacing w:after="0" w:line="240" w:lineRule="auto"/>
    </w:pPr>
    <w:rPr>
      <w:lang w:val="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parlamento.gub.uy/leyes/ley16060.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77C3F-FE78-4A38-BF9E-065A3AE86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1492</Words>
  <Characters>8209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Santiago Fonseca</dc:creator>
  <cp:lastModifiedBy> </cp:lastModifiedBy>
  <cp:revision>4</cp:revision>
  <cp:lastPrinted>2016-05-06T18:19:00Z</cp:lastPrinted>
  <dcterms:created xsi:type="dcterms:W3CDTF">2016-05-05T19:47:00Z</dcterms:created>
  <dcterms:modified xsi:type="dcterms:W3CDTF">2016-05-30T18:53:00Z</dcterms:modified>
</cp:coreProperties>
</file>