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C7" w:rsidRPr="00752EC7" w:rsidRDefault="00752EC7" w:rsidP="00752EC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 w:eastAsia="ar-SA"/>
        </w:rPr>
      </w:pPr>
      <w:r w:rsidRPr="00752EC7">
        <w:rPr>
          <w:rFonts w:ascii="Arial" w:hAnsi="Arial" w:cs="Arial"/>
          <w:b/>
          <w:sz w:val="28"/>
          <w:szCs w:val="28"/>
          <w:lang w:val="es-ES_tradnl" w:eastAsia="ar-SA"/>
        </w:rPr>
        <w:t xml:space="preserve">RES. </w:t>
      </w:r>
      <w:r w:rsidR="003C0A10">
        <w:rPr>
          <w:rFonts w:ascii="Arial" w:hAnsi="Arial" w:cs="Arial"/>
          <w:b/>
          <w:sz w:val="28"/>
          <w:szCs w:val="28"/>
          <w:lang w:val="es-ES_tradnl" w:eastAsia="ar-SA"/>
        </w:rPr>
        <w:t>1383</w:t>
      </w:r>
      <w:r w:rsidRPr="00752EC7">
        <w:rPr>
          <w:rFonts w:ascii="Arial" w:hAnsi="Arial" w:cs="Arial"/>
          <w:b/>
          <w:sz w:val="28"/>
          <w:szCs w:val="28"/>
          <w:lang w:val="es-ES_tradnl" w:eastAsia="ar-SA"/>
        </w:rPr>
        <w:t>/16</w:t>
      </w:r>
    </w:p>
    <w:p w:rsidR="00752EC7" w:rsidRPr="00752EC7" w:rsidRDefault="00752EC7" w:rsidP="00752EC7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 w:eastAsia="ar-SA"/>
        </w:rPr>
      </w:pPr>
    </w:p>
    <w:p w:rsidR="00752EC7" w:rsidRPr="00752EC7" w:rsidRDefault="00752EC7" w:rsidP="00752EC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  <w:r w:rsidRPr="00752EC7">
        <w:rPr>
          <w:rFonts w:ascii="Arial" w:hAnsi="Arial" w:cs="Arial"/>
          <w:b/>
          <w:lang w:val="es-ES_tradnl" w:eastAsia="ar-SA"/>
        </w:rPr>
        <w:t>RESOLUCION ADOPTADA POR EL</w:t>
      </w:r>
    </w:p>
    <w:p w:rsidR="00752EC7" w:rsidRPr="00752EC7" w:rsidRDefault="00752EC7" w:rsidP="00752EC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</w:p>
    <w:p w:rsidR="00752EC7" w:rsidRPr="00752EC7" w:rsidRDefault="00752EC7" w:rsidP="00752EC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  <w:r w:rsidRPr="00752EC7">
        <w:rPr>
          <w:rFonts w:ascii="Arial" w:hAnsi="Arial" w:cs="Arial"/>
          <w:b/>
          <w:lang w:val="es-ES_tradnl" w:eastAsia="ar-SA"/>
        </w:rPr>
        <w:t>TRIBUNAL DE CUENTAS</w:t>
      </w:r>
    </w:p>
    <w:p w:rsidR="00752EC7" w:rsidRPr="00752EC7" w:rsidRDefault="00752EC7" w:rsidP="00752EC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</w:p>
    <w:p w:rsidR="00752EC7" w:rsidRPr="00752EC7" w:rsidRDefault="00752EC7" w:rsidP="00752EC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  <w:r w:rsidRPr="00752EC7">
        <w:rPr>
          <w:rFonts w:ascii="Arial" w:hAnsi="Arial" w:cs="Arial"/>
          <w:b/>
          <w:lang w:val="es-ES_tradnl" w:eastAsia="ar-SA"/>
        </w:rPr>
        <w:t xml:space="preserve">EN SESION DE FECHA </w:t>
      </w:r>
      <w:r w:rsidRPr="00752EC7">
        <w:rPr>
          <w:rFonts w:ascii="Helvetica" w:hAnsi="Helvetica"/>
          <w:b/>
          <w:lang w:val="es-ES_tradnl" w:eastAsia="ar-SA"/>
        </w:rPr>
        <w:t>2</w:t>
      </w:r>
      <w:r w:rsidR="00A965F3">
        <w:rPr>
          <w:rFonts w:ascii="Helvetica" w:hAnsi="Helvetica"/>
          <w:b/>
          <w:lang w:val="es-ES_tradnl" w:eastAsia="ar-SA"/>
        </w:rPr>
        <w:t>7</w:t>
      </w:r>
      <w:r w:rsidRPr="00752EC7">
        <w:rPr>
          <w:rFonts w:ascii="Helvetica" w:hAnsi="Helvetica"/>
          <w:b/>
          <w:lang w:val="es-ES_tradnl" w:eastAsia="ar-SA"/>
        </w:rPr>
        <w:t xml:space="preserve"> DE ABRIL DE 2016</w:t>
      </w:r>
    </w:p>
    <w:p w:rsidR="00752EC7" w:rsidRPr="00752EC7" w:rsidRDefault="00752EC7" w:rsidP="00752EC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 w:eastAsia="ar-SA"/>
        </w:rPr>
      </w:pPr>
    </w:p>
    <w:p w:rsidR="00752EC7" w:rsidRPr="00752EC7" w:rsidRDefault="00752EC7" w:rsidP="00752EC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 w:eastAsia="ar-SA"/>
        </w:rPr>
      </w:pPr>
      <w:r w:rsidRPr="00752EC7">
        <w:rPr>
          <w:rFonts w:ascii="Arial" w:hAnsi="Arial" w:cs="Arial"/>
          <w:b/>
          <w:lang w:val="es-UY" w:eastAsia="ar-SA"/>
        </w:rPr>
        <w:t>(E. E. Nº 2016-17-1-00022</w:t>
      </w:r>
      <w:r>
        <w:rPr>
          <w:rFonts w:ascii="Arial" w:hAnsi="Arial" w:cs="Arial"/>
          <w:b/>
          <w:lang w:val="es-UY" w:eastAsia="ar-SA"/>
        </w:rPr>
        <w:t>27</w:t>
      </w:r>
      <w:r w:rsidRPr="00752EC7">
        <w:rPr>
          <w:rFonts w:ascii="Arial" w:hAnsi="Arial" w:cs="Arial"/>
          <w:b/>
          <w:lang w:val="es-UY" w:eastAsia="ar-SA"/>
        </w:rPr>
        <w:t xml:space="preserve">, </w:t>
      </w:r>
      <w:proofErr w:type="spellStart"/>
      <w:r w:rsidRPr="00752EC7">
        <w:rPr>
          <w:rFonts w:ascii="Arial" w:hAnsi="Arial" w:cs="Arial"/>
          <w:b/>
          <w:lang w:val="es-UY" w:eastAsia="ar-SA"/>
        </w:rPr>
        <w:t>Ent</w:t>
      </w:r>
      <w:proofErr w:type="spellEnd"/>
      <w:r w:rsidRPr="00752EC7">
        <w:rPr>
          <w:rFonts w:ascii="Arial" w:hAnsi="Arial" w:cs="Arial"/>
          <w:b/>
          <w:lang w:val="es-UY" w:eastAsia="ar-SA"/>
        </w:rPr>
        <w:t>. N° 16</w:t>
      </w:r>
      <w:r>
        <w:rPr>
          <w:rFonts w:ascii="Arial" w:hAnsi="Arial" w:cs="Arial"/>
          <w:b/>
          <w:lang w:val="es-UY" w:eastAsia="ar-SA"/>
        </w:rPr>
        <w:t>19</w:t>
      </w:r>
      <w:r w:rsidRPr="00752EC7">
        <w:rPr>
          <w:rFonts w:ascii="Arial" w:hAnsi="Arial" w:cs="Arial"/>
          <w:b/>
          <w:lang w:val="es-UY" w:eastAsia="ar-SA"/>
        </w:rPr>
        <w:t>/16)</w:t>
      </w:r>
    </w:p>
    <w:p w:rsidR="00752EC7" w:rsidRDefault="00752EC7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/>
          <w:b/>
        </w:rPr>
      </w:pPr>
    </w:p>
    <w:p w:rsidR="00D30569" w:rsidRDefault="00D30569" w:rsidP="003C0A10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VISTO: </w:t>
      </w:r>
      <w:r w:rsidR="00CF54D2" w:rsidRPr="00CF54D2">
        <w:rPr>
          <w:rFonts w:ascii="Arial" w:hAnsi="Arial"/>
        </w:rPr>
        <w:t xml:space="preserve">los antecedentes remitidos </w:t>
      </w:r>
      <w:r w:rsidR="00B851AA">
        <w:rPr>
          <w:rFonts w:ascii="Arial" w:hAnsi="Arial"/>
        </w:rPr>
        <w:t xml:space="preserve">por </w:t>
      </w:r>
      <w:r w:rsidR="003C2DCA">
        <w:rPr>
          <w:rFonts w:ascii="Arial" w:hAnsi="Arial"/>
        </w:rPr>
        <w:t>la Contador</w:t>
      </w:r>
      <w:r w:rsidR="008B7FEE">
        <w:rPr>
          <w:rFonts w:ascii="Arial" w:hAnsi="Arial"/>
        </w:rPr>
        <w:t>a Auditora d</w:t>
      </w:r>
      <w:r w:rsidR="003C2DCA">
        <w:rPr>
          <w:rFonts w:ascii="Arial" w:hAnsi="Arial"/>
        </w:rPr>
        <w:t xml:space="preserve">estacada ante </w:t>
      </w:r>
      <w:r w:rsidR="00F4342E">
        <w:rPr>
          <w:rFonts w:ascii="Arial" w:hAnsi="Arial"/>
        </w:rPr>
        <w:t xml:space="preserve">el </w:t>
      </w:r>
      <w:r w:rsidR="0023264A" w:rsidRPr="0023264A">
        <w:rPr>
          <w:rFonts w:ascii="Arial" w:hAnsi="Arial"/>
        </w:rPr>
        <w:t xml:space="preserve">Ministerio </w:t>
      </w:r>
      <w:r w:rsidR="007477CC">
        <w:rPr>
          <w:rFonts w:ascii="Arial" w:hAnsi="Arial"/>
        </w:rPr>
        <w:t xml:space="preserve">de </w:t>
      </w:r>
      <w:r w:rsidR="003C2DCA">
        <w:rPr>
          <w:rFonts w:ascii="Arial" w:hAnsi="Arial"/>
        </w:rPr>
        <w:t xml:space="preserve">Transporte y Obras Públicas </w:t>
      </w:r>
      <w:r w:rsidR="00786801">
        <w:rPr>
          <w:rFonts w:ascii="Arial" w:hAnsi="Arial"/>
        </w:rPr>
        <w:t>(M</w:t>
      </w:r>
      <w:r w:rsidR="003C2DCA">
        <w:rPr>
          <w:rFonts w:ascii="Arial" w:hAnsi="Arial"/>
        </w:rPr>
        <w:t>TOP</w:t>
      </w:r>
      <w:r w:rsidR="00786801">
        <w:rPr>
          <w:rFonts w:ascii="Arial" w:hAnsi="Arial"/>
        </w:rPr>
        <w:t>)</w:t>
      </w:r>
      <w:r w:rsidR="0023264A" w:rsidRPr="0023264A">
        <w:rPr>
          <w:rFonts w:ascii="Arial" w:hAnsi="Arial"/>
        </w:rPr>
        <w:t xml:space="preserve">, relacionadas con el convenio </w:t>
      </w:r>
      <w:r w:rsidR="003C2DCA">
        <w:rPr>
          <w:rFonts w:ascii="Arial" w:hAnsi="Arial"/>
        </w:rPr>
        <w:t>suscrito con el Banco de Previsión Social (BPS) para el traslado de las personas a ser operadas en el Hospital de Ojos</w:t>
      </w:r>
      <w:r w:rsidR="0023264A" w:rsidRPr="000F771C">
        <w:rPr>
          <w:rFonts w:ascii="Arial" w:hAnsi="Arial" w:cs="Arial"/>
        </w:rPr>
        <w:t>;</w:t>
      </w:r>
    </w:p>
    <w:p w:rsidR="006B18EF" w:rsidRDefault="00D30569" w:rsidP="00D47CF4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RESULTANDO:</w:t>
      </w:r>
      <w:r w:rsidR="00DA0F07">
        <w:rPr>
          <w:rFonts w:ascii="Arial" w:hAnsi="Arial"/>
          <w:b/>
        </w:rPr>
        <w:t xml:space="preserve"> </w:t>
      </w:r>
      <w:r w:rsidR="000454A0">
        <w:rPr>
          <w:rFonts w:ascii="Arial" w:hAnsi="Arial"/>
          <w:b/>
        </w:rPr>
        <w:t xml:space="preserve">1) </w:t>
      </w:r>
      <w:r w:rsidR="000454A0">
        <w:rPr>
          <w:rFonts w:ascii="Arial" w:hAnsi="Arial"/>
        </w:rPr>
        <w:t>que</w:t>
      </w:r>
      <w:r w:rsidR="008B7FEE">
        <w:rPr>
          <w:rFonts w:ascii="Arial" w:hAnsi="Arial"/>
        </w:rPr>
        <w:t>,</w:t>
      </w:r>
      <w:r w:rsidR="000454A0">
        <w:rPr>
          <w:rFonts w:ascii="Arial" w:hAnsi="Arial"/>
        </w:rPr>
        <w:t xml:space="preserve"> en Resolución de este Tribunal de fecha </w:t>
      </w:r>
      <w:r w:rsidR="003C2DCA">
        <w:rPr>
          <w:rFonts w:ascii="Arial" w:hAnsi="Arial"/>
        </w:rPr>
        <w:t>7 de diciembre de 2011</w:t>
      </w:r>
      <w:r w:rsidR="000454A0">
        <w:rPr>
          <w:rFonts w:ascii="Arial" w:hAnsi="Arial"/>
        </w:rPr>
        <w:t xml:space="preserve">, </w:t>
      </w:r>
      <w:r w:rsidR="000454A0" w:rsidRPr="006B18EF">
        <w:rPr>
          <w:rFonts w:ascii="Arial" w:hAnsi="Arial" w:cs="Arial"/>
        </w:rPr>
        <w:t xml:space="preserve">se acordó observar el </w:t>
      </w:r>
      <w:r w:rsidR="003C2DCA">
        <w:rPr>
          <w:rFonts w:ascii="Arial" w:hAnsi="Arial" w:cs="Arial"/>
        </w:rPr>
        <w:t>Convenio suscrito en entre el MTOP y el BPS, observar el gasto de $ 1.300.000</w:t>
      </w:r>
      <w:r w:rsidR="00F75739" w:rsidRPr="006B18EF">
        <w:rPr>
          <w:rFonts w:ascii="Arial" w:hAnsi="Arial" w:cs="Arial"/>
        </w:rPr>
        <w:t>;</w:t>
      </w:r>
      <w:r w:rsidR="000454A0" w:rsidRPr="006B18EF">
        <w:rPr>
          <w:rFonts w:ascii="Arial" w:hAnsi="Arial" w:cs="Arial"/>
        </w:rPr>
        <w:t xml:space="preserve"> </w:t>
      </w:r>
    </w:p>
    <w:p w:rsidR="00EC37D7" w:rsidRPr="009B7639" w:rsidRDefault="006B18EF" w:rsidP="00D47CF4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6B18EF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EC37D7">
        <w:rPr>
          <w:rFonts w:ascii="Arial" w:hAnsi="Arial" w:cs="Arial"/>
          <w:lang w:val="es-MX"/>
        </w:rPr>
        <w:t>que</w:t>
      </w:r>
      <w:r w:rsidR="008B7FEE">
        <w:rPr>
          <w:rFonts w:ascii="Arial" w:hAnsi="Arial" w:cs="Arial"/>
          <w:lang w:val="es-MX"/>
        </w:rPr>
        <w:t>,</w:t>
      </w:r>
      <w:r w:rsidR="00EC37D7">
        <w:rPr>
          <w:rFonts w:ascii="Arial" w:hAnsi="Arial" w:cs="Arial"/>
          <w:lang w:val="es-MX"/>
        </w:rPr>
        <w:t xml:space="preserve"> </w:t>
      </w:r>
      <w:r w:rsidR="003C2DCA">
        <w:rPr>
          <w:rFonts w:ascii="Arial" w:hAnsi="Arial" w:cs="Arial"/>
          <w:lang w:val="es-MX"/>
        </w:rPr>
        <w:t xml:space="preserve">en esta instancia, la </w:t>
      </w:r>
      <w:r w:rsidR="00EC37D7">
        <w:rPr>
          <w:rFonts w:ascii="Arial" w:hAnsi="Arial" w:cs="Arial"/>
          <w:lang w:val="es-MX"/>
        </w:rPr>
        <w:t>Contador</w:t>
      </w:r>
      <w:r w:rsidR="00B851AA">
        <w:rPr>
          <w:rFonts w:ascii="Arial" w:hAnsi="Arial" w:cs="Arial"/>
          <w:lang w:val="es-MX"/>
        </w:rPr>
        <w:t>a</w:t>
      </w:r>
      <w:r w:rsidR="00EC37D7">
        <w:rPr>
          <w:rFonts w:ascii="Arial" w:hAnsi="Arial" w:cs="Arial"/>
          <w:lang w:val="es-MX"/>
        </w:rPr>
        <w:t xml:space="preserve"> Auditor</w:t>
      </w:r>
      <w:r w:rsidR="00B851AA">
        <w:rPr>
          <w:rFonts w:ascii="Arial" w:hAnsi="Arial" w:cs="Arial"/>
          <w:lang w:val="es-MX"/>
        </w:rPr>
        <w:t>a</w:t>
      </w:r>
      <w:r w:rsidR="00EC37D7">
        <w:rPr>
          <w:rFonts w:ascii="Arial" w:hAnsi="Arial" w:cs="Arial"/>
          <w:lang w:val="es-MX"/>
        </w:rPr>
        <w:t xml:space="preserve"> destacad</w:t>
      </w:r>
      <w:r w:rsidR="00B851AA">
        <w:rPr>
          <w:rFonts w:ascii="Arial" w:hAnsi="Arial" w:cs="Arial"/>
          <w:lang w:val="es-MX"/>
        </w:rPr>
        <w:t>a</w:t>
      </w:r>
      <w:r w:rsidR="00EC37D7">
        <w:rPr>
          <w:rFonts w:ascii="Arial" w:hAnsi="Arial" w:cs="Arial"/>
          <w:lang w:val="es-MX"/>
        </w:rPr>
        <w:t xml:space="preserve"> ante </w:t>
      </w:r>
      <w:r w:rsidR="00F75739">
        <w:rPr>
          <w:rFonts w:ascii="Arial" w:hAnsi="Arial" w:cs="Arial"/>
          <w:lang w:val="es-MX"/>
        </w:rPr>
        <w:t>la referida Secretaría de Estado</w:t>
      </w:r>
      <w:r w:rsidR="00585C6B">
        <w:rPr>
          <w:rFonts w:ascii="Arial" w:hAnsi="Arial" w:cs="Arial"/>
          <w:lang w:val="es-MX"/>
        </w:rPr>
        <w:t>,</w:t>
      </w:r>
      <w:r w:rsidR="00EC37D7">
        <w:rPr>
          <w:rFonts w:ascii="Arial" w:hAnsi="Arial" w:cs="Arial"/>
          <w:lang w:val="es-MX"/>
        </w:rPr>
        <w:t xml:space="preserve"> r</w:t>
      </w:r>
      <w:r w:rsidR="00F75739">
        <w:rPr>
          <w:rFonts w:ascii="Arial" w:hAnsi="Arial" w:cs="Arial"/>
          <w:lang w:val="es-MX"/>
        </w:rPr>
        <w:t>emite</w:t>
      </w:r>
      <w:r w:rsidR="00AF6838">
        <w:rPr>
          <w:rFonts w:ascii="Arial" w:hAnsi="Arial" w:cs="Arial"/>
          <w:lang w:val="es-MX"/>
        </w:rPr>
        <w:t xml:space="preserve"> nota de fecha </w:t>
      </w:r>
      <w:r w:rsidR="009B7639">
        <w:rPr>
          <w:rFonts w:ascii="Arial" w:hAnsi="Arial" w:cs="Arial"/>
          <w:lang w:val="es-MX"/>
        </w:rPr>
        <w:t>4 de abril de 2016</w:t>
      </w:r>
      <w:r w:rsidR="0011480D">
        <w:rPr>
          <w:rFonts w:ascii="Arial" w:hAnsi="Arial" w:cs="Arial"/>
          <w:lang w:val="es-MX"/>
        </w:rPr>
        <w:t>, adjuntando</w:t>
      </w:r>
      <w:r w:rsidR="00F75739">
        <w:rPr>
          <w:rFonts w:ascii="Arial" w:hAnsi="Arial" w:cs="Arial"/>
          <w:lang w:val="es-MX"/>
        </w:rPr>
        <w:t xml:space="preserve"> </w:t>
      </w:r>
      <w:r w:rsidR="0011480D">
        <w:rPr>
          <w:rFonts w:ascii="Arial" w:hAnsi="Arial" w:cs="Arial"/>
          <w:lang w:val="es-MX"/>
        </w:rPr>
        <w:t xml:space="preserve">intervención por reiteración del gasto y </w:t>
      </w:r>
      <w:r w:rsidR="00F75739">
        <w:rPr>
          <w:rFonts w:ascii="Arial" w:hAnsi="Arial" w:cs="Arial"/>
          <w:lang w:val="es-MX"/>
        </w:rPr>
        <w:t>copia de</w:t>
      </w:r>
      <w:r w:rsidR="002D4D70">
        <w:rPr>
          <w:rFonts w:ascii="Arial" w:hAnsi="Arial" w:cs="Arial"/>
          <w:lang w:val="es-MX"/>
        </w:rPr>
        <w:t xml:space="preserve"> las Resolucio</w:t>
      </w:r>
      <w:r w:rsidR="00F75739">
        <w:rPr>
          <w:rFonts w:ascii="Arial" w:hAnsi="Arial" w:cs="Arial"/>
          <w:lang w:val="es-MX"/>
        </w:rPr>
        <w:t>n</w:t>
      </w:r>
      <w:r w:rsidR="002D4D70">
        <w:rPr>
          <w:rFonts w:ascii="Arial" w:hAnsi="Arial" w:cs="Arial"/>
          <w:lang w:val="es-MX"/>
        </w:rPr>
        <w:t>es</w:t>
      </w:r>
      <w:r w:rsidR="009B7639">
        <w:rPr>
          <w:rFonts w:ascii="Arial" w:hAnsi="Arial" w:cs="Arial"/>
          <w:lang w:val="es-MX"/>
        </w:rPr>
        <w:t xml:space="preserve"> </w:t>
      </w:r>
      <w:r w:rsidR="003C2DCA">
        <w:rPr>
          <w:rFonts w:ascii="Arial" w:hAnsi="Arial" w:cs="Arial"/>
          <w:lang w:val="es-MX"/>
        </w:rPr>
        <w:t xml:space="preserve">de Presidencia de </w:t>
      </w:r>
      <w:r w:rsidR="002D4D70">
        <w:rPr>
          <w:rFonts w:ascii="Arial" w:hAnsi="Arial" w:cs="Arial"/>
          <w:lang w:val="es-MX"/>
        </w:rPr>
        <w:t xml:space="preserve">la República de fecha 10-8-2015  </w:t>
      </w:r>
      <w:r w:rsidR="003C2DCA">
        <w:rPr>
          <w:rFonts w:ascii="Arial" w:hAnsi="Arial" w:cs="Arial"/>
          <w:lang w:val="es-MX"/>
        </w:rPr>
        <w:t>por la cual resuelve insistir en el gasto de la suma de $ 1.500.000</w:t>
      </w:r>
      <w:r w:rsidR="002D4D70">
        <w:rPr>
          <w:rFonts w:ascii="Arial" w:hAnsi="Arial" w:cs="Arial"/>
          <w:lang w:val="es-MX"/>
        </w:rPr>
        <w:t xml:space="preserve"> a fin de cumplir</w:t>
      </w:r>
      <w:r w:rsidR="008B7FEE">
        <w:rPr>
          <w:rFonts w:ascii="Arial" w:hAnsi="Arial" w:cs="Arial"/>
          <w:lang w:val="es-MX"/>
        </w:rPr>
        <w:t>,</w:t>
      </w:r>
      <w:r w:rsidR="002D4D70">
        <w:rPr>
          <w:rFonts w:ascii="Arial" w:hAnsi="Arial" w:cs="Arial"/>
          <w:lang w:val="es-MX"/>
        </w:rPr>
        <w:t xml:space="preserve"> </w:t>
      </w:r>
      <w:r w:rsidR="008B7FEE">
        <w:rPr>
          <w:rFonts w:ascii="Arial" w:hAnsi="Arial" w:cs="Arial"/>
          <w:lang w:val="es-MX"/>
        </w:rPr>
        <w:t xml:space="preserve">en el ejercicio 2015, </w:t>
      </w:r>
      <w:r w:rsidR="002D4D70">
        <w:rPr>
          <w:rFonts w:ascii="Arial" w:hAnsi="Arial" w:cs="Arial"/>
          <w:lang w:val="es-MX"/>
        </w:rPr>
        <w:t>con las obligaciones</w:t>
      </w:r>
      <w:r w:rsidR="008B7FEE">
        <w:rPr>
          <w:rFonts w:ascii="Arial" w:hAnsi="Arial" w:cs="Arial"/>
          <w:lang w:val="es-MX"/>
        </w:rPr>
        <w:t xml:space="preserve"> </w:t>
      </w:r>
      <w:r w:rsidR="002D4D70">
        <w:rPr>
          <w:rFonts w:ascii="Arial" w:hAnsi="Arial" w:cs="Arial"/>
          <w:lang w:val="es-MX"/>
        </w:rPr>
        <w:t>asumidas con las empresas de transporte que realizan el traslado de pacientes de distintas localidades del país para ser tratados por su problemas de visión al Hospital de Ojos y su modificativo de fecha 16-12-2015</w:t>
      </w:r>
      <w:r w:rsidR="009B1F7E">
        <w:rPr>
          <w:rFonts w:ascii="Arial" w:hAnsi="Arial"/>
        </w:rPr>
        <w:t>;</w:t>
      </w:r>
    </w:p>
    <w:p w:rsidR="00F75739" w:rsidRDefault="00F75739" w:rsidP="00030261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</w:rPr>
        <w:t>CONSIDERANDO: 1</w:t>
      </w:r>
      <w:r>
        <w:rPr>
          <w:rFonts w:ascii="Arial" w:hAnsi="Arial" w:cs="Arial"/>
          <w:b/>
          <w:bCs/>
          <w:lang w:val="es-MX"/>
        </w:rPr>
        <w:t xml:space="preserve">) </w:t>
      </w:r>
      <w:r>
        <w:rPr>
          <w:rFonts w:ascii="Arial" w:hAnsi="Arial" w:cs="Arial"/>
          <w:lang w:val="es-MX"/>
        </w:rPr>
        <w:t xml:space="preserve">que el </w:t>
      </w:r>
      <w:r w:rsidR="0003026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475 de la Ley 17.296 de 21/2/01, establece que los Ordenadores de gastos o pagos, al ejercer la facultad de insistencia o reiteración que les acuerda el </w:t>
      </w:r>
      <w:r w:rsidR="0003026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Lit</w:t>
      </w:r>
      <w:r w:rsidR="00030261">
        <w:rPr>
          <w:rFonts w:ascii="Arial" w:hAnsi="Arial" w:cs="Arial"/>
          <w:lang w:val="es-MX"/>
        </w:rPr>
        <w:t>eral</w:t>
      </w:r>
      <w:r>
        <w:rPr>
          <w:rFonts w:ascii="Arial" w:hAnsi="Arial" w:cs="Arial"/>
          <w:lang w:val="es-MX"/>
        </w:rPr>
        <w:t xml:space="preserve"> B) de la Constitución de la República, deben hacerlo en forma fundada, detallando los motivos que</w:t>
      </w:r>
      <w:r w:rsidR="008B7FEE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a su juicio</w:t>
      </w:r>
      <w:r w:rsidR="008B7FEE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justifican seguir el curso del gasto o pago;</w:t>
      </w:r>
    </w:p>
    <w:p w:rsidR="00F75739" w:rsidRDefault="00F75739" w:rsidP="00030261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 w:rsidR="00A0017E">
        <w:rPr>
          <w:rFonts w:ascii="Arial" w:hAnsi="Arial" w:cs="Arial"/>
          <w:lang w:val="es-MX"/>
        </w:rPr>
        <w:t xml:space="preserve">que las razones invocadas por la Administración no modifican los argumentos expresados por este Tribunal en la Resolución de </w:t>
      </w:r>
      <w:r w:rsidR="00A0017E">
        <w:rPr>
          <w:rFonts w:ascii="Arial" w:hAnsi="Arial" w:cs="Arial"/>
          <w:lang w:val="es-MX"/>
        </w:rPr>
        <w:lastRenderedPageBreak/>
        <w:t xml:space="preserve">fecha </w:t>
      </w:r>
      <w:r w:rsidR="002D4D70">
        <w:rPr>
          <w:rFonts w:ascii="Arial" w:hAnsi="Arial" w:cs="Arial"/>
          <w:lang w:val="es-MX"/>
        </w:rPr>
        <w:t>7 de diciembre de 2011</w:t>
      </w:r>
      <w:r w:rsidR="00A0017E">
        <w:rPr>
          <w:rFonts w:ascii="Arial" w:hAnsi="Arial" w:cs="Arial"/>
          <w:lang w:val="es-MX"/>
        </w:rPr>
        <w:t>,</w:t>
      </w:r>
      <w:r w:rsidR="00A0017E">
        <w:rPr>
          <w:rFonts w:ascii="Arial" w:hAnsi="Arial" w:cs="Arial"/>
          <w:b/>
          <w:bCs/>
          <w:lang w:val="es-MX"/>
        </w:rPr>
        <w:t xml:space="preserve"> </w:t>
      </w:r>
      <w:r w:rsidR="00A0017E">
        <w:rPr>
          <w:rFonts w:ascii="Arial" w:hAnsi="Arial" w:cs="Arial"/>
          <w:lang w:val="es-MX"/>
        </w:rPr>
        <w:t>por lo que se mantienen incambiadas las causas que motivaran la observación</w:t>
      </w:r>
      <w:r>
        <w:rPr>
          <w:rFonts w:ascii="Arial" w:hAnsi="Arial" w:cs="Arial"/>
          <w:lang w:val="es-MX"/>
        </w:rPr>
        <w:t>;</w:t>
      </w:r>
    </w:p>
    <w:p w:rsidR="00F75739" w:rsidRDefault="00F75739" w:rsidP="0003026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ATENTO: </w:t>
      </w:r>
      <w:r>
        <w:rPr>
          <w:rFonts w:ascii="Arial" w:hAnsi="Arial"/>
        </w:rPr>
        <w:t>a lo precedentemente expuesto;</w:t>
      </w:r>
    </w:p>
    <w:p w:rsidR="00F75739" w:rsidRDefault="00F75739" w:rsidP="00F75739">
      <w:pPr>
        <w:pStyle w:val="Ttulo2"/>
      </w:pPr>
      <w:r>
        <w:t>EL TRIBUNAL ACUERDA</w:t>
      </w:r>
    </w:p>
    <w:p w:rsidR="00F75739" w:rsidRDefault="00F75739" w:rsidP="00030261">
      <w:pPr>
        <w:tabs>
          <w:tab w:val="left" w:pos="567"/>
        </w:tabs>
        <w:spacing w:line="360" w:lineRule="auto"/>
        <w:ind w:left="284" w:hanging="284"/>
        <w:jc w:val="both"/>
        <w:rPr>
          <w:rFonts w:ascii="Arial" w:hAnsi="Arial"/>
          <w:lang w:val="es-MX"/>
        </w:rPr>
      </w:pPr>
      <w:r w:rsidRPr="005A5590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Mantener la observación formulada por</w:t>
      </w:r>
      <w:r>
        <w:rPr>
          <w:rFonts w:ascii="Arial" w:hAnsi="Arial" w:cs="Arial"/>
          <w:lang w:val="es-MX"/>
        </w:rPr>
        <w:t xml:space="preserve"> este Tribunal en la Resolución de fecha </w:t>
      </w:r>
      <w:r w:rsidR="002D4D70">
        <w:rPr>
          <w:rFonts w:ascii="Arial" w:hAnsi="Arial"/>
        </w:rPr>
        <w:t>7 de diciembre de 2011</w:t>
      </w:r>
      <w:r>
        <w:rPr>
          <w:rFonts w:ascii="Arial" w:hAnsi="Arial"/>
          <w:lang w:val="es-MX"/>
        </w:rPr>
        <w:t>;</w:t>
      </w:r>
    </w:p>
    <w:p w:rsidR="00030261" w:rsidRPr="00030261" w:rsidRDefault="00030261" w:rsidP="00030261">
      <w:pPr>
        <w:tabs>
          <w:tab w:val="left" w:pos="567"/>
        </w:tabs>
        <w:spacing w:line="360" w:lineRule="auto"/>
        <w:ind w:left="284" w:hanging="284"/>
        <w:jc w:val="both"/>
        <w:rPr>
          <w:rFonts w:ascii="Arial" w:hAnsi="Arial"/>
          <w:lang w:val="es-MX"/>
        </w:rPr>
      </w:pPr>
      <w:r w:rsidRPr="00030261">
        <w:rPr>
          <w:rFonts w:ascii="Arial" w:hAnsi="Arial"/>
          <w:b/>
          <w:lang w:val="es-MX"/>
        </w:rPr>
        <w:t xml:space="preserve">2) </w:t>
      </w:r>
      <w:r w:rsidRPr="00030261">
        <w:rPr>
          <w:rFonts w:ascii="Arial" w:hAnsi="Arial"/>
          <w:lang w:val="es-MX"/>
        </w:rPr>
        <w:t>Comunicar a la Administración actuante;</w:t>
      </w:r>
    </w:p>
    <w:p w:rsidR="00F75739" w:rsidRDefault="00030261" w:rsidP="00030261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F75739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>ar cuenta a la Asamblea General.</w:t>
      </w:r>
    </w:p>
    <w:p w:rsidR="00030261" w:rsidRDefault="00030261" w:rsidP="00030261">
      <w:pPr>
        <w:spacing w:line="360" w:lineRule="auto"/>
        <w:jc w:val="both"/>
        <w:rPr>
          <w:rFonts w:ascii="Arial" w:hAnsi="Arial"/>
          <w:lang w:val="es-MX"/>
        </w:rPr>
      </w:pPr>
    </w:p>
    <w:p w:rsidR="00030261" w:rsidRDefault="00030261" w:rsidP="00030261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bookmarkStart w:id="0" w:name="_GoBack"/>
      <w:bookmarkEnd w:id="0"/>
      <w:proofErr w:type="spellEnd"/>
      <w:proofErr w:type="gramEnd"/>
    </w:p>
    <w:sectPr w:rsidR="00030261" w:rsidSect="00C4217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AD" w:rsidRDefault="00FD4EAD">
      <w:r>
        <w:separator/>
      </w:r>
    </w:p>
  </w:endnote>
  <w:endnote w:type="continuationSeparator" w:id="0">
    <w:p w:rsidR="00FD4EAD" w:rsidRDefault="00FD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CA" w:rsidRDefault="003C2D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2DCA" w:rsidRDefault="003C2D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CA" w:rsidRDefault="003C2D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217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C2DCA" w:rsidRDefault="003C2D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AD" w:rsidRDefault="00FD4EAD">
      <w:r>
        <w:separator/>
      </w:r>
    </w:p>
  </w:footnote>
  <w:footnote w:type="continuationSeparator" w:id="0">
    <w:p w:rsidR="00FD4EAD" w:rsidRDefault="00FD4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CA" w:rsidRDefault="003C2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C2DCA" w:rsidRDefault="003C2DC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CA" w:rsidRDefault="003C2DCA">
    <w:pPr>
      <w:pStyle w:val="Encabezado"/>
      <w:framePr w:wrap="around" w:vAnchor="text" w:hAnchor="margin" w:xAlign="right" w:y="1"/>
      <w:rPr>
        <w:rStyle w:val="Nmerodepgina"/>
      </w:rPr>
    </w:pPr>
  </w:p>
  <w:p w:rsidR="003C2DCA" w:rsidRDefault="003C2DCA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0DE"/>
    <w:multiLevelType w:val="hybridMultilevel"/>
    <w:tmpl w:val="C85AB28E"/>
    <w:lvl w:ilvl="0" w:tplc="017C4016">
      <w:start w:val="3"/>
      <w:numFmt w:val="decimal"/>
      <w:lvlText w:val="%1)"/>
      <w:lvlJc w:val="left"/>
      <w:pPr>
        <w:tabs>
          <w:tab w:val="num" w:pos="2475"/>
        </w:tabs>
        <w:ind w:left="2475" w:hanging="360"/>
      </w:pPr>
      <w:rPr>
        <w:rFonts w:hint="default"/>
        <w:b/>
      </w:rPr>
    </w:lvl>
    <w:lvl w:ilvl="1" w:tplc="DE2E364A">
      <w:start w:val="4"/>
      <w:numFmt w:val="decimal"/>
      <w:lvlText w:val="%2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2" w:tplc="1FAEC1EA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C9429E50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D5B41BD2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C966EDD4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62EC5FE2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ED50A832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2F1E05BA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1">
    <w:nsid w:val="17276266"/>
    <w:multiLevelType w:val="multilevel"/>
    <w:tmpl w:val="A42EE0BE"/>
    <w:lvl w:ilvl="0">
      <w:start w:val="2"/>
      <w:numFmt w:val="decimal"/>
      <w:lvlText w:val="%1)"/>
      <w:lvlJc w:val="left"/>
      <w:pPr>
        <w:tabs>
          <w:tab w:val="num" w:pos="2486"/>
        </w:tabs>
        <w:ind w:left="0" w:firstLine="2126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3555"/>
        </w:tabs>
        <w:ind w:left="0" w:firstLine="2835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00E476A"/>
    <w:multiLevelType w:val="multilevel"/>
    <w:tmpl w:val="C4F0B65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25"/>
        </w:tabs>
        <w:ind w:left="7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40"/>
        </w:tabs>
        <w:ind w:left="9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15"/>
        </w:tabs>
        <w:ind w:left="1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30"/>
        </w:tabs>
        <w:ind w:left="14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05"/>
        </w:tabs>
        <w:ind w:left="16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2160"/>
      </w:pPr>
      <w:rPr>
        <w:rFonts w:hint="default"/>
      </w:rPr>
    </w:lvl>
  </w:abstractNum>
  <w:abstractNum w:abstractNumId="3">
    <w:nsid w:val="345E36CD"/>
    <w:multiLevelType w:val="hybridMultilevel"/>
    <w:tmpl w:val="DA603230"/>
    <w:lvl w:ilvl="0" w:tplc="AAAC1ACE">
      <w:start w:val="6"/>
      <w:numFmt w:val="decimal"/>
      <w:lvlText w:val="%1)"/>
      <w:lvlJc w:val="left"/>
      <w:pPr>
        <w:tabs>
          <w:tab w:val="num" w:pos="2610"/>
        </w:tabs>
        <w:ind w:left="2610" w:hanging="360"/>
      </w:pPr>
      <w:rPr>
        <w:rFonts w:hint="default"/>
        <w:b/>
      </w:rPr>
    </w:lvl>
    <w:lvl w:ilvl="1" w:tplc="BB703D0A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2CB8E0B6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60C61D98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D062FE60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3D28B850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83F02596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65AC1038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8CA62478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4">
    <w:nsid w:val="52E43608"/>
    <w:multiLevelType w:val="singleLevel"/>
    <w:tmpl w:val="021661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2C5D57"/>
    <w:multiLevelType w:val="multilevel"/>
    <w:tmpl w:val="2CA04E4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25"/>
        </w:tabs>
        <w:ind w:left="7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40"/>
        </w:tabs>
        <w:ind w:left="9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15"/>
        </w:tabs>
        <w:ind w:left="1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30"/>
        </w:tabs>
        <w:ind w:left="14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05"/>
        </w:tabs>
        <w:ind w:left="16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2160"/>
      </w:pPr>
      <w:rPr>
        <w:rFonts w:hint="default"/>
      </w:rPr>
    </w:lvl>
  </w:abstractNum>
  <w:abstractNum w:abstractNumId="7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69"/>
    <w:rsid w:val="00030261"/>
    <w:rsid w:val="000454A0"/>
    <w:rsid w:val="00064B83"/>
    <w:rsid w:val="000912F8"/>
    <w:rsid w:val="00091763"/>
    <w:rsid w:val="000F1138"/>
    <w:rsid w:val="000F771C"/>
    <w:rsid w:val="0011480D"/>
    <w:rsid w:val="00143909"/>
    <w:rsid w:val="00154BD7"/>
    <w:rsid w:val="00175AC7"/>
    <w:rsid w:val="001C67C7"/>
    <w:rsid w:val="001F0840"/>
    <w:rsid w:val="0023264A"/>
    <w:rsid w:val="0029753E"/>
    <w:rsid w:val="002D4D70"/>
    <w:rsid w:val="003252A8"/>
    <w:rsid w:val="00354D55"/>
    <w:rsid w:val="003C0A10"/>
    <w:rsid w:val="003C2DCA"/>
    <w:rsid w:val="00500AC7"/>
    <w:rsid w:val="00510958"/>
    <w:rsid w:val="0056254B"/>
    <w:rsid w:val="00585C6B"/>
    <w:rsid w:val="005A5590"/>
    <w:rsid w:val="006A34C9"/>
    <w:rsid w:val="006B18EF"/>
    <w:rsid w:val="006B1AAB"/>
    <w:rsid w:val="006B7E19"/>
    <w:rsid w:val="006E12F3"/>
    <w:rsid w:val="007477CC"/>
    <w:rsid w:val="00752EC7"/>
    <w:rsid w:val="00766CAD"/>
    <w:rsid w:val="00770494"/>
    <w:rsid w:val="00786801"/>
    <w:rsid w:val="00813975"/>
    <w:rsid w:val="00823C15"/>
    <w:rsid w:val="008B7FEE"/>
    <w:rsid w:val="009B1F7E"/>
    <w:rsid w:val="009B7639"/>
    <w:rsid w:val="00A0017E"/>
    <w:rsid w:val="00A51AD2"/>
    <w:rsid w:val="00A54E66"/>
    <w:rsid w:val="00A7225A"/>
    <w:rsid w:val="00A91EAE"/>
    <w:rsid w:val="00A965F3"/>
    <w:rsid w:val="00AB0A11"/>
    <w:rsid w:val="00AF6838"/>
    <w:rsid w:val="00B44A33"/>
    <w:rsid w:val="00B46D18"/>
    <w:rsid w:val="00B83C2A"/>
    <w:rsid w:val="00B851AA"/>
    <w:rsid w:val="00BB0A77"/>
    <w:rsid w:val="00BB1042"/>
    <w:rsid w:val="00C319CC"/>
    <w:rsid w:val="00C42173"/>
    <w:rsid w:val="00C77743"/>
    <w:rsid w:val="00C936F0"/>
    <w:rsid w:val="00CB06F9"/>
    <w:rsid w:val="00CC3F85"/>
    <w:rsid w:val="00CC5526"/>
    <w:rsid w:val="00CC5D2B"/>
    <w:rsid w:val="00CE0E5C"/>
    <w:rsid w:val="00CF54D2"/>
    <w:rsid w:val="00D04306"/>
    <w:rsid w:val="00D128E2"/>
    <w:rsid w:val="00D30569"/>
    <w:rsid w:val="00D4120C"/>
    <w:rsid w:val="00D47CF4"/>
    <w:rsid w:val="00D50A40"/>
    <w:rsid w:val="00D70138"/>
    <w:rsid w:val="00DA0F07"/>
    <w:rsid w:val="00DF03C0"/>
    <w:rsid w:val="00EC37D7"/>
    <w:rsid w:val="00EC71F4"/>
    <w:rsid w:val="00F028AA"/>
    <w:rsid w:val="00F336CF"/>
    <w:rsid w:val="00F4342E"/>
    <w:rsid w:val="00F72439"/>
    <w:rsid w:val="00F75739"/>
    <w:rsid w:val="00F901A8"/>
    <w:rsid w:val="00F972BB"/>
    <w:rsid w:val="00FD4EAD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030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03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ECA5-A238-4621-9C71-1C65D59D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MAB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subject/>
  <dc:creator>Maria Burguez</dc:creator>
  <cp:keywords/>
  <cp:lastModifiedBy>Andrea Gerner</cp:lastModifiedBy>
  <cp:revision>8</cp:revision>
  <cp:lastPrinted>2016-05-02T18:38:00Z</cp:lastPrinted>
  <dcterms:created xsi:type="dcterms:W3CDTF">2016-05-02T18:34:00Z</dcterms:created>
  <dcterms:modified xsi:type="dcterms:W3CDTF">2016-05-02T18:38:00Z</dcterms:modified>
</cp:coreProperties>
</file>